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beforeLines="80" w:before="192"/>
        <w:rPr>
          <w:rFonts w:ascii="楷体_GB2312" w:eastAsia="楷体_GB2312"/>
          <w:bCs/>
          <w:color w:val="auto"/>
          <w:sz w:val="48"/>
          <w:szCs w:val="48"/>
          <w:highlight w:val="none"/>
        </w:rPr>
      </w:pPr>
    </w:p>
    <w:p>
      <w:pPr>
        <w:pStyle w:val="16"/>
        <w:rPr>
          <w:color w:val="auto"/>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jc w:val="center"/>
        <w:rPr>
          <w:rFonts w:ascii="方正小标宋_GBK" w:eastAsia="方正小标宋_GBK"/>
          <w:bCs/>
          <w:color w:val="auto"/>
          <w:sz w:val="72"/>
          <w:szCs w:val="72"/>
          <w:highlight w:val="none"/>
        </w:rPr>
      </w:pPr>
      <w:bookmarkStart w:id="0" w:name="_Toc12558"/>
      <w:bookmarkStart w:id="1" w:name="_Toc20198"/>
      <w:bookmarkStart w:id="2" w:name="_Toc7020"/>
      <w:bookmarkStart w:id="3" w:name="_Toc32754"/>
      <w:r>
        <w:rPr>
          <w:rFonts w:ascii="方正小标宋_GBK" w:eastAsia="方正小标宋_GBK" w:hint="eastAsia"/>
          <w:bCs/>
          <w:color w:val="auto"/>
          <w:sz w:val="72"/>
          <w:szCs w:val="72"/>
          <w:highlight w:val="none"/>
        </w:rPr>
        <w:t>建设项目环境影响报告表</w:t>
      </w:r>
      <w:bookmarkEnd w:id="0"/>
      <w:bookmarkEnd w:id="1"/>
      <w:bookmarkEnd w:id="2"/>
      <w:bookmarkEnd w:id="3"/>
    </w:p>
    <w:p>
      <w:pPr>
        <w:adjustRightInd w:val="0"/>
        <w:snapToGrid w:val="0"/>
        <w:spacing w:beforeLines="80" w:before="192"/>
        <w:jc w:val="center"/>
        <w:rPr>
          <w:rFonts w:ascii="楷体_GB2312" w:eastAsia="楷体_GB2312"/>
          <w:bCs/>
          <w:color w:val="auto"/>
          <w:sz w:val="48"/>
          <w:szCs w:val="48"/>
          <w:highlight w:val="none"/>
        </w:rPr>
      </w:pPr>
      <w:r>
        <w:rPr>
          <w:rFonts w:ascii="楷体_GB2312" w:eastAsia="楷体_GB2312" w:hint="eastAsia"/>
          <w:bCs/>
          <w:color w:val="auto"/>
          <w:sz w:val="48"/>
          <w:szCs w:val="48"/>
          <w:highlight w:val="none"/>
        </w:rPr>
        <w:t>（污染影响类）</w:t>
      </w: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楷体_GB2312" w:eastAsia="楷体_GB2312"/>
          <w:bCs/>
          <w:color w:val="auto"/>
          <w:sz w:val="48"/>
          <w:szCs w:val="48"/>
          <w:highlight w:val="none"/>
        </w:rPr>
      </w:pPr>
    </w:p>
    <w:p>
      <w:pPr>
        <w:adjustRightInd w:val="0"/>
        <w:snapToGrid w:val="0"/>
        <w:spacing w:beforeLines="80" w:before="192"/>
        <w:jc w:val="center"/>
        <w:rPr>
          <w:rFonts w:ascii="Times New Roman" w:eastAsia="楷体_GB2312" w:cs="Times New Roman" w:hAnsi="Times New Roman"/>
          <w:bCs/>
          <w:color w:val="auto"/>
          <w:sz w:val="48"/>
          <w:szCs w:val="48"/>
          <w:highlight w:val="none"/>
        </w:rPr>
      </w:pPr>
    </w:p>
    <w:p>
      <w:pPr>
        <w:adjustRightInd w:val="0"/>
        <w:snapToGrid w:val="0"/>
        <w:spacing w:beforeLines="80" w:before="192"/>
        <w:jc w:val="center"/>
        <w:rPr>
          <w:rFonts w:ascii="Times New Roman" w:eastAsia="楷体_GB2312" w:cs="Times New Roman" w:hAnsi="Times New Roman"/>
          <w:bCs/>
          <w:color w:val="auto"/>
          <w:sz w:val="48"/>
          <w:szCs w:val="48"/>
          <w:highlight w:val="none"/>
        </w:rPr>
      </w:pPr>
    </w:p>
    <w:p>
      <w:pPr>
        <w:adjustRightInd w:val="0"/>
        <w:snapToGrid w:val="0"/>
        <w:spacing w:line="288" w:lineRule="auto"/>
        <w:ind w:leftChars="513" w:left="2877" w:hangingChars="500" w:hanging="1800"/>
        <w:jc w:val="both"/>
        <w:rPr>
          <w:rFonts w:ascii="Times New Roman" w:eastAsia="宋体" w:cs="Times New Roman" w:hAnsi="Times New Roman"/>
          <w:color w:val="auto"/>
          <w:sz w:val="36"/>
          <w:szCs w:val="36"/>
          <w:u w:val="single"/>
          <w:lang w:val="en-US" w:eastAsia="zh-CN"/>
          <w:highlight w:val="none"/>
        </w:rPr>
      </w:pPr>
      <w:r>
        <w:rPr>
          <w:rFonts w:ascii="Times New Roman" w:eastAsia="仿宋_GB2312" w:cs="Times New Roman" w:hAnsi="Times New Roman"/>
          <w:color w:val="auto"/>
          <w:sz w:val="36"/>
          <w:szCs w:val="36"/>
          <w:highlight w:val="none"/>
        </w:rPr>
        <w:t>项目名称：</w:t>
      </w:r>
      <w:r>
        <w:rPr>
          <w:rFonts w:cs="Times New Roman" w:hint="eastAsia"/>
          <w:color w:val="auto"/>
          <w:w w:val="94"/>
          <w:sz w:val="36"/>
          <w:szCs w:val="36"/>
          <w:u w:val="single"/>
          <w:lang w:eastAsia="zh-CN"/>
          <w:highlight w:val="none"/>
        </w:rPr>
        <w:fldChar w:fldCharType="begin"/>
      </w:r>
      <w:r>
        <w:instrText>HYPERLINK "http://tzxm.hbzwfw.gov.cn/sbgl/declarationItemList"</w:instrText>
      </w:r>
      <w:r>
        <w:rPr>
          <w:rFonts w:cs="Times New Roman" w:hint="eastAsia"/>
          <w:color w:val="auto"/>
          <w:w w:val="94"/>
          <w:sz w:val="36"/>
          <w:szCs w:val="36"/>
          <w:u w:val="single"/>
          <w:lang w:eastAsia="zh-CN"/>
          <w:highlight w:val="none"/>
        </w:rPr>
        <w:fldChar w:fldCharType="separate"/>
      </w:r>
      <w:r>
        <w:rPr>
          <w:rFonts w:cs="Times New Roman" w:hint="eastAsia"/>
          <w:color w:val="auto"/>
          <w:w w:val="94"/>
          <w:sz w:val="36"/>
          <w:szCs w:val="36"/>
          <w:u w:val="single"/>
          <w:lang w:eastAsia="zh-CN"/>
          <w:highlight w:val="none"/>
        </w:rPr>
        <w:t>河北嘉道环保科技有限公司</w:t>
      </w:r>
      <w:r>
        <w:rPr>
          <w:rFonts w:cs="Times New Roman" w:hint="eastAsia"/>
          <w:color w:val="auto"/>
          <w:w w:val="94"/>
          <w:sz w:val="36"/>
          <w:szCs w:val="36"/>
          <w:u w:val="single"/>
          <w:lang w:eastAsia="zh-CN"/>
          <w:highlight w:val="none"/>
        </w:rPr>
        <w:fldChar w:fldCharType="end"/>
      </w:r>
      <w:r>
        <w:rPr>
          <w:rFonts w:cs="Times New Roman" w:hint="eastAsia"/>
          <w:color w:val="auto"/>
          <w:w w:val="94"/>
          <w:sz w:val="36"/>
          <w:szCs w:val="36"/>
          <w:u w:val="single"/>
          <w:lang w:val="en-US" w:eastAsia="zh-CN"/>
          <w:highlight w:val="none"/>
        </w:rPr>
        <w:fldChar w:fldCharType="begin"/>
      </w:r>
      <w:r>
        <w:instrText>HYPERLINK "http://tzxm.hbzwfw.gov.cn/sbgl/declarationItemList"</w:instrText>
      </w:r>
      <w:r>
        <w:rPr>
          <w:rFonts w:cs="Times New Roman" w:hint="eastAsia"/>
          <w:color w:val="auto"/>
          <w:w w:val="94"/>
          <w:sz w:val="36"/>
          <w:szCs w:val="36"/>
          <w:u w:val="single"/>
          <w:lang w:val="en-US" w:eastAsia="zh-CN"/>
          <w:highlight w:val="none"/>
        </w:rPr>
        <w:fldChar w:fldCharType="separate"/>
      </w:r>
      <w:r>
        <w:rPr>
          <w:rFonts w:cs="Times New Roman" w:hint="eastAsia"/>
          <w:color w:val="auto"/>
          <w:w w:val="94"/>
          <w:sz w:val="36"/>
          <w:szCs w:val="36"/>
          <w:u w:val="single"/>
          <w:lang w:val="en-US" w:eastAsia="zh-CN"/>
          <w:highlight w:val="none"/>
        </w:rPr>
        <w:t>废旧电池中转项目</w:t>
      </w:r>
      <w:r>
        <w:rPr>
          <w:rFonts w:cs="Times New Roman" w:hint="eastAsia"/>
          <w:color w:val="auto"/>
          <w:w w:val="94"/>
          <w:sz w:val="36"/>
          <w:szCs w:val="36"/>
          <w:u w:val="single"/>
          <w:lang w:val="en-US" w:eastAsia="zh-CN"/>
          <w:highlight w:val="none"/>
        </w:rPr>
        <w:fldChar w:fldCharType="end"/>
      </w:r>
      <w:r>
        <w:rPr>
          <w:rFonts w:cs="Times New Roman" w:hint="eastAsia"/>
          <w:color w:val="auto"/>
          <w:sz w:val="36"/>
          <w:szCs w:val="36"/>
          <w:u w:val="single"/>
          <w:lang w:val="en-US" w:eastAsia="zh-CN"/>
          <w:highlight w:val="none"/>
        </w:rPr>
        <w:t xml:space="preserve">            </w:t>
      </w:r>
    </w:p>
    <w:p>
      <w:pPr>
        <w:adjustRightInd w:val="0"/>
        <w:snapToGrid w:val="0"/>
        <w:spacing w:line="288" w:lineRule="auto"/>
        <w:ind w:leftChars="513" w:left="2877" w:hangingChars="500" w:hanging="1800"/>
        <w:rPr>
          <w:rFonts w:ascii="Times New Roman" w:eastAsia="宋体" w:cs="Times New Roman" w:hAnsi="Times New Roman"/>
          <w:color w:val="auto"/>
          <w:sz w:val="36"/>
          <w:szCs w:val="36"/>
          <w:lang w:val="en-US" w:eastAsia="zh-CN"/>
          <w:highlight w:val="none"/>
        </w:rPr>
      </w:pPr>
      <w:r>
        <w:rPr>
          <w:rFonts w:ascii="Times New Roman" w:eastAsia="仿宋_GB2312" w:cs="Times New Roman" w:hAnsi="Times New Roman"/>
          <w:color w:val="auto"/>
          <w:sz w:val="36"/>
          <w:szCs w:val="36"/>
          <w:highlight w:val="none"/>
        </w:rPr>
        <w:t>建设单位（盖章）：</w:t>
      </w:r>
      <w:r>
        <w:rPr>
          <w:rFonts w:ascii="Times New Roman" w:cs="Times New Roman" w:hAnsi="Times New Roman"/>
          <w:color w:val="auto"/>
          <w:sz w:val="36"/>
          <w:szCs w:val="36"/>
          <w:u w:val="single"/>
          <w:lang w:val="en-US" w:eastAsia="zh-CN"/>
          <w:highlight w:val="none"/>
        </w:rPr>
        <w:t xml:space="preserve">  </w:t>
      </w:r>
      <w:r>
        <w:rPr>
          <w:rFonts w:cs="Times New Roman" w:hint="eastAsia"/>
          <w:color w:val="auto"/>
          <w:sz w:val="36"/>
          <w:szCs w:val="36"/>
          <w:u w:val="single"/>
          <w:lang w:eastAsia="zh-CN"/>
          <w:highlight w:val="none"/>
        </w:rPr>
        <w:fldChar w:fldCharType="begin"/>
      </w:r>
      <w:r>
        <w:instrText>HYPERLINK "http://tzxm.hbzwfw.gov.cn/sbgl/declarationItemList"</w:instrText>
      </w:r>
      <w:r>
        <w:rPr>
          <w:rFonts w:cs="Times New Roman" w:hint="eastAsia"/>
          <w:color w:val="auto"/>
          <w:sz w:val="36"/>
          <w:szCs w:val="36"/>
          <w:u w:val="single"/>
          <w:lang w:eastAsia="zh-CN"/>
          <w:highlight w:val="none"/>
        </w:rPr>
        <w:fldChar w:fldCharType="separate"/>
      </w:r>
      <w:r>
        <w:rPr>
          <w:rFonts w:cs="Times New Roman" w:hint="eastAsia"/>
          <w:color w:val="auto"/>
          <w:sz w:val="36"/>
          <w:szCs w:val="36"/>
          <w:u w:val="single"/>
          <w:lang w:eastAsia="zh-CN"/>
          <w:highlight w:val="none"/>
        </w:rPr>
        <w:t>河北嘉道环保科技有限公司</w:t>
      </w:r>
      <w:r>
        <w:rPr>
          <w:rFonts w:cs="Times New Roman" w:hint="eastAsia"/>
          <w:color w:val="auto"/>
          <w:sz w:val="36"/>
          <w:szCs w:val="36"/>
          <w:u w:val="single"/>
          <w:lang w:eastAsia="zh-CN"/>
          <w:highlight w:val="none"/>
        </w:rPr>
        <w:fldChar w:fldCharType="end"/>
      </w:r>
      <w:r>
        <w:rPr>
          <w:rFonts w:ascii="Times New Roman" w:cs="Times New Roman" w:hAnsi="Times New Roman"/>
          <w:color w:val="auto"/>
          <w:sz w:val="36"/>
          <w:szCs w:val="36"/>
          <w:u w:val="single"/>
          <w:lang w:val="en-US" w:eastAsia="zh-CN"/>
          <w:highlight w:val="none"/>
        </w:rPr>
        <w:t xml:space="preserve"> </w:t>
      </w:r>
      <w:r>
        <w:rPr>
          <w:rFonts w:cs="Times New Roman" w:hint="eastAsia"/>
          <w:color w:val="auto"/>
          <w:sz w:val="36"/>
          <w:szCs w:val="36"/>
          <w:u w:val="single"/>
          <w:lang w:val="en-US" w:eastAsia="zh-CN"/>
          <w:highlight w:val="none"/>
        </w:rPr>
        <w:t xml:space="preserve">   </w:t>
      </w:r>
      <w:r>
        <w:rPr>
          <w:rFonts w:ascii="Times New Roman" w:cs="Times New Roman" w:hAnsi="Times New Roman"/>
          <w:color w:val="auto"/>
          <w:sz w:val="36"/>
          <w:szCs w:val="36"/>
          <w:u w:val="single"/>
          <w:lang w:val="en-US" w:eastAsia="zh-CN"/>
          <w:highlight w:val="none"/>
        </w:rPr>
        <w:t xml:space="preserve"> </w:t>
      </w:r>
    </w:p>
    <w:p>
      <w:pPr>
        <w:adjustRightInd w:val="0"/>
        <w:snapToGrid w:val="0"/>
        <w:spacing w:line="288" w:lineRule="auto"/>
        <w:ind w:leftChars="513" w:left="2877" w:hangingChars="500" w:hanging="1800"/>
        <w:rPr>
          <w:rFonts w:ascii="仿宋_GB2312" w:eastAsia="仿宋_GB2312"/>
          <w:color w:val="auto"/>
          <w:sz w:val="36"/>
          <w:szCs w:val="36"/>
          <w:highlight w:val="none"/>
        </w:rPr>
      </w:pPr>
      <w:r>
        <w:rPr>
          <w:rFonts w:ascii="Times New Roman" w:eastAsia="仿宋_GB2312" w:cs="Times New Roman" w:hAnsi="Times New Roman"/>
          <w:color w:val="auto"/>
          <w:sz w:val="36"/>
          <w:szCs w:val="36"/>
          <w:highlight w:val="none"/>
        </w:rPr>
        <w:t>编制日期：</w:t>
      </w:r>
      <w:r>
        <w:rPr>
          <w:rFonts w:ascii="Times New Roman" w:eastAsia="仿宋_GB2312" w:cs="Times New Roman" w:hAnsi="Times New Roman"/>
          <w:color w:val="auto"/>
          <w:sz w:val="36"/>
          <w:szCs w:val="36"/>
          <w:u w:val="single"/>
          <w:highlight w:val="none"/>
        </w:rPr>
        <w:t xml:space="preserve">         </w:t>
      </w:r>
      <w:r>
        <w:rPr>
          <w:rFonts w:ascii="Times New Roman" w:cs="Times New Roman" w:hAnsi="Times New Roman"/>
          <w:color w:val="auto"/>
          <w:sz w:val="36"/>
          <w:szCs w:val="36"/>
          <w:u w:val="single"/>
          <w:highlight w:val="none"/>
        </w:rPr>
        <w:t xml:space="preserve"> 202</w:t>
      </w:r>
      <w:r>
        <w:rPr>
          <w:rFonts w:cs="Times New Roman" w:hint="eastAsia"/>
          <w:color w:val="auto"/>
          <w:sz w:val="36"/>
          <w:szCs w:val="36"/>
          <w:u w:val="single"/>
          <w:lang w:val="en-US" w:eastAsia="zh-CN"/>
          <w:highlight w:val="none"/>
        </w:rPr>
        <w:t>6</w:t>
      </w:r>
      <w:r>
        <w:rPr>
          <w:rFonts w:ascii="Times New Roman" w:cs="Times New Roman" w:hAnsi="Times New Roman"/>
          <w:color w:val="auto"/>
          <w:sz w:val="36"/>
          <w:szCs w:val="36"/>
          <w:u w:val="single"/>
          <w:highlight w:val="none"/>
        </w:rPr>
        <w:t>年</w:t>
      </w:r>
      <w:r>
        <w:rPr>
          <w:rFonts w:cs="Times New Roman" w:hint="eastAsia"/>
          <w:color w:val="auto"/>
          <w:sz w:val="36"/>
          <w:szCs w:val="36"/>
          <w:u w:val="single"/>
          <w:lang w:val="en-US" w:eastAsia="zh-CN"/>
          <w:highlight w:val="none"/>
        </w:rPr>
        <w:t>8</w:t>
      </w:r>
      <w:r>
        <w:rPr>
          <w:rFonts w:ascii="Times New Roman" w:cs="Times New Roman" w:hAnsi="Times New Roman"/>
          <w:color w:val="auto"/>
          <w:sz w:val="36"/>
          <w:szCs w:val="36"/>
          <w:u w:val="single"/>
          <w:highlight w:val="none"/>
        </w:rPr>
        <w:t>月</w:t>
      </w:r>
      <w:r>
        <w:rPr>
          <w:rFonts w:ascii="仿宋_GB2312" w:eastAsia="仿宋_GB2312" w:hint="eastAsia"/>
          <w:color w:val="auto"/>
          <w:sz w:val="36"/>
          <w:szCs w:val="36"/>
          <w:u w:val="single"/>
          <w:highlight w:val="none"/>
        </w:rPr>
        <w:t xml:space="preserve">            </w:t>
      </w:r>
      <w:r>
        <w:rPr>
          <w:rFonts w:ascii="仿宋_GB2312" w:eastAsia="仿宋_GB2312" w:hint="eastAsia"/>
          <w:color w:val="auto"/>
          <w:sz w:val="36"/>
          <w:szCs w:val="36"/>
          <w:u w:val="single"/>
          <w:lang w:val="en-US" w:eastAsia="zh-CN"/>
          <w:highlight w:val="none"/>
        </w:rPr>
        <w:t xml:space="preserve">    </w:t>
      </w:r>
      <w:r>
        <w:rPr>
          <w:rFonts w:ascii="仿宋_GB2312" w:eastAsia="仿宋_GB2312" w:hint="eastAsia"/>
          <w:color w:val="auto"/>
          <w:sz w:val="36"/>
          <w:szCs w:val="36"/>
          <w:u w:val="single"/>
          <w:highlight w:val="none"/>
        </w:rPr>
        <w:t xml:space="preserve"> </w:t>
      </w:r>
    </w:p>
    <w:p>
      <w:pPr>
        <w:adjustRightInd w:val="0"/>
        <w:snapToGrid w:val="0"/>
        <w:spacing w:line="288" w:lineRule="auto"/>
        <w:ind w:firstLine="1040"/>
        <w:rPr>
          <w:rFonts w:ascii="仿宋_GB2312" w:eastAsia="仿宋_GB2312"/>
          <w:color w:val="auto"/>
          <w:sz w:val="36"/>
          <w:szCs w:val="36"/>
          <w:highlight w:val="none"/>
        </w:rPr>
      </w:pPr>
      <w:bookmarkStart w:id="4" w:name="_Hlk57884087"/>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ind w:firstLine="1040"/>
        <w:rPr>
          <w:rFonts w:ascii="仿宋_GB2312" w:eastAsia="仿宋_GB2312"/>
          <w:color w:val="auto"/>
          <w:sz w:val="36"/>
          <w:szCs w:val="36"/>
          <w:highlight w:val="none"/>
        </w:rPr>
      </w:pPr>
    </w:p>
    <w:p>
      <w:pPr>
        <w:adjustRightInd w:val="0"/>
        <w:snapToGrid w:val="0"/>
        <w:spacing w:line="288" w:lineRule="auto"/>
        <w:jc w:val="center"/>
        <w:rPr>
          <w:rFonts w:ascii="楷体_GB2312" w:eastAsia="楷体_GB2312"/>
          <w:color w:val="auto"/>
          <w:sz w:val="36"/>
          <w:szCs w:val="36"/>
          <w:highlight w:val="none"/>
        </w:rPr>
      </w:pPr>
      <w:bookmarkStart w:id="5" w:name="_Toc32600"/>
      <w:bookmarkStart w:id="6" w:name="_Toc23051"/>
      <w:bookmarkStart w:id="7" w:name="_Toc20207"/>
      <w:bookmarkEnd w:id="4"/>
      <w:r>
        <w:rPr>
          <w:rFonts w:ascii="楷体_GB2312" w:eastAsia="楷体_GB2312" w:hint="eastAsia"/>
          <w:color w:val="auto"/>
          <w:sz w:val="36"/>
          <w:szCs w:val="36"/>
          <w:highlight w:val="none"/>
        </w:rPr>
        <w:t>中华人民共和国生态环境部制</w:t>
      </w:r>
      <w:bookmarkEnd w:id="5"/>
      <w:bookmarkEnd w:id="6"/>
      <w:bookmarkEnd w:id="7"/>
    </w:p>
    <w:p>
      <w:pPr>
        <w:pStyle w:val="35"/>
        <w:jc w:val="center"/>
        <w:rPr>
          <w:rFonts w:ascii="黑体" w:eastAsia="黑体" w:hAnsi="黑体" w:hint="eastAsia"/>
          <w:snapToGrid w:val="0"/>
          <w:color w:val="auto"/>
          <w:sz w:val="30"/>
          <w:szCs w:val="30"/>
          <w:highlight w:val="none"/>
        </w:rPr>
        <w:sectPr>
          <w:footerReference w:type="default" r:id="rId2"/>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start="1"/>
          <w:cols w:num="1" w:space="720"/>
          <w:docGrid w:linePitch="312" w:charSpace="0"/>
        </w:sectPr>
      </w:pPr>
    </w:p>
    <w:p>
      <w:pPr>
        <w:adjustRightInd w:val="0"/>
        <w:snapToGrid w:val="0"/>
        <w:spacing w:beforeLines="80" w:before="192"/>
        <w:rPr>
          <w:rFonts w:ascii="楷体_GB2312" w:eastAsia="楷体_GB2312"/>
          <w:bCs/>
          <w:color w:val="auto"/>
          <w:sz w:val="48"/>
          <w:szCs w:val="48"/>
          <w:highlight w:val="none"/>
        </w:rPr>
      </w:pPr>
    </w:p>
    <w:p>
      <w:pPr>
        <w:jc w:val="center"/>
        <w:rPr>
          <w:rFonts w:ascii="宋体" w:hAnsi="宋体"/>
          <w:b/>
          <w:bCs/>
          <w:color w:val="auto"/>
          <w:sz w:val="30"/>
          <w:szCs w:val="30"/>
          <w:highlight w:val="none"/>
        </w:rPr>
        <w:sectPr>
          <w:footerReference w:type="default" r:id="rId3"/>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fmt="numberInDash" w:start="1"/>
          <w:cols w:num="1" w:space="720"/>
          <w:docGrid w:linePitch="312" w:charSpace="0"/>
        </w:sectPr>
      </w:pPr>
      <w:bookmarkStart w:id="8" w:name="_Toc12300"/>
      <w:bookmarkStart w:id="9" w:name="_Toc3168"/>
      <w:bookmarkStart w:id="10" w:name="_Toc15830"/>
    </w:p>
    <w:p>
      <w:pPr>
        <w:pStyle w:val="35"/>
        <w:jc w:val="center"/>
        <w:outlineLvl w:val="0"/>
        <w:rPr>
          <w:rFonts w:ascii="黑体" w:eastAsia="黑体" w:hAnsi="黑体" w:hint="eastAsia"/>
          <w:snapToGrid w:val="0"/>
          <w:color w:val="auto"/>
          <w:sz w:val="30"/>
          <w:szCs w:val="30"/>
          <w:highlight w:val="none"/>
        </w:rPr>
      </w:pPr>
      <w:bookmarkStart w:id="11" w:name="_Toc16705"/>
      <w:bookmarkStart w:id="12" w:name="_Toc18797"/>
      <w:r>
        <w:rPr>
          <w:rFonts w:ascii="黑体" w:eastAsia="黑体" w:hAnsi="黑体" w:hint="eastAsia"/>
          <w:snapToGrid w:val="0"/>
          <w:color w:val="auto"/>
          <w:sz w:val="30"/>
          <w:szCs w:val="30"/>
          <w:highlight w:val="none"/>
        </w:rPr>
        <w:t>一、建设项目基本情况</w:t>
      </w:r>
      <w:bookmarkEnd w:id="8"/>
      <w:bookmarkEnd w:id="9"/>
      <w:bookmarkEnd w:id="10"/>
      <w:bookmarkEnd w:id="11"/>
      <w:bookmarkEnd w:id="12"/>
    </w:p>
    <w:tbl>
      <w:tblPr>
        <w:jc w:val="center"/>
        <w:tblW w:w="4971"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739"/>
        <w:gridCol w:w="2050"/>
        <w:gridCol w:w="256"/>
        <w:gridCol w:w="1840"/>
        <w:gridCol w:w="3677"/>
      </w:tblGrid>
      <w:tr>
        <w:trPr>
          <w:trHeight w:val="466"/>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建设项目名称</w:t>
            </w:r>
          </w:p>
        </w:tc>
        <w:tc>
          <w:tcPr>
            <w:tcW w:w="4068" w:type="pct"/>
            <w:gridSpan w:val="4"/>
            <w:vAlign w:val="center"/>
          </w:tcPr>
          <w:p>
            <w:pPr>
              <w:adjustRightInd w:val="0"/>
              <w:snapToGrid w:val="0"/>
              <w:jc w:val="center"/>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河北嘉道环保科技有限公司废旧电池中转项目</w:t>
            </w:r>
          </w:p>
        </w:tc>
      </w:tr>
      <w:tr>
        <w:trPr>
          <w:trHeight w:val="447"/>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项目代码</w:t>
            </w:r>
          </w:p>
        </w:tc>
        <w:tc>
          <w:tcPr>
            <w:tcW w:w="4068" w:type="pct"/>
            <w:gridSpan w:val="4"/>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ascii="Times New Roman" w:eastAsia="宋体" w:cs="Times New Roman" w:hAnsi="Times New Roman"/>
                <w:color w:val="auto"/>
                <w:sz w:val="24"/>
                <w:szCs w:val="24"/>
                <w:lang w:val="en-US" w:eastAsia="zh-CN"/>
              </w:rPr>
              <w:t>2605-130168-89-01-978873</w:t>
            </w:r>
          </w:p>
        </w:tc>
      </w:tr>
      <w:tr>
        <w:trPr>
          <w:trHeight w:val="428"/>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建设单位联系人</w:t>
            </w:r>
          </w:p>
        </w:tc>
        <w:tc>
          <w:tcPr>
            <w:tcW w:w="1066" w:type="pct"/>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val="en-US" w:eastAsia="zh-CN"/>
                <w:highlight w:val="none"/>
              </w:rPr>
            </w:pPr>
            <w:r>
              <w:rPr>
                <w:rFonts w:cs="Times New Roman"/>
                <w:color w:val="auto"/>
                <w:sz w:val="24"/>
                <w:lang w:eastAsia="zh-CN"/>
                <w:highlight w:val="none"/>
              </w:rPr>
              <w:t>***</w:t>
            </w:r>
          </w:p>
        </w:tc>
        <w:tc>
          <w:tcPr>
            <w:tcW w:w="1090" w:type="pct"/>
            <w:gridSpan w:val="2"/>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联系方式</w:t>
            </w:r>
          </w:p>
        </w:tc>
        <w:tc>
          <w:tcPr>
            <w:tcW w:w="1911" w:type="pct"/>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cs="Times New Roman"/>
                <w:color w:val="auto"/>
                <w:sz w:val="24"/>
                <w:lang w:val="en-US" w:eastAsia="zh-CN"/>
                <w:highlight w:val="none"/>
              </w:rPr>
              <w:t>***</w:t>
            </w:r>
          </w:p>
        </w:tc>
      </w:tr>
      <w:tr>
        <w:trPr>
          <w:trHeight w:val="700"/>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建设地点</w:t>
            </w:r>
          </w:p>
        </w:tc>
        <w:tc>
          <w:tcPr>
            <w:tcW w:w="4068" w:type="pct"/>
            <w:gridSpan w:val="4"/>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河北省石家庄市栾城区装备制造基地楼底镇段家营村裕翔街168号103厂房</w:t>
            </w:r>
            <w:r>
              <w:rPr>
                <w:rFonts w:cs="Times New Roman" w:hint="eastAsia"/>
                <w:color w:val="auto"/>
                <w:sz w:val="24"/>
                <w:lang w:eastAsia="zh-CN"/>
                <w:highlight w:val="none"/>
              </w:rPr>
              <w:t>（</w:t>
            </w:r>
            <w:r>
              <w:rPr>
                <w:rFonts w:ascii="Times New Roman" w:cs="Times New Roman" w:hAnsi="Times New Roman"/>
                <w:color w:val="auto"/>
                <w:sz w:val="24"/>
                <w:highlight w:val="none"/>
              </w:rPr>
              <w:t>南</w:t>
            </w:r>
            <w:r>
              <w:rPr>
                <w:rFonts w:cs="Times New Roman" w:hint="eastAsia"/>
                <w:color w:val="auto"/>
                <w:sz w:val="24"/>
                <w:lang w:eastAsia="zh-CN"/>
                <w:highlight w:val="none"/>
              </w:rPr>
              <w:t>）</w:t>
            </w:r>
          </w:p>
        </w:tc>
      </w:tr>
      <w:tr>
        <w:trPr>
          <w:trHeight w:val="428"/>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地理坐标</w:t>
            </w:r>
          </w:p>
        </w:tc>
        <w:tc>
          <w:tcPr>
            <w:tcW w:w="4068" w:type="pct"/>
            <w:gridSpan w:val="4"/>
            <w:tcBorders>
              <w:left w:val="single" w:sz="4" w:space="0" w:color="auto"/>
            </w:tcBorders>
            <w:vAlign w:val="center"/>
          </w:tcPr>
          <w:p>
            <w:pPr>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ascii="Times New Roman" w:cs="Times New Roman" w:hAnsi="Times New Roman"/>
                <w:color w:val="auto"/>
                <w:sz w:val="24"/>
                <w:u w:val="single"/>
                <w:highlight w:val="none"/>
              </w:rPr>
              <w:t>114</w:t>
            </w:r>
            <w:r>
              <w:rPr>
                <w:rFonts w:ascii="Times New Roman" w:cs="Times New Roman" w:hAnsi="Times New Roman"/>
                <w:color w:val="auto"/>
                <w:sz w:val="24"/>
                <w:highlight w:val="none"/>
              </w:rPr>
              <w:t>度</w:t>
            </w:r>
            <w:r>
              <w:rPr>
                <w:rFonts w:ascii="Times New Roman" w:cs="Times New Roman" w:hAnsi="Times New Roman"/>
                <w:color w:val="auto"/>
                <w:sz w:val="24"/>
                <w:u w:val="single"/>
                <w:highlight w:val="none"/>
              </w:rPr>
              <w:t>3</w:t>
            </w:r>
            <w:r>
              <w:rPr>
                <w:rFonts w:cs="Times New Roman" w:hint="eastAsia"/>
                <w:color w:val="auto"/>
                <w:sz w:val="24"/>
                <w:u w:val="single"/>
                <w:lang w:val="en-US" w:eastAsia="zh-CN"/>
                <w:highlight w:val="none"/>
              </w:rPr>
              <w:t>1</w:t>
            </w:r>
            <w:r>
              <w:rPr>
                <w:rFonts w:ascii="Times New Roman" w:cs="Times New Roman" w:hAnsi="Times New Roman"/>
                <w:color w:val="auto"/>
                <w:sz w:val="24"/>
                <w:highlight w:val="none"/>
              </w:rPr>
              <w:t>分</w:t>
            </w:r>
            <w:r>
              <w:rPr>
                <w:rFonts w:cs="Times New Roman" w:hint="eastAsia"/>
                <w:color w:val="auto"/>
                <w:sz w:val="24"/>
                <w:u w:val="single"/>
                <w:lang w:val="en-US" w:eastAsia="zh-CN"/>
                <w:highlight w:val="none"/>
              </w:rPr>
              <w:t>34.373</w:t>
            </w:r>
            <w:r>
              <w:rPr>
                <w:rFonts w:ascii="Times New Roman" w:cs="Times New Roman" w:hAnsi="Times New Roman"/>
                <w:color w:val="auto"/>
                <w:sz w:val="24"/>
                <w:highlight w:val="none"/>
              </w:rPr>
              <w:t>秒，</w:t>
            </w:r>
            <w:r>
              <w:rPr>
                <w:rFonts w:ascii="Times New Roman" w:cs="Times New Roman" w:hAnsi="Times New Roman"/>
                <w:color w:val="auto"/>
                <w:sz w:val="24"/>
                <w:u w:val="single"/>
                <w:highlight w:val="none"/>
              </w:rPr>
              <w:t>37</w:t>
            </w:r>
            <w:r>
              <w:rPr>
                <w:rFonts w:ascii="Times New Roman" w:cs="Times New Roman" w:hAnsi="Times New Roman"/>
                <w:color w:val="auto"/>
                <w:sz w:val="24"/>
                <w:highlight w:val="none"/>
              </w:rPr>
              <w:t>度</w:t>
            </w:r>
            <w:r>
              <w:rPr>
                <w:rFonts w:ascii="Times New Roman" w:cs="Times New Roman" w:hAnsi="Times New Roman"/>
                <w:color w:val="auto"/>
                <w:sz w:val="24"/>
                <w:u w:val="single"/>
                <w:highlight w:val="none"/>
              </w:rPr>
              <w:t>5</w:t>
            </w:r>
            <w:r>
              <w:rPr>
                <w:rFonts w:cs="Times New Roman" w:hint="eastAsia"/>
                <w:color w:val="auto"/>
                <w:sz w:val="24"/>
                <w:u w:val="single"/>
                <w:lang w:val="en-US" w:eastAsia="zh-CN"/>
                <w:highlight w:val="none"/>
              </w:rPr>
              <w:t>4</w:t>
            </w:r>
            <w:r>
              <w:rPr>
                <w:rFonts w:ascii="Times New Roman" w:cs="Times New Roman" w:hAnsi="Times New Roman"/>
                <w:color w:val="auto"/>
                <w:sz w:val="24"/>
                <w:highlight w:val="none"/>
              </w:rPr>
              <w:t>分</w:t>
            </w:r>
            <w:r>
              <w:rPr>
                <w:rFonts w:cs="Times New Roman" w:hint="eastAsia"/>
                <w:color w:val="auto"/>
                <w:sz w:val="24"/>
                <w:u w:val="single"/>
                <w:lang w:val="en-US" w:eastAsia="zh-CN"/>
                <w:highlight w:val="none"/>
              </w:rPr>
              <w:t>52.017</w:t>
            </w:r>
            <w:r>
              <w:rPr>
                <w:rFonts w:ascii="Times New Roman" w:cs="Times New Roman" w:hAnsi="Times New Roman"/>
                <w:color w:val="auto"/>
                <w:sz w:val="24"/>
                <w:highlight w:val="none"/>
              </w:rPr>
              <w:t>秒）</w:t>
            </w:r>
          </w:p>
        </w:tc>
      </w:tr>
      <w:tr>
        <w:trPr>
          <w:trHeight w:val="561"/>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国民经济</w:t>
            </w:r>
          </w:p>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行业类别</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val="en-US" w:eastAsia="zh-CN"/>
                <w:highlight w:val="none"/>
              </w:rPr>
            </w:pPr>
            <w:r>
              <w:rPr>
                <w:rFonts w:hint="eastAsia"/>
                <w:color w:val="auto"/>
                <w:sz w:val="24"/>
                <w:szCs w:val="24"/>
              </w:rPr>
              <w:t>N7724 危险废物治理</w:t>
            </w:r>
          </w:p>
        </w:tc>
        <w:tc>
          <w:tcPr>
            <w:tcW w:w="956" w:type="pct"/>
            <w:tcBorders>
              <w:left w:val="single" w:sz="4" w:space="0" w:color="auto"/>
            </w:tcBorders>
            <w:vAlign w:val="center"/>
          </w:tcPr>
          <w:p>
            <w:pPr>
              <w:widowControl/>
              <w:jc w:val="center"/>
              <w:rPr>
                <w:rFonts w:ascii="Times New Roman" w:cs="Times New Roman" w:hAnsi="Times New Roman"/>
                <w:color w:val="auto"/>
                <w:sz w:val="24"/>
                <w:highlight w:val="none"/>
              </w:rPr>
            </w:pPr>
            <w:bookmarkStart w:id="13" w:name="_Hlk49843745"/>
            <w:r>
              <w:rPr>
                <w:rFonts w:ascii="Times New Roman" w:cs="Times New Roman" w:hAnsi="Times New Roman"/>
                <w:color w:val="auto"/>
                <w:sz w:val="24"/>
                <w:highlight w:val="none"/>
              </w:rPr>
              <w:t>建设项目</w:t>
            </w:r>
          </w:p>
          <w:p>
            <w:pPr>
              <w:widowControl/>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行业类别</w:t>
            </w:r>
            <w:bookmarkEnd w:id="13"/>
          </w:p>
        </w:tc>
        <w:tc>
          <w:tcPr>
            <w:tcW w:w="1911" w:type="pct"/>
            <w:tcBorders>
              <w:left w:val="single" w:sz="4" w:space="0" w:color="auto"/>
            </w:tcBorders>
            <w:vAlign w:val="center"/>
          </w:tcPr>
          <w:p>
            <w:pPr>
              <w:adjustRightInd w:val="0"/>
              <w:snapToGrid w:val="0"/>
              <w:jc w:val="both"/>
              <w:rPr>
                <w:rFonts w:ascii="Times New Roman" w:eastAsia="宋体" w:cs="Times New Roman" w:hAnsi="Times New Roman" w:hint="eastAsia"/>
                <w:color w:val="auto"/>
                <w:sz w:val="24"/>
                <w:lang w:val="en-US" w:eastAsia="zh-CN"/>
                <w:highlight w:val="none"/>
              </w:rPr>
            </w:pPr>
            <w:r>
              <w:rPr>
                <w:rFonts w:hint="eastAsia"/>
                <w:color w:val="auto"/>
                <w:sz w:val="24"/>
                <w:szCs w:val="24"/>
              </w:rPr>
              <w:t>四十七、生态保护和环境治理业101危险废物（不含医疗废物）利用及处置—其他</w:t>
            </w:r>
          </w:p>
        </w:tc>
      </w:tr>
      <w:tr>
        <w:trPr>
          <w:trHeight w:val="1219"/>
        </w:trPr>
        <w:tc>
          <w:tcPr>
            <w:tcW w:w="931" w:type="pct"/>
            <w:tcMar>
              <w:top w:w="16" w:type="dxa"/>
              <w:left w:w="16" w:type="dxa"/>
              <w:right w:w="16" w:type="dxa"/>
            </w:tcMar>
            <w:vAlign w:val="center"/>
          </w:tcPr>
          <w:p>
            <w:pPr>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建设性质</w:t>
            </w:r>
          </w:p>
        </w:tc>
        <w:tc>
          <w:tcPr>
            <w:tcW w:w="1199" w:type="pct"/>
            <w:gridSpan w:val="2"/>
            <w:tcBorders>
              <w:left w:val="single" w:sz="4" w:space="0" w:color="auto"/>
            </w:tcBorders>
            <w:vAlign w:val="center"/>
          </w:tcPr>
          <w:p>
            <w:pPr>
              <w:jc w:val="left"/>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新建（迁建</w:t>
            </w:r>
            <w:r>
              <w:rPr>
                <w:rFonts w:cs="Times New Roman" w:hint="eastAsia"/>
                <w:color w:val="auto"/>
                <w:sz w:val="24"/>
                <w:lang w:eastAsia="zh-CN"/>
                <w:highlight w:val="none"/>
              </w:rPr>
              <w:t>）</w:t>
            </w:r>
          </w:p>
          <w:p>
            <w:pPr>
              <w:jc w:val="left"/>
              <w:rPr>
                <w:rFonts w:ascii="Times New Roman" w:cs="Times New Roman" w:hAnsi="Times New Roman"/>
                <w:color w:val="auto"/>
                <w:sz w:val="24"/>
                <w:lang w:val="en-US"/>
                <w:highlight w:val="none"/>
              </w:rPr>
            </w:pPr>
            <w:r>
              <w:rPr>
                <w:rFonts w:cs="Times New Roman" w:hint="eastAsia"/>
                <w:color w:val="auto"/>
                <w:sz w:val="24"/>
                <w:lang w:eastAsia="zh-CN"/>
                <w:highlight w:val="none"/>
              </w:rPr>
              <w:t>□</w:t>
            </w:r>
            <w:r>
              <w:rPr>
                <w:rFonts w:cs="Times New Roman" w:hint="eastAsia"/>
                <w:color w:val="auto"/>
                <w:sz w:val="24"/>
                <w:lang w:val="en-US" w:eastAsia="zh-CN"/>
                <w:highlight w:val="none"/>
              </w:rPr>
              <w:t>改建</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扩建</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技术改造</w:t>
            </w:r>
          </w:p>
        </w:tc>
        <w:tc>
          <w:tcPr>
            <w:tcW w:w="956"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建设项目</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申报情形</w:t>
            </w:r>
          </w:p>
        </w:tc>
        <w:tc>
          <w:tcPr>
            <w:tcW w:w="1911" w:type="pct"/>
            <w:tcBorders>
              <w:left w:val="single" w:sz="4" w:space="0" w:color="auto"/>
            </w:tcBorders>
            <w:vAlign w:val="center"/>
          </w:tcPr>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cs="Times New Roman" w:hint="eastAsia"/>
                <w:color w:val="auto"/>
                <w:sz w:val="24"/>
                <w:lang w:val="en-US" w:eastAsia="zh-CN"/>
                <w:highlight w:val="none"/>
              </w:rPr>
              <w:t>首</w:t>
            </w:r>
            <w:r>
              <w:rPr>
                <w:rFonts w:ascii="Times New Roman" w:cs="Times New Roman" w:hAnsi="Times New Roman"/>
                <w:color w:val="auto"/>
                <w:sz w:val="24"/>
                <w:highlight w:val="none"/>
              </w:rPr>
              <w:t xml:space="preserve">次申报项目             </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不予批准后再次申报项目</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 xml:space="preserve">超五年重新审核项目     </w:t>
            </w:r>
          </w:p>
          <w:p>
            <w:pPr>
              <w:jc w:val="left"/>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重大变动重新报批项目</w:t>
            </w:r>
          </w:p>
        </w:tc>
      </w:tr>
      <w:tr>
        <w:trPr>
          <w:trHeight w:val="851"/>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项目审批（核准/</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备案）部门（选填）</w:t>
            </w:r>
          </w:p>
        </w:tc>
        <w:tc>
          <w:tcPr>
            <w:tcW w:w="1199" w:type="pct"/>
            <w:gridSpan w:val="2"/>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河北石家庄</w:t>
            </w:r>
            <w:r>
              <w:rPr>
                <w:rFonts w:cs="Times New Roman" w:hint="eastAsia"/>
                <w:color w:val="auto"/>
                <w:sz w:val="24"/>
                <w:lang w:val="en-US" w:eastAsia="zh-CN"/>
                <w:highlight w:val="none"/>
              </w:rPr>
              <w:t>装备制造产业园管理委员会</w:t>
            </w:r>
          </w:p>
        </w:tc>
        <w:tc>
          <w:tcPr>
            <w:tcW w:w="956"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项目审批（核准/</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备案）文号（选填）</w:t>
            </w:r>
          </w:p>
        </w:tc>
        <w:tc>
          <w:tcPr>
            <w:tcW w:w="1911" w:type="pct"/>
            <w:tcBorders>
              <w:left w:val="single" w:sz="4" w:space="0" w:color="auto"/>
            </w:tcBorders>
            <w:vAlign w:val="center"/>
          </w:tcPr>
          <w:p>
            <w:pPr>
              <w:adjustRightInd w:val="0"/>
              <w:snapToGrid w:val="0"/>
              <w:jc w:val="center"/>
              <w:rPr>
                <w:rFonts w:ascii="Times New Roman" w:eastAsia="宋体" w:cs="Times New Roman" w:hAnsi="Times New Roman" w:hint="eastAsia"/>
                <w:color w:val="auto"/>
                <w:sz w:val="24"/>
                <w:lang w:eastAsia="zh-CN"/>
                <w:highlight w:val="none"/>
              </w:rPr>
            </w:pPr>
            <w:r>
              <w:rPr>
                <w:rFonts w:hint="eastAsia"/>
                <w:color w:val="auto"/>
                <w:sz w:val="24"/>
                <w:szCs w:val="24"/>
                <w:lang w:eastAsia="zh-CN"/>
              </w:rPr>
              <w:t>装管委投资备字〔2026〕58号</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总投资（万元）</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hint="eastAsia"/>
                <w:color w:val="auto"/>
                <w:sz w:val="24"/>
                <w:szCs w:val="24"/>
                <w:lang w:val="en-US" w:eastAsia="zh-CN"/>
                <w:highlight w:val="none"/>
              </w:rPr>
              <w:t>150</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环保投资</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（万元）</w:t>
            </w:r>
          </w:p>
        </w:tc>
        <w:tc>
          <w:tcPr>
            <w:tcW w:w="1911" w:type="pct"/>
            <w:tcBorders>
              <w:left w:val="single" w:sz="4" w:space="0" w:color="auto"/>
            </w:tcBorders>
            <w:vAlign w:val="center"/>
          </w:tcPr>
          <w:p>
            <w:pPr>
              <w:adjustRightInd w:val="0"/>
              <w:snapToGrid w:val="0"/>
              <w:jc w:val="center"/>
              <w:rPr>
                <w:rFonts w:ascii="Times New Roman" w:cs="Times New Roman" w:hAnsi="Times New Roman"/>
                <w:color w:val="auto"/>
                <w:sz w:val="24"/>
                <w:lang w:val="en-US"/>
                <w:highlight w:val="none"/>
              </w:rPr>
            </w:pPr>
            <w:r>
              <w:rPr>
                <w:rFonts w:cs="Times New Roman" w:hint="eastAsia"/>
                <w:color w:val="auto"/>
                <w:sz w:val="24"/>
                <w:lang w:val="en-US" w:eastAsia="zh-CN"/>
                <w:highlight w:val="none"/>
              </w:rPr>
              <w:t>30</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环保投资占比（%）</w:t>
            </w:r>
          </w:p>
        </w:tc>
        <w:tc>
          <w:tcPr>
            <w:tcW w:w="1199"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auto"/>
                <w:sz w:val="24"/>
                <w:lang w:val="en-US" w:eastAsia="zh-CN"/>
                <w:highlight w:val="none"/>
              </w:rPr>
            </w:pPr>
            <w:r>
              <w:rPr>
                <w:rFonts w:cs="Times New Roman" w:hint="eastAsia"/>
                <w:color w:val="auto"/>
                <w:sz w:val="24"/>
                <w:lang w:val="en-US" w:eastAsia="zh-CN"/>
                <w:highlight w:val="none"/>
              </w:rPr>
              <w:t>20</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施工工期</w:t>
            </w:r>
          </w:p>
        </w:tc>
        <w:tc>
          <w:tcPr>
            <w:tcW w:w="1911" w:type="pct"/>
            <w:tcBorders>
              <w:left w:val="single" w:sz="4" w:space="0" w:color="auto"/>
            </w:tcBorders>
            <w:vAlign w:val="center"/>
          </w:tcPr>
          <w:p>
            <w:pPr>
              <w:adjustRightInd w:val="0"/>
              <w:snapToGrid w:val="0"/>
              <w:jc w:val="center"/>
              <w:rPr>
                <w:rFonts w:ascii="Times New Roman" w:cs="Times New Roman" w:hAnsi="Times New Roman"/>
                <w:color w:val="auto"/>
                <w:sz w:val="24"/>
                <w:highlight w:val="none"/>
              </w:rPr>
            </w:pPr>
            <w:r>
              <w:rPr>
                <w:rFonts w:hint="eastAsia"/>
                <w:color w:val="auto"/>
                <w:sz w:val="24"/>
                <w:szCs w:val="24"/>
                <w:lang w:val="en-US" w:eastAsia="zh-CN"/>
                <w:highlight w:val="none"/>
              </w:rPr>
              <w:t>3</w:t>
            </w:r>
            <w:r>
              <w:rPr>
                <w:rFonts w:hint="eastAsia"/>
                <w:color w:val="auto"/>
                <w:sz w:val="24"/>
                <w:szCs w:val="24"/>
                <w:highlight w:val="none"/>
              </w:rPr>
              <w:t>个月</w:t>
            </w:r>
          </w:p>
        </w:tc>
      </w:tr>
      <w:tr>
        <w:trPr>
          <w:trHeight w:val="497"/>
        </w:trPr>
        <w:tc>
          <w:tcPr>
            <w:tcW w:w="931" w:type="pct"/>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是否开工建设</w:t>
            </w:r>
          </w:p>
        </w:tc>
        <w:tc>
          <w:tcPr>
            <w:tcW w:w="1199" w:type="pct"/>
            <w:gridSpan w:val="2"/>
            <w:tcBorders>
              <w:left w:val="single" w:sz="4" w:space="0" w:color="auto"/>
            </w:tcBorders>
            <w:vAlign w:val="center"/>
          </w:tcPr>
          <w:p>
            <w:pPr>
              <w:adjustRightInd w:val="0"/>
              <w:snapToGrid w:val="0"/>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否</w:t>
            </w:r>
          </w:p>
          <w:p>
            <w:pPr>
              <w:adjustRightInd w:val="0"/>
              <w:snapToGrid w:val="0"/>
              <w:rPr>
                <w:rFonts w:ascii="Times New Roman" w:cs="Times New Roman" w:hAnsi="Times New Roman"/>
                <w:color w:val="auto"/>
                <w:sz w:val="24"/>
                <w:highlight w:val="none"/>
              </w:rPr>
            </w:pPr>
            <w:r>
              <w:rPr>
                <w:rFonts w:cs="Times New Roman" w:hint="eastAsia"/>
                <w:color w:val="auto"/>
                <w:sz w:val="24"/>
                <w:lang w:eastAsia="zh-CN"/>
                <w:highlight w:val="none"/>
              </w:rPr>
              <w:t>□</w:t>
            </w:r>
            <w:r>
              <w:rPr>
                <w:rFonts w:ascii="Times New Roman" w:cs="Times New Roman" w:hAnsi="Times New Roman"/>
                <w:color w:val="auto"/>
                <w:sz w:val="24"/>
                <w:highlight w:val="none"/>
              </w:rPr>
              <w:t>是：</w:t>
            </w:r>
            <w:r>
              <w:rPr>
                <w:rFonts w:ascii="Times New Roman" w:cs="Times New Roman" w:hAnsi="Times New Roman"/>
                <w:color w:val="auto"/>
                <w:sz w:val="24"/>
                <w:u w:val="single"/>
                <w:highlight w:val="none"/>
              </w:rPr>
              <w:t xml:space="preserve">             </w:t>
            </w:r>
          </w:p>
        </w:tc>
        <w:tc>
          <w:tcPr>
            <w:tcW w:w="956"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用地（用海）</w:t>
            </w:r>
          </w:p>
          <w:p>
            <w:pPr>
              <w:adjustRightInd w:val="0"/>
              <w:snapToGrid w:val="0"/>
              <w:jc w:val="center"/>
              <w:rPr>
                <w:rFonts w:ascii="Times New Roman" w:cs="Times New Roman" w:hAnsi="Times New Roman"/>
                <w:color w:val="auto"/>
                <w:sz w:val="24"/>
                <w:highlight w:val="none"/>
              </w:rPr>
            </w:pPr>
            <w:r>
              <w:rPr>
                <w:rFonts w:ascii="Times New Roman" w:cs="Times New Roman" w:hAnsi="Times New Roman"/>
                <w:color w:val="auto"/>
                <w:sz w:val="24"/>
                <w:highlight w:val="none"/>
              </w:rPr>
              <w:t>面积（m</w:t>
            </w:r>
            <w:r>
              <w:rPr>
                <w:rFonts w:ascii="Times New Roman" w:cs="Times New Roman" w:hAnsi="Times New Roman"/>
                <w:color w:val="auto"/>
                <w:sz w:val="24"/>
                <w:vertAlign w:val="superscript"/>
                <w:highlight w:val="none"/>
              </w:rPr>
              <w:t>2</w:t>
            </w:r>
            <w:r>
              <w:rPr>
                <w:rFonts w:ascii="Times New Roman" w:cs="Times New Roman" w:hAnsi="Times New Roman"/>
                <w:color w:val="auto"/>
                <w:sz w:val="24"/>
                <w:highlight w:val="none"/>
              </w:rPr>
              <w:t>）</w:t>
            </w:r>
          </w:p>
        </w:tc>
        <w:tc>
          <w:tcPr>
            <w:tcW w:w="1911" w:type="pct"/>
            <w:tcBorders>
              <w:left w:val="single" w:sz="4" w:space="0" w:color="auto"/>
            </w:tcBorders>
            <w:vAlign w:val="center"/>
          </w:tcPr>
          <w:p>
            <w:pPr>
              <w:widowControl/>
              <w:jc w:val="center"/>
              <w:rPr>
                <w:rFonts w:ascii="Times New Roman" w:eastAsia="宋体" w:cs="Times New Roman" w:hAnsi="Times New Roman"/>
                <w:color w:val="auto"/>
                <w:sz w:val="24"/>
                <w:lang w:val="en-US" w:eastAsia="zh-CN"/>
                <w:highlight w:val="none"/>
              </w:rPr>
            </w:pPr>
            <w:r>
              <w:rPr>
                <w:rFonts w:hint="eastAsia"/>
                <w:color w:val="auto"/>
                <w:sz w:val="24"/>
                <w:szCs w:val="24"/>
                <w:lang w:val="en-US" w:eastAsia="zh-CN"/>
                <w:highlight w:val="none"/>
              </w:rPr>
              <w:t>1140</w:t>
            </w:r>
          </w:p>
        </w:tc>
      </w:tr>
      <w:tr>
        <w:trPr>
          <w:trHeight w:val="654"/>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专项评价设置情况</w:t>
            </w:r>
          </w:p>
        </w:tc>
        <w:tc>
          <w:tcPr>
            <w:tcW w:w="4068" w:type="pct"/>
            <w:gridSpan w:val="4"/>
            <w:tcBorders>
              <w:left w:val="single" w:sz="4" w:space="0" w:color="auto"/>
            </w:tcBorders>
            <w:tcMar>
              <w:left w:w="108" w:type="dxa"/>
            </w:tcMar>
            <w:vAlign w:val="center"/>
          </w:tcPr>
          <w:p>
            <w:pPr>
              <w:pStyle w:val="56"/>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根据《建设项目环境影响报告表编制技术指南》（污染影响类）要求，有毒有害和易燃易爆危险物质存储量超过临界量的建设项目，需要设置环境风险专项评价，本项目废</w:t>
            </w:r>
            <w:r>
              <w:rPr>
                <w:rFonts w:cs="Times New Roman" w:hint="eastAsia"/>
                <w:color w:val="auto"/>
                <w:lang w:val="en-US" w:eastAsia="zh-CN"/>
                <w:highlight w:val="none"/>
              </w:rPr>
              <w:t>铅蓄电池</w:t>
            </w:r>
            <w:r>
              <w:rPr>
                <w:rFonts w:ascii="Times New Roman" w:eastAsia="宋体" w:cs="Times New Roman" w:hAnsi="Times New Roman" w:hint="eastAsia"/>
                <w:color w:val="auto"/>
                <w:lang w:val="en-US" w:eastAsia="zh-CN"/>
                <w:highlight w:val="none"/>
              </w:rPr>
              <w:t>存在量超过《建设项目环境风险评价技术导则》</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HJ/T169-2018</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中规定的临界量，因此需设置环境风险评价专章。详见下表。</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表1-1  项目专项设置情况一览表</w:t>
            </w:r>
          </w:p>
          <w:tbl>
            <w:tblPr>
              <w:jc w:val="center"/>
              <w:tblW w:w="760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40"/>
              <w:gridCol w:w="2984"/>
              <w:gridCol w:w="2284"/>
              <w:gridCol w:w="1094"/>
            </w:tblGrid>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专项评价类别</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设置原则</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是否设置专项</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val="en-US" w:eastAsia="zh-CN"/>
                      <w:highlight w:val="none"/>
                    </w:rPr>
                  </w:pPr>
                  <w:r>
                    <w:rPr>
                      <w:rFonts w:ascii="Times New Roman" w:cs="Times New Roman" w:hAnsi="Times New Roman" w:hint="eastAsia"/>
                      <w:b w:val="0"/>
                      <w:bCs w:val="0"/>
                      <w:color w:val="auto"/>
                      <w:sz w:val="21"/>
                      <w:szCs w:val="21"/>
                      <w:lang w:eastAsia="zh-CN"/>
                      <w:highlight w:val="none"/>
                    </w:rPr>
                    <w:t>大气</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cs="Times New Roman"/>
                      <w:b/>
                      <w:bCs/>
                      <w:color w:val="auto"/>
                      <w:sz w:val="21"/>
                      <w:szCs w:val="21"/>
                      <w:vertAlign w:val="baseline"/>
                      <w:lang w:val="en-US" w:eastAsia="zh-CN"/>
                      <w:highlight w:val="none"/>
                    </w:rPr>
                  </w:pPr>
                  <w:r>
                    <w:rPr>
                      <w:rFonts w:ascii="Times New Roman" w:cs="Times New Roman" w:hAnsi="Times New Roman"/>
                      <w:b w:val="0"/>
                      <w:bCs w:val="0"/>
                      <w:color w:val="auto"/>
                      <w:sz w:val="21"/>
                      <w:szCs w:val="21"/>
                      <w:highlight w:val="none"/>
                    </w:rPr>
                    <w:t>排放废气含有毒有害污染物</w:t>
                  </w:r>
                  <w:r>
                    <w:rPr>
                      <w:rFonts w:ascii="Times New Roman" w:cs="Times New Roman" w:hAnsi="Times New Roman" w:hint="eastAsia"/>
                      <w:b w:val="0"/>
                      <w:bCs w:val="0"/>
                      <w:color w:val="auto"/>
                      <w:sz w:val="21"/>
                      <w:szCs w:val="21"/>
                      <w:vertAlign w:val="superscript"/>
                      <w:lang w:val="en-US" w:eastAsia="zh-CN"/>
                      <w:highlight w:val="none"/>
                    </w:rPr>
                    <w:t>1</w:t>
                  </w:r>
                  <w:r>
                    <w:rPr>
                      <w:rFonts w:ascii="Times New Roman" w:cs="Times New Roman" w:hAnsi="Times New Roman"/>
                      <w:b w:val="0"/>
                      <w:bCs w:val="0"/>
                      <w:color w:val="auto"/>
                      <w:sz w:val="21"/>
                      <w:szCs w:val="21"/>
                      <w:highlight w:val="none"/>
                    </w:rPr>
                    <w:t>、二噁英、苯并[a]芘、氰化物、氯气且厂界外500米范围内有环境空气保护目标的建设项目</w:t>
                  </w:r>
                  <w:r>
                    <w:rPr>
                      <w:rFonts w:cs="Times New Roman" w:hint="eastAsia"/>
                      <w:color w:val="auto"/>
                      <w:sz w:val="21"/>
                      <w:szCs w:val="21"/>
                      <w:lang w:val="en-US" w:eastAsia="zh-CN"/>
                      <w:highlight w:val="none"/>
                    </w:rPr>
                    <w:t>。</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本项目不涉及排放</w:t>
                  </w:r>
                  <w:r>
                    <w:rPr>
                      <w:rFonts w:ascii="Times New Roman" w:cs="Times New Roman" w:hAnsi="Times New Roman"/>
                      <w:b w:val="0"/>
                      <w:bCs w:val="0"/>
                      <w:color w:val="auto"/>
                      <w:sz w:val="21"/>
                      <w:szCs w:val="21"/>
                      <w:highlight w:val="none"/>
                    </w:rPr>
                    <w:t>有毒有害污染物</w:t>
                  </w:r>
                  <w:r>
                    <w:rPr>
                      <w:rFonts w:ascii="Times New Roman" w:cs="Times New Roman" w:hAnsi="Times New Roman" w:hint="eastAsia"/>
                      <w:b w:val="0"/>
                      <w:bCs w:val="0"/>
                      <w:color w:val="auto"/>
                      <w:sz w:val="21"/>
                      <w:szCs w:val="21"/>
                      <w:lang w:eastAsia="zh-CN"/>
                      <w:highlight w:val="none"/>
                    </w:rPr>
                    <w:t>，仅排放硫酸雾。</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地表水</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新增工业废水直排建设项目</w:t>
                  </w:r>
                  <w:r>
                    <w:rPr>
                      <w:rFonts w:cs="Times New Roman" w:hint="eastAsia"/>
                      <w:b w:val="0"/>
                      <w:bCs w:val="0"/>
                      <w:color w:val="auto"/>
                      <w:sz w:val="21"/>
                      <w:szCs w:val="21"/>
                      <w:lang w:eastAsia="zh-CN"/>
                      <w:highlight w:val="none"/>
                    </w:rPr>
                    <w:t>（</w:t>
                  </w:r>
                  <w:r>
                    <w:rPr>
                      <w:rFonts w:ascii="Times New Roman" w:cs="Times New Roman" w:hAnsi="Times New Roman"/>
                      <w:b w:val="0"/>
                      <w:bCs w:val="0"/>
                      <w:color w:val="auto"/>
                      <w:sz w:val="21"/>
                      <w:szCs w:val="21"/>
                      <w:highlight w:val="none"/>
                    </w:rPr>
                    <w:t>槽罐车外送污水处理厂的除外</w:t>
                  </w:r>
                  <w:r>
                    <w:rPr>
                      <w:rFonts w:cs="Times New Roman" w:hint="eastAsia"/>
                      <w:b w:val="0"/>
                      <w:bCs w:val="0"/>
                      <w:color w:val="auto"/>
                      <w:sz w:val="21"/>
                      <w:szCs w:val="21"/>
                      <w:lang w:eastAsia="zh-CN"/>
                      <w:highlight w:val="none"/>
                    </w:rPr>
                    <w:t>）</w:t>
                  </w:r>
                  <w:r>
                    <w:rPr>
                      <w:rFonts w:ascii="Times New Roman" w:cs="Times New Roman" w:hAnsi="Times New Roman" w:hint="eastAsia"/>
                      <w:b w:val="0"/>
                      <w:bCs w:val="0"/>
                      <w:color w:val="auto"/>
                      <w:sz w:val="21"/>
                      <w:szCs w:val="21"/>
                      <w:lang w:eastAsia="zh-CN"/>
                      <w:highlight w:val="none"/>
                    </w:rPr>
                    <w:t>；</w:t>
                  </w:r>
                  <w:r>
                    <w:rPr>
                      <w:rFonts w:ascii="Times New Roman" w:cs="Times New Roman" w:hAnsi="Times New Roman"/>
                      <w:b w:val="0"/>
                      <w:bCs w:val="0"/>
                      <w:color w:val="auto"/>
                      <w:sz w:val="21"/>
                      <w:szCs w:val="21"/>
                      <w:highlight w:val="none"/>
                    </w:rPr>
                    <w:t>新增废水直排的污水集中处理厂</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本项目生活污水依托化粪池处理后</w:t>
                  </w:r>
                  <w:r>
                    <w:rPr>
                      <w:rFonts w:cs="Times New Roman" w:hint="eastAsia"/>
                      <w:b w:val="0"/>
                      <w:bCs w:val="0"/>
                      <w:color w:val="auto"/>
                      <w:sz w:val="21"/>
                      <w:szCs w:val="21"/>
                      <w:lang w:eastAsia="zh-CN"/>
                      <w:highlight w:val="none"/>
                    </w:rPr>
                    <w:t>定期清掏</w:t>
                  </w:r>
                  <w:r>
                    <w:rPr>
                      <w:rFonts w:ascii="Times New Roman" w:cs="Times New Roman" w:hAnsi="Times New Roman" w:hint="eastAsia"/>
                      <w:b w:val="0"/>
                      <w:bCs w:val="0"/>
                      <w:color w:val="auto"/>
                      <w:sz w:val="21"/>
                      <w:szCs w:val="21"/>
                      <w:lang w:eastAsia="zh-CN"/>
                      <w:highlight w:val="none"/>
                    </w:rPr>
                    <w:t>，不涉排污口</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环境风险</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有毒有害和易燃易爆危险物质存储量超过临界量的建设项目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b w:val="0"/>
                      <w:bCs w:val="0"/>
                      <w:color w:val="auto"/>
                      <w:sz w:val="21"/>
                      <w:szCs w:val="21"/>
                      <w:lang w:val="en-US" w:eastAsia="zh-CN"/>
                      <w:highlight w:val="none"/>
                    </w:rPr>
                  </w:pPr>
                  <w:r>
                    <w:rPr>
                      <w:rFonts w:ascii="Times New Roman" w:cs="Times New Roman" w:hAnsi="Times New Roman" w:hint="eastAsia"/>
                      <w:b w:val="0"/>
                      <w:bCs w:val="0"/>
                      <w:color w:val="auto"/>
                      <w:sz w:val="21"/>
                      <w:szCs w:val="21"/>
                      <w:lang w:eastAsia="zh-CN"/>
                      <w:highlight w:val="none"/>
                    </w:rPr>
                    <w:t>本项目涉及</w:t>
                  </w:r>
                  <w:r>
                    <w:rPr>
                      <w:rFonts w:cs="Times New Roman" w:hint="eastAsia"/>
                      <w:b w:val="0"/>
                      <w:bCs w:val="0"/>
                      <w:color w:val="auto"/>
                      <w:sz w:val="21"/>
                      <w:szCs w:val="21"/>
                      <w:lang w:eastAsia="zh-CN"/>
                      <w:highlight w:val="none"/>
                    </w:rPr>
                    <w:t>的</w:t>
                  </w:r>
                  <w:r>
                    <w:rPr>
                      <w:rFonts w:ascii="Times New Roman" w:cs="Times New Roman" w:hAnsi="Times New Roman" w:hint="eastAsia"/>
                      <w:b w:val="0"/>
                      <w:bCs w:val="0"/>
                      <w:color w:val="auto"/>
                      <w:sz w:val="21"/>
                      <w:szCs w:val="21"/>
                      <w:lang w:eastAsia="zh-CN"/>
                      <w:highlight w:val="none"/>
                    </w:rPr>
                    <w:t>风险物质</w:t>
                  </w:r>
                  <w:r>
                    <w:rPr>
                      <w:rFonts w:cs="Times New Roman" w:hint="eastAsia"/>
                      <w:b w:val="0"/>
                      <w:bCs w:val="0"/>
                      <w:color w:val="auto"/>
                      <w:sz w:val="21"/>
                      <w:szCs w:val="21"/>
                      <w:lang w:eastAsia="zh-CN"/>
                      <w:highlight w:val="none"/>
                    </w:rPr>
                    <w:t>为废铅蓄电池，</w:t>
                  </w:r>
                  <w:r>
                    <w:rPr>
                      <w:rFonts w:cs="Times New Roman" w:hint="eastAsia"/>
                      <w:b w:val="0"/>
                      <w:bCs w:val="0"/>
                      <w:color w:val="auto"/>
                      <w:sz w:val="21"/>
                      <w:szCs w:val="21"/>
                      <w:lang w:val="en-US" w:eastAsia="zh-CN"/>
                      <w:highlight w:val="none"/>
                    </w:rPr>
                    <w:t>Q＞1</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cs="Times New Roman" w:hint="eastAsia"/>
                      <w:b w:val="0"/>
                      <w:bCs w:val="0"/>
                      <w:color w:val="auto"/>
                      <w:sz w:val="21"/>
                      <w:szCs w:val="21"/>
                      <w:lang w:eastAsia="zh-CN"/>
                      <w:highlight w:val="none"/>
                    </w:rPr>
                    <w:t>是</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生态</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取水口下游500米范围内有重要水生生物的自然产卵场、索饵场、越冬场和洞游通道的新增河道取水的污染类建设项目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r>
              <w:trPr>
                <w:trHeight w:val="397"/>
              </w:trPr>
              <w:tc>
                <w:tcPr>
                  <w:tcW w:w="124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cs="Times New Roman" w:hAnsi="Times New Roman"/>
                      <w:b w:val="0"/>
                      <w:bCs w:val="0"/>
                      <w:color w:val="auto"/>
                      <w:sz w:val="21"/>
                      <w:szCs w:val="21"/>
                      <w:highlight w:val="none"/>
                    </w:rPr>
                  </w:pPr>
                  <w:r>
                    <w:rPr>
                      <w:rFonts w:ascii="Times New Roman" w:cs="Times New Roman" w:hAnsi="Times New Roman" w:hint="eastAsia"/>
                      <w:b w:val="0"/>
                      <w:bCs w:val="0"/>
                      <w:color w:val="auto"/>
                      <w:sz w:val="21"/>
                      <w:szCs w:val="21"/>
                      <w:lang w:eastAsia="zh-CN"/>
                      <w:highlight w:val="none"/>
                    </w:rPr>
                    <w:t>海洋</w:t>
                  </w:r>
                </w:p>
              </w:tc>
              <w:tc>
                <w:tcPr>
                  <w:tcW w:w="29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b w:val="0"/>
                      <w:bCs w:val="0"/>
                      <w:color w:val="auto"/>
                      <w:sz w:val="21"/>
                      <w:szCs w:val="21"/>
                      <w:highlight w:val="none"/>
                    </w:rPr>
                  </w:pPr>
                  <w:r>
                    <w:rPr>
                      <w:rFonts w:ascii="Times New Roman" w:cs="Times New Roman" w:hAnsi="Times New Roman"/>
                      <w:b w:val="0"/>
                      <w:bCs w:val="0"/>
                      <w:color w:val="auto"/>
                      <w:sz w:val="21"/>
                      <w:szCs w:val="21"/>
                      <w:highlight w:val="none"/>
                    </w:rPr>
                    <w:t>直接向海排放污染物的海洋工程建设项目</w:t>
                  </w:r>
                </w:p>
              </w:tc>
              <w:tc>
                <w:tcPr>
                  <w:tcW w:w="228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本项目不涉及</w:t>
                  </w:r>
                </w:p>
              </w:tc>
              <w:tc>
                <w:tcPr>
                  <w:tcW w:w="1094"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b w:val="0"/>
                      <w:bCs w:val="0"/>
                      <w:color w:val="auto"/>
                      <w:sz w:val="21"/>
                      <w:szCs w:val="21"/>
                      <w:lang w:eastAsia="zh-CN"/>
                      <w:highlight w:val="none"/>
                    </w:rPr>
                  </w:pPr>
                  <w:r>
                    <w:rPr>
                      <w:rFonts w:ascii="Times New Roman" w:cs="Times New Roman" w:hAnsi="Times New Roman" w:hint="eastAsia"/>
                      <w:b w:val="0"/>
                      <w:bCs w:val="0"/>
                      <w:color w:val="auto"/>
                      <w:sz w:val="21"/>
                      <w:szCs w:val="21"/>
                      <w:lang w:eastAsia="zh-CN"/>
                      <w:highlight w:val="none"/>
                    </w:rPr>
                    <w:t>否</w:t>
                  </w:r>
                </w:p>
              </w:tc>
            </w:tr>
          </w:tbl>
          <w:p>
            <w:pPr>
              <w:pStyle w:val="56"/>
              <w:rPr>
                <w:rFonts w:ascii="Times New Roman" w:eastAsia="宋体" w:cs="Times New Roman" w:hAnsi="Times New Roman"/>
                <w:color w:val="auto"/>
                <w:lang w:val="en-US" w:eastAsia="zh-CN"/>
                <w:highlight w:val="none"/>
              </w:rPr>
            </w:pPr>
          </w:p>
        </w:tc>
      </w:tr>
      <w:tr>
        <w:trPr>
          <w:trHeight w:val="606"/>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sz w:val="24"/>
                <w:highlight w:val="none"/>
              </w:rPr>
              <w:t>规划情况</w:t>
            </w:r>
          </w:p>
        </w:tc>
        <w:tc>
          <w:tcPr>
            <w:tcW w:w="4068" w:type="pct"/>
            <w:gridSpan w:val="4"/>
            <w:tcBorders>
              <w:left w:val="single" w:sz="4" w:space="0" w:color="auto"/>
            </w:tcBorders>
            <w:tcMar>
              <w:left w:w="108" w:type="dxa"/>
            </w:tcMar>
            <w:vAlign w:val="center"/>
          </w:tcPr>
          <w:p>
            <w:pPr>
              <w:pStyle w:val="56"/>
              <w:rPr>
                <w:rFonts w:ascii="Times New Roman" w:cs="Times New Roman" w:hAnsi="Times New Roman"/>
                <w:color w:val="auto"/>
                <w:highlight w:val="none"/>
              </w:rPr>
            </w:pPr>
            <w:r>
              <w:rPr>
                <w:rFonts w:ascii="Times New Roman" w:cs="Times New Roman" w:hAnsi="Times New Roman"/>
                <w:color w:val="auto"/>
                <w:highlight w:val="none"/>
              </w:rPr>
              <w:t>规划名称：河北石家庄装备制造产业园总体规划（2022-2030）；</w:t>
            </w:r>
          </w:p>
        </w:tc>
      </w:tr>
      <w:tr>
        <w:trPr>
          <w:trHeight w:val="387"/>
        </w:trPr>
        <w:tc>
          <w:tcPr>
            <w:tcW w:w="931" w:type="pct"/>
            <w:tcMar>
              <w:left w:w="108" w:type="dxa"/>
            </w:tcMar>
            <w:vAlign w:val="center"/>
          </w:tcPr>
          <w:p>
            <w:pPr>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sz w:val="24"/>
                <w:highlight w:val="none"/>
              </w:rPr>
              <w:t>规划环境影响评价情况</w:t>
            </w:r>
          </w:p>
        </w:tc>
        <w:tc>
          <w:tcPr>
            <w:tcW w:w="4068" w:type="pct"/>
            <w:gridSpan w:val="4"/>
            <w:tcBorders>
              <w:left w:val="single" w:sz="4" w:space="0" w:color="auto"/>
            </w:tcBorders>
            <w:tcMar>
              <w:left w:w="108" w:type="dxa"/>
            </w:tcMar>
            <w:vAlign w:val="center"/>
          </w:tcPr>
          <w:p>
            <w:pPr>
              <w:pStyle w:val="56"/>
              <w:rPr>
                <w:rFonts w:ascii="Times New Roman" w:cs="Times New Roman" w:hAnsi="Times New Roman"/>
                <w:color w:val="auto"/>
                <w:highlight w:val="none"/>
              </w:rPr>
            </w:pPr>
            <w:r>
              <w:rPr>
                <w:rFonts w:ascii="Times New Roman" w:cs="Times New Roman" w:hAnsi="Times New Roman"/>
                <w:color w:val="auto"/>
                <w:highlight w:val="none"/>
              </w:rPr>
              <w:t>规划环境影响评价文件名称：《</w:t>
            </w:r>
            <w:r>
              <w:rPr>
                <w:rFonts w:ascii="Times New Roman" w:eastAsia="宋体" w:cs="Times New Roman" w:hAnsi="Times New Roman"/>
                <w:color w:val="auto"/>
                <w:highlight w:val="none"/>
              </w:rPr>
              <w:t>河北石家庄装备制造产业园总体规划</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2022-2030年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环境影响报告书</w:t>
            </w:r>
            <w:r>
              <w:rPr>
                <w:rFonts w:ascii="Times New Roman" w:cs="Times New Roman" w:hAnsi="Times New Roman"/>
                <w:color w:val="auto"/>
                <w:highlight w:val="none"/>
              </w:rPr>
              <w:t>》；</w:t>
            </w:r>
          </w:p>
          <w:p>
            <w:pPr>
              <w:pStyle w:val="56"/>
              <w:rPr>
                <w:rFonts w:ascii="Times New Roman" w:cs="Times New Roman" w:hAnsi="Times New Roman"/>
                <w:color w:val="auto"/>
                <w:highlight w:val="none"/>
              </w:rPr>
            </w:pPr>
            <w:r>
              <w:rPr>
                <w:rFonts w:ascii="Times New Roman" w:cs="Times New Roman" w:hAnsi="Times New Roman"/>
                <w:color w:val="auto"/>
                <w:highlight w:val="none"/>
              </w:rPr>
              <w:t>审查机关：河北省</w:t>
            </w:r>
            <w:r>
              <w:rPr>
                <w:rFonts w:ascii="Times New Roman" w:cs="Times New Roman" w:hAnsi="Times New Roman" w:hint="eastAsia"/>
                <w:color w:val="auto"/>
                <w:lang w:val="en-US" w:eastAsia="zh-CN"/>
                <w:highlight w:val="none"/>
              </w:rPr>
              <w:t>生态环境</w:t>
            </w:r>
            <w:r>
              <w:rPr>
                <w:rFonts w:ascii="Times New Roman" w:cs="Times New Roman" w:hAnsi="Times New Roman"/>
                <w:color w:val="auto"/>
                <w:highlight w:val="none"/>
              </w:rPr>
              <w:t>厅；</w:t>
            </w:r>
          </w:p>
          <w:p>
            <w:pPr>
              <w:pStyle w:val="56"/>
              <w:rPr>
                <w:rFonts w:ascii="Times New Roman" w:cs="Times New Roman" w:hAnsi="Times New Roman"/>
                <w:color w:val="auto"/>
                <w:highlight w:val="none"/>
              </w:rPr>
            </w:pPr>
            <w:r>
              <w:rPr>
                <w:rFonts w:ascii="Times New Roman" w:cs="Times New Roman" w:hAnsi="Times New Roman"/>
                <w:color w:val="auto"/>
                <w:highlight w:val="none"/>
              </w:rPr>
              <w:t>审查文件名称及文号</w:t>
            </w:r>
            <w:r>
              <w:rPr>
                <w:rFonts w:ascii="Times New Roman" w:eastAsia="宋体" w:cs="Times New Roman" w:hAnsi="Times New Roman"/>
                <w:color w:val="auto"/>
                <w:highlight w:val="none"/>
              </w:rPr>
              <w:t>：</w:t>
            </w:r>
            <w:r>
              <w:rPr>
                <w:rFonts w:cs="Times New Roman" w:hint="eastAsia"/>
                <w:color w:val="auto"/>
                <w:lang w:eastAsia="zh-CN"/>
                <w:highlight w:val="none"/>
              </w:rPr>
              <w:t>《</w:t>
            </w:r>
            <w:r>
              <w:rPr>
                <w:rFonts w:ascii="Times New Roman" w:eastAsia="宋体" w:cs="Times New Roman" w:hAnsi="Times New Roman"/>
                <w:color w:val="auto"/>
                <w:highlight w:val="none"/>
              </w:rPr>
              <w:t>河北省生态环境厅关于</w:t>
            </w:r>
            <w:r>
              <w:rPr>
                <w:rFonts w:ascii="Times New Roman" w:eastAsia="宋体" w:cs="Times New Roman" w:hAnsi="Times New Roman"/>
                <w:color w:val="auto"/>
                <w:highlight w:val="none"/>
              </w:rPr>
              <w:t>〈</w:t>
            </w:r>
            <w:r>
              <w:rPr>
                <w:rFonts w:ascii="Times New Roman" w:eastAsia="宋体" w:cs="Times New Roman" w:hAnsi="Times New Roman"/>
                <w:color w:val="auto"/>
                <w:highlight w:val="none"/>
              </w:rPr>
              <w:t>河北石家庄装备制造产业园总体规划</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2022-2030年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环境影响报告书</w:t>
            </w:r>
            <w:r>
              <w:rPr>
                <w:rFonts w:ascii="Times New Roman" w:eastAsia="宋体" w:cs="Times New Roman" w:hAnsi="Times New Roman"/>
                <w:color w:val="auto"/>
                <w:highlight w:val="none"/>
              </w:rPr>
              <w:t>〉</w:t>
            </w:r>
            <w:r>
              <w:rPr>
                <w:rFonts w:ascii="Times New Roman" w:eastAsia="宋体" w:cs="Times New Roman" w:hAnsi="Times New Roman"/>
                <w:color w:val="auto"/>
                <w:highlight w:val="none"/>
              </w:rPr>
              <w:t>的审查意见</w:t>
            </w:r>
            <w:r>
              <w:rPr>
                <w:rFonts w:cs="Times New Roman" w:hint="eastAsia"/>
                <w:color w:val="auto"/>
                <w:lang w:val="en-US" w:eastAsia="zh-CN"/>
                <w:highlight w:val="none"/>
              </w:rPr>
              <w:t>的函</w:t>
            </w:r>
            <w:r>
              <w:rPr>
                <w:rFonts w:cs="Times New Roman" w:hint="eastAsia"/>
                <w:color w:val="auto"/>
                <w:lang w:eastAsia="zh-CN"/>
                <w:highlight w:val="none"/>
              </w:rPr>
              <w:t>》</w:t>
            </w:r>
            <w:r>
              <w:rPr>
                <w:rFonts w:ascii="Times New Roman" w:eastAsia="宋体" w:cs="Times New Roman" w:hAnsi="Times New Roman"/>
                <w:color w:val="auto"/>
                <w:highlight w:val="none"/>
              </w:rPr>
              <w:t>（冀环环评函[2025]1839号）。</w:t>
            </w:r>
          </w:p>
        </w:tc>
      </w:tr>
      <w:tr>
        <w:trPr>
          <w:trHeight w:val="123"/>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规划及规划环境影响评价符合性分析</w:t>
            </w:r>
          </w:p>
        </w:tc>
        <w:tc>
          <w:tcPr>
            <w:tcW w:w="4068" w:type="pct"/>
            <w:gridSpan w:val="4"/>
            <w:tcBorders>
              <w:left w:val="single" w:sz="4" w:space="0" w:color="auto"/>
            </w:tcBorders>
            <w:tcMar>
              <w:left w:w="108" w:type="dxa"/>
            </w:tcMar>
            <w:vAlign w:val="center"/>
          </w:tcPr>
          <w:p>
            <w:pPr>
              <w:pStyle w:val="56"/>
              <w:rPr>
                <w:rFonts w:ascii="Times New Roman" w:eastAsia="宋体" w:cs="Times New Roman" w:hAnsi="Times New Roman"/>
                <w:color w:val="auto"/>
                <w:lang w:val="en-US" w:eastAsia="zh-CN"/>
                <w:highlight w:val="none"/>
              </w:rPr>
            </w:pPr>
            <w:r>
              <w:rPr>
                <w:rFonts w:ascii="Times New Roman" w:cs="Times New Roman" w:hAnsi="Times New Roman"/>
                <w:b/>
                <w:bCs/>
                <w:color w:val="auto"/>
                <w:highlight w:val="none"/>
              </w:rPr>
              <w:t>1、规划</w:t>
            </w:r>
            <w:r>
              <w:rPr>
                <w:rFonts w:cs="Times New Roman" w:hint="eastAsia"/>
                <w:b/>
                <w:bCs/>
                <w:color w:val="auto"/>
                <w:lang w:val="en-US" w:eastAsia="zh-CN"/>
                <w:highlight w:val="none"/>
              </w:rPr>
              <w:t>符合性分析</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color w:val="auto"/>
                <w:kern w:val="0"/>
                <w:sz w:val="24"/>
                <w:szCs w:val="20"/>
                <w:lang w:val="en-US" w:eastAsia="zh-CN" w:bidi="ar-SA"/>
                <w:highlight w:val="none"/>
              </w:rPr>
              <w:t>依据《河北石家庄装备制造产业园总体规划</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2022-2030年</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环境影响报告书》内容，规划期限为</w:t>
            </w:r>
            <w:r>
              <w:rPr>
                <w:rFonts w:ascii="Times New Roman" w:eastAsia="宋体" w:cs="Times New Roman" w:hAnsi="Times New Roman" w:hint="eastAsia"/>
                <w:color w:val="auto"/>
                <w:kern w:val="0"/>
                <w:sz w:val="24"/>
                <w:szCs w:val="20"/>
                <w:lang w:val="en-US" w:eastAsia="zh-CN" w:bidi="ar-SA"/>
                <w:highlight w:val="none"/>
              </w:rPr>
              <w:t>规划期限：</w:t>
            </w:r>
            <w:r>
              <w:rPr>
                <w:rFonts w:ascii="Times New Roman" w:eastAsia="宋体" w:cs="Times New Roman" w:hAnsi="Times New Roman"/>
                <w:color w:val="auto"/>
                <w:kern w:val="0"/>
                <w:sz w:val="24"/>
                <w:szCs w:val="20"/>
                <w:lang w:val="en-US" w:eastAsia="zh-CN" w:bidi="ar-SA"/>
                <w:highlight w:val="none"/>
              </w:rPr>
              <w:t>2022-2030</w:t>
            </w:r>
            <w:r>
              <w:rPr>
                <w:rFonts w:ascii="Times New Roman" w:eastAsia="宋体" w:cs="Times New Roman" w:hAnsi="Times New Roman" w:hint="eastAsia"/>
                <w:color w:val="auto"/>
                <w:kern w:val="0"/>
                <w:sz w:val="24"/>
                <w:szCs w:val="20"/>
                <w:lang w:val="en-US" w:eastAsia="zh-CN" w:bidi="ar-SA"/>
                <w:highlight w:val="none"/>
              </w:rPr>
              <w:t>年，其中，近期：</w:t>
            </w:r>
            <w:r>
              <w:rPr>
                <w:rFonts w:ascii="Times New Roman" w:eastAsia="宋体" w:cs="Times New Roman" w:hAnsi="Times New Roman"/>
                <w:color w:val="auto"/>
                <w:kern w:val="0"/>
                <w:sz w:val="24"/>
                <w:szCs w:val="20"/>
                <w:lang w:val="en-US" w:eastAsia="zh-CN" w:bidi="ar-SA"/>
                <w:highlight w:val="none"/>
              </w:rPr>
              <w:t>2022-2025</w:t>
            </w:r>
            <w:r>
              <w:rPr>
                <w:rFonts w:ascii="Times New Roman" w:eastAsia="宋体" w:cs="Times New Roman" w:hAnsi="Times New Roman" w:hint="eastAsia"/>
                <w:color w:val="auto"/>
                <w:kern w:val="0"/>
                <w:sz w:val="24"/>
                <w:szCs w:val="20"/>
                <w:lang w:val="en-US" w:eastAsia="zh-CN" w:bidi="ar-SA"/>
                <w:highlight w:val="none"/>
              </w:rPr>
              <w:t>年，远期：</w:t>
            </w:r>
            <w:r>
              <w:rPr>
                <w:rFonts w:ascii="Times New Roman" w:eastAsia="宋体" w:cs="Times New Roman" w:hAnsi="Times New Roman"/>
                <w:color w:val="auto"/>
                <w:kern w:val="0"/>
                <w:sz w:val="24"/>
                <w:szCs w:val="20"/>
                <w:lang w:val="en-US" w:eastAsia="zh-CN" w:bidi="ar-SA"/>
                <w:highlight w:val="none"/>
              </w:rPr>
              <w:t>2026-2030</w:t>
            </w:r>
            <w:r>
              <w:rPr>
                <w:rFonts w:ascii="Times New Roman" w:eastAsia="宋体" w:cs="Times New Roman" w:hAnsi="Times New Roman" w:hint="eastAsia"/>
                <w:color w:val="auto"/>
                <w:kern w:val="0"/>
                <w:sz w:val="24"/>
                <w:szCs w:val="20"/>
                <w:lang w:val="en-US" w:eastAsia="zh-CN" w:bidi="ar-SA"/>
                <w:highlight w:val="none"/>
              </w:rPr>
              <w:t>年。基准年为</w:t>
            </w:r>
            <w:r>
              <w:rPr>
                <w:rFonts w:ascii="Times New Roman" w:eastAsia="宋体" w:cs="Times New Roman" w:hAnsi="Times New Roman"/>
                <w:color w:val="auto"/>
                <w:kern w:val="0"/>
                <w:sz w:val="24"/>
                <w:szCs w:val="20"/>
                <w:lang w:val="en-US" w:eastAsia="zh-CN" w:bidi="ar-SA"/>
                <w:highlight w:val="none"/>
              </w:rPr>
              <w:t>2022</w:t>
            </w:r>
            <w:r>
              <w:rPr>
                <w:rFonts w:ascii="Times New Roman" w:eastAsia="宋体" w:cs="Times New Roman" w:hAnsi="Times New Roman" w:hint="eastAsia"/>
                <w:color w:val="auto"/>
                <w:kern w:val="0"/>
                <w:sz w:val="24"/>
                <w:szCs w:val="20"/>
                <w:lang w:val="en-US" w:eastAsia="zh-CN" w:bidi="ar-SA"/>
                <w:highlight w:val="none"/>
              </w:rPr>
              <w:t>年。</w:t>
            </w:r>
          </w:p>
          <w:p>
            <w:pPr>
              <w:pStyle w:val="56"/>
              <w:rPr>
                <w:rFonts w:ascii="Times New Roman" w:eastAsia="宋体" w:cs="Times New Roman" w:hAnsi="Times New Roman" w:hint="eastAsia"/>
                <w:b/>
                <w:bCs/>
                <w:color w:val="auto"/>
                <w:lang w:eastAsia="zh-CN"/>
                <w:highlight w:val="none"/>
              </w:rPr>
            </w:pPr>
            <w:r>
              <w:rPr>
                <w:rFonts w:cs="Times New Roman" w:hint="eastAsia"/>
                <w:b/>
                <w:bCs/>
                <w:color w:val="auto"/>
                <w:lang w:eastAsia="zh-CN"/>
                <w:highlight w:val="none"/>
              </w:rPr>
              <w:t>（</w:t>
            </w:r>
            <w:r>
              <w:rPr>
                <w:rFonts w:cs="Times New Roman" w:hint="eastAsia"/>
                <w:b/>
                <w:bCs/>
                <w:color w:val="auto"/>
                <w:lang w:val="en-US" w:eastAsia="zh-CN"/>
                <w:highlight w:val="none"/>
              </w:rPr>
              <w:t>1</w:t>
            </w:r>
            <w:r>
              <w:rPr>
                <w:rFonts w:cs="Times New Roman" w:hint="eastAsia"/>
                <w:b/>
                <w:bCs/>
                <w:color w:val="auto"/>
                <w:lang w:eastAsia="zh-CN"/>
                <w:highlight w:val="none"/>
              </w:rPr>
              <w:t>）</w:t>
            </w:r>
            <w:r>
              <w:rPr>
                <w:rFonts w:ascii="Times New Roman" w:cs="Times New Roman" w:hAnsi="Times New Roman"/>
                <w:b/>
                <w:bCs/>
                <w:color w:val="auto"/>
                <w:highlight w:val="none"/>
              </w:rPr>
              <w:t>规划定位、规划范围、规划用地布局、</w:t>
            </w:r>
            <w:r>
              <w:rPr>
                <w:rFonts w:cs="Times New Roman" w:hint="eastAsia"/>
                <w:b/>
                <w:bCs/>
                <w:color w:val="auto"/>
                <w:lang w:val="en-US" w:eastAsia="zh-CN"/>
                <w:highlight w:val="none"/>
              </w:rPr>
              <w:t>产业发展</w:t>
            </w:r>
          </w:p>
          <w:p>
            <w:pPr>
              <w:pStyle w:val="56"/>
              <w:rPr>
                <w:rFonts w:ascii="Times New Roman" w:cs="Times New Roman" w:hAnsi="Times New Roman"/>
                <w:color w:val="auto"/>
                <w:highlight w:val="none"/>
              </w:rPr>
            </w:pPr>
            <w:r>
              <w:rPr>
                <w:rFonts w:ascii="Times New Roman" w:cs="Times New Roman" w:hAnsi="Times New Roman"/>
                <w:color w:val="auto"/>
                <w:highlight w:val="none"/>
              </w:rPr>
              <w:t>规划定位、规划范围、规划用地布局、</w:t>
            </w:r>
            <w:r>
              <w:rPr>
                <w:rFonts w:cs="Times New Roman" w:hint="eastAsia"/>
                <w:color w:val="auto"/>
                <w:lang w:val="en-US" w:eastAsia="zh-CN"/>
                <w:highlight w:val="none"/>
              </w:rPr>
              <w:t>产业发展</w:t>
            </w:r>
            <w:r>
              <w:rPr>
                <w:rFonts w:ascii="Times New Roman" w:cs="Times New Roman" w:hAnsi="Times New Roman"/>
                <w:color w:val="auto"/>
                <w:highlight w:val="none"/>
              </w:rPr>
              <w:t>概述如下：</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表1-2  规划符合性分析一览表</w:t>
            </w:r>
          </w:p>
          <w:tbl>
            <w:tblPr>
              <w:jc w:val="center"/>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72"/>
              <w:gridCol w:w="3487"/>
              <w:gridCol w:w="3037"/>
            </w:tblGrid>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规划内容</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lang w:val="en-US" w:eastAsia="zh-CN"/>
                      <w:highlight w:val="none"/>
                    </w:rPr>
                  </w:pPr>
                  <w:r>
                    <w:rPr>
                      <w:rFonts w:ascii="Times New Roman" w:cs="Times New Roman" w:hAnsi="Times New Roman"/>
                      <w:b/>
                      <w:bCs/>
                      <w:color w:val="auto"/>
                      <w:sz w:val="21"/>
                      <w:szCs w:val="21"/>
                      <w:highlight w:val="none"/>
                    </w:rPr>
                    <w:t>规划范围</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cs="Times New Roman"/>
                      <w:b/>
                      <w:bCs/>
                      <w:color w:val="auto"/>
                      <w:sz w:val="21"/>
                      <w:szCs w:val="21"/>
                      <w:vertAlign w:val="baseline"/>
                      <w:lang w:val="en-US" w:eastAsia="zh-CN"/>
                      <w:highlight w:val="none"/>
                    </w:rPr>
                  </w:pPr>
                  <w:r>
                    <w:rPr>
                      <w:rFonts w:ascii="Times New Roman" w:cs="Times New Roman" w:hAnsi="Times New Roman"/>
                      <w:b w:val="0"/>
                      <w:bCs w:val="0"/>
                      <w:color w:val="auto"/>
                      <w:sz w:val="21"/>
                      <w:szCs w:val="21"/>
                      <w:highlight w:val="none"/>
                    </w:rPr>
                    <w:t>项目位于</w:t>
                  </w:r>
                  <w:r>
                    <w:rPr>
                      <w:rFonts w:cs="Times New Roman" w:hint="eastAsia"/>
                      <w:color w:val="auto"/>
                      <w:sz w:val="21"/>
                      <w:szCs w:val="21"/>
                      <w:lang w:val="en-US" w:eastAsia="zh-CN"/>
                      <w:highlight w:val="none"/>
                    </w:rPr>
                    <w:t>石家庄市栾城区装备制造基地楼底镇段家营村裕翔街168号103厂房（南）</w:t>
                  </w:r>
                  <w:r>
                    <w:rPr>
                      <w:rFonts w:ascii="Times New Roman" w:cs="Times New Roman" w:hAnsi="Times New Roman"/>
                      <w:b w:val="0"/>
                      <w:bCs w:val="0"/>
                      <w:color w:val="auto"/>
                      <w:sz w:val="21"/>
                      <w:szCs w:val="21"/>
                      <w:highlight w:val="none"/>
                    </w:rPr>
                    <w:t>，位于规划范围内</w:t>
                  </w:r>
                  <w:r>
                    <w:rPr>
                      <w:rFonts w:cs="Times New Roman" w:hint="eastAsia"/>
                      <w:color w:val="auto"/>
                      <w:sz w:val="21"/>
                      <w:szCs w:val="21"/>
                      <w:lang w:val="en-US" w:eastAsia="zh-CN"/>
                      <w:highlight w:val="none"/>
                    </w:rPr>
                    <w:t>。</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cs="Times New Roman" w:hAnsi="Times New Roman"/>
                      <w:b/>
                      <w:bCs/>
                      <w:color w:val="auto"/>
                      <w:sz w:val="21"/>
                      <w:szCs w:val="21"/>
                      <w:highlight w:val="none"/>
                    </w:rPr>
                    <w:t>规划定位</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r>
                    <w:rPr>
                      <w:rFonts w:cs="Times New Roman" w:hint="eastAsia"/>
                      <w:color w:val="auto"/>
                      <w:sz w:val="21"/>
                      <w:szCs w:val="21"/>
                      <w:lang w:eastAsia="zh-CN"/>
                      <w:highlight w:val="none"/>
                    </w:rPr>
                    <w:t>。</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auto"/>
                      <w:sz w:val="21"/>
                      <w:szCs w:val="21"/>
                      <w:vertAlign w:val="baseline"/>
                      <w:lang w:val="en-US" w:eastAsia="zh-CN"/>
                      <w:highlight w:val="none"/>
                    </w:rPr>
                  </w:pP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可为园区提供废铅蓄电池贮存、中转场所，属于园区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，同时满足园区准入要求。本项目备案信息已通过河北石家庄装备制造产业园管理委员会的审批（备案编号：装管委投资备字〔2026〕36 号）</w:t>
                  </w:r>
                  <w:r>
                    <w:rPr>
                      <w:rFonts w:cs="Times New Roman" w:hint="eastAsia"/>
                      <w:color w:val="auto"/>
                      <w:sz w:val="21"/>
                      <w:szCs w:val="21"/>
                      <w:lang w:val="en-US" w:eastAsia="zh-CN"/>
                      <w:highlight w:val="none"/>
                    </w:rPr>
                    <w:t>。</w:t>
                  </w:r>
                </w:p>
              </w:tc>
            </w:tr>
            <w:tr>
              <w:trPr>
                <w:trHeight w:val="397"/>
              </w:trPr>
              <w:tc>
                <w:tcPr>
                  <w:tcW w:w="4559"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lang w:val="en-US" w:eastAsia="zh-CN"/>
                      <w:highlight w:val="none"/>
                    </w:rPr>
                  </w:pPr>
                  <w:r>
                    <w:rPr>
                      <w:rFonts w:ascii="Times New Roman" w:cs="Times New Roman" w:hAnsi="Times New Roman"/>
                      <w:b/>
                      <w:bCs/>
                      <w:color w:val="auto"/>
                      <w:sz w:val="21"/>
                      <w:szCs w:val="21"/>
                      <w:highlight w:val="none"/>
                    </w:rPr>
                    <w:t>规划用地布局</w:t>
                  </w:r>
                  <w:r>
                    <w:rPr>
                      <w:rFonts w:ascii="Times New Roman" w:cs="Times New Roman" w:hAnsi="Times New Roman" w:hint="eastAsia"/>
                      <w:b/>
                      <w:bCs/>
                      <w:color w:val="auto"/>
                      <w:sz w:val="21"/>
                      <w:szCs w:val="21"/>
                      <w:lang w:eastAsia="zh-CN"/>
                      <w:highlight w:val="none"/>
                    </w:rPr>
                    <w:t>：</w:t>
                  </w:r>
                  <w:r>
                    <w:rPr>
                      <w:rFonts w:ascii="Times New Roman" w:cs="Times New Roman" w:hAnsi="Times New Roman"/>
                      <w:color w:val="auto"/>
                      <w:sz w:val="21"/>
                      <w:szCs w:val="21"/>
                      <w:highlight w:val="none"/>
                    </w:rPr>
                    <w:t>规划总用地面积4372.05公顷，其中城镇建设用地3502.78公顷，占总规划用地的80.12%；区域基础设施用地106.76公顷，占总规划用地的2.4%；其他建设用地9.36公顷，占总规划用地的0.21%；非建设用地753.15，占总规划用地的17.23%。</w:t>
                  </w:r>
                </w:p>
              </w:tc>
              <w:tc>
                <w:tcPr>
                  <w:tcW w:w="303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auto"/>
                      <w:sz w:val="21"/>
                      <w:szCs w:val="21"/>
                      <w:vertAlign w:val="baseline"/>
                      <w:lang w:val="en-US" w:eastAsia="zh-CN"/>
                      <w:highlight w:val="none"/>
                    </w:rPr>
                  </w:pP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p>
              </w:tc>
            </w:tr>
            <w:tr>
              <w:trPr>
                <w:trHeight w:val="1906"/>
              </w:trPr>
              <w:tc>
                <w:tcPr>
                  <w:tcW w:w="1072" w:type="dxa"/>
                  <w:vMerge w:val="restar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auto"/>
                      <w:sz w:val="21"/>
                      <w:szCs w:val="21"/>
                      <w:highlight w:val="none"/>
                    </w:rPr>
                  </w:pPr>
                  <w:r>
                    <w:rPr>
                      <w:rFonts w:ascii="Times New Roman" w:cs="Times New Roman" w:hAnsi="Times New Roman"/>
                      <w:color w:val="auto"/>
                      <w:sz w:val="21"/>
                      <w:szCs w:val="21"/>
                      <w:highlight w:val="none"/>
                    </w:rPr>
                    <w:t>产业发展：规划形成西部、东部两大工业组团，包含四大产业园区。</w:t>
                  </w:r>
                </w:p>
              </w:tc>
              <w:tc>
                <w:tcPr>
                  <w:tcW w:w="348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①装备制造产业园区：位于环北路以南、中兴大道以北、</w:t>
                  </w:r>
                  <w:r>
                    <w:rPr>
                      <w:rFonts w:ascii="Times New Roman" w:cs="Times New Roman" w:hAnsi="Times New Roman"/>
                      <w:color w:val="auto"/>
                      <w:sz w:val="21"/>
                      <w:szCs w:val="21"/>
                      <w:lang w:val="en-US" w:eastAsia="zh-CN"/>
                      <w:highlight w:val="none"/>
                    </w:rPr>
                    <w:t>107</w:t>
                  </w:r>
                  <w:r>
                    <w:rPr>
                      <w:rFonts w:ascii="Times New Roman" w:cs="Times New Roman" w:hAnsi="Times New Roman" w:hint="eastAsia"/>
                      <w:color w:val="auto"/>
                      <w:sz w:val="21"/>
                      <w:szCs w:val="21"/>
                      <w:lang w:val="en-US" w:eastAsia="zh-CN"/>
                      <w:highlight w:val="none"/>
                    </w:rPr>
                    <w:t>国道以东、方西大街以西，约占园区总用地的40.12%。规划以发展汽车及零部件制造、铁路运输设备生产与维修、通用设备制造、金属制品制造、专用设备制造、电气机械和器材制造等装备制造产业为主，以发展装备制造产业配套的包装印刷、橡胶、塑料制品制造和仓储物流业为辅，并培育发展智能化设备产业集群和小微企业孵化。</w:t>
                  </w:r>
                </w:p>
              </w:tc>
              <w:tc>
                <w:tcPr>
                  <w:tcW w:w="3037" w:type="dxa"/>
                  <w:vMerge w:val="restar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可为园区提供废铅蓄电池贮存、中转场所，属于园区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，同时满足园区准入要求。本项目备案信息已通过河北石家庄装备制造产业园管理委员会的审批（备案编号：装管委投资备字〔2026〕36 号）</w:t>
                  </w:r>
                  <w:r>
                    <w:rPr>
                      <w:rFonts w:cs="Times New Roman" w:hint="eastAsia"/>
                      <w:color w:val="auto"/>
                      <w:sz w:val="21"/>
                      <w:szCs w:val="21"/>
                      <w:lang w:val="en-US" w:eastAsia="zh-CN"/>
                      <w:highlight w:val="none"/>
                    </w:rPr>
                    <w:t>。</w:t>
                  </w:r>
                </w:p>
              </w:tc>
            </w:tr>
            <w:tr>
              <w:trPr>
                <w:trHeight w:val="941"/>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②产业转型升级示范区：位于</w:t>
                  </w:r>
                  <w:r>
                    <w:rPr>
                      <w:rFonts w:ascii="Times New Roman" w:eastAsia="宋体" w:cs="Times New Roman" w:hAnsi="Times New Roman"/>
                      <w:color w:val="auto"/>
                      <w:kern w:val="0"/>
                      <w:sz w:val="21"/>
                      <w:szCs w:val="21"/>
                      <w:lang w:val="en-US" w:eastAsia="zh-CN" w:bidi="ar-SA"/>
                      <w:highlight w:val="none"/>
                    </w:rPr>
                    <w:t>107</w:t>
                  </w:r>
                  <w:r>
                    <w:rPr>
                      <w:rFonts w:ascii="Times New Roman" w:eastAsia="宋体" w:cs="Times New Roman" w:hAnsi="Times New Roman" w:hint="eastAsia"/>
                      <w:color w:val="auto"/>
                      <w:kern w:val="0"/>
                      <w:sz w:val="21"/>
                      <w:szCs w:val="21"/>
                      <w:lang w:val="en-US" w:eastAsia="zh-CN" w:bidi="ar-SA"/>
                      <w:highlight w:val="none"/>
                    </w:rPr>
                    <w:t>国道以东、洨河以西，约占园区总用地的</w:t>
                  </w:r>
                  <w:r>
                    <w:rPr>
                      <w:rFonts w:cs="Times New Roman" w:hint="eastAsia"/>
                      <w:color w:val="auto"/>
                      <w:kern w:val="0"/>
                      <w:sz w:val="21"/>
                      <w:szCs w:val="21"/>
                      <w:lang w:val="en-US" w:eastAsia="zh-CN" w:bidi="ar-SA"/>
                      <w:highlight w:val="none"/>
                    </w:rPr>
                    <w:t>16.42</w:t>
                  </w:r>
                  <w:r>
                    <w:rPr>
                      <w:rFonts w:ascii="Times New Roman" w:eastAsia="宋体" w:cs="Times New Roman" w:hAnsi="Times New Roman" w:hint="eastAsia"/>
                      <w:color w:val="auto"/>
                      <w:kern w:val="0"/>
                      <w:sz w:val="21"/>
                      <w:szCs w:val="21"/>
                      <w:lang w:val="en-US" w:eastAsia="zh-CN" w:bidi="ar-SA"/>
                      <w:highlight w:val="none"/>
                    </w:rPr>
                    <w:t>%。规划以现状汽车制造、机械制造、食品生产、再生资源综合利用、仓储物流、化工原料和化学制造等现有产业转型升级为主。其中，化工产业依托重点化工监控点打造生态环保、绿色环保、节能安全的化工连片区，并培育小微企业孵化。</w:t>
                  </w:r>
                </w:p>
              </w:tc>
              <w:tc>
                <w:tcPr>
                  <w:tcW w:w="3037" w:type="dxa"/>
                  <w:vMerge/>
                  <w:tcBorders>
                    <w:tl2br w:val="nil"/>
                    <w:tr2bl w:val="nil"/>
                  </w:tcBorders>
                  <w:vAlign w:val="center"/>
                </w:tcPr>
                <w:p/>
              </w:tc>
            </w:tr>
            <w:tr>
              <w:trPr>
                <w:trHeight w:val="1906"/>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③通用飞机产业园区：位于复兴大街以东、</w:t>
                  </w:r>
                  <w:r>
                    <w:rPr>
                      <w:rFonts w:ascii="Times New Roman" w:eastAsia="宋体" w:cs="Times New Roman" w:hAnsi="Times New Roman"/>
                      <w:color w:val="auto"/>
                      <w:kern w:val="0"/>
                      <w:sz w:val="21"/>
                      <w:szCs w:val="21"/>
                      <w:lang w:val="en-US" w:eastAsia="zh-CN" w:bidi="ar-SA"/>
                      <w:highlight w:val="none"/>
                    </w:rPr>
                    <w:t>308</w:t>
                  </w:r>
                  <w:r>
                    <w:rPr>
                      <w:rFonts w:ascii="Times New Roman" w:eastAsia="宋体" w:cs="Times New Roman" w:hAnsi="Times New Roman" w:hint="eastAsia"/>
                      <w:color w:val="auto"/>
                      <w:kern w:val="0"/>
                      <w:sz w:val="21"/>
                      <w:szCs w:val="21"/>
                      <w:lang w:val="en-US" w:eastAsia="zh-CN" w:bidi="ar-SA"/>
                      <w:highlight w:val="none"/>
                    </w:rPr>
                    <w:t>国道以北，约占园区总用地的</w:t>
                  </w:r>
                  <w:r>
                    <w:rPr>
                      <w:rFonts w:cs="Times New Roman" w:hint="eastAsia"/>
                      <w:color w:val="auto"/>
                      <w:kern w:val="0"/>
                      <w:sz w:val="21"/>
                      <w:szCs w:val="21"/>
                      <w:lang w:val="en-US" w:eastAsia="zh-CN" w:bidi="ar-SA"/>
                      <w:highlight w:val="none"/>
                    </w:rPr>
                    <w:t>4</w:t>
                  </w:r>
                  <w:r>
                    <w:rPr>
                      <w:rFonts w:ascii="Times New Roman" w:eastAsia="宋体" w:cs="Times New Roman" w:hAnsi="Times New Roman" w:hint="eastAsia"/>
                      <w:color w:val="auto"/>
                      <w:kern w:val="0"/>
                      <w:sz w:val="21"/>
                      <w:szCs w:val="21"/>
                      <w:lang w:val="en-US" w:eastAsia="zh-CN" w:bidi="ar-SA"/>
                      <w:highlight w:val="none"/>
                    </w:rPr>
                    <w:t>.</w:t>
                  </w:r>
                  <w:r>
                    <w:rPr>
                      <w:rFonts w:cs="Times New Roman" w:hint="eastAsia"/>
                      <w:color w:val="auto"/>
                      <w:kern w:val="0"/>
                      <w:sz w:val="21"/>
                      <w:szCs w:val="21"/>
                      <w:lang w:val="en-US" w:eastAsia="zh-CN" w:bidi="ar-SA"/>
                      <w:highlight w:val="none"/>
                    </w:rPr>
                    <w:t>71</w:t>
                  </w:r>
                  <w:r>
                    <w:rPr>
                      <w:rFonts w:ascii="Times New Roman" w:eastAsia="宋体" w:cs="Times New Roman" w:hAnsi="Times New Roman" w:hint="eastAsia"/>
                      <w:color w:val="auto"/>
                      <w:kern w:val="0"/>
                      <w:sz w:val="21"/>
                      <w:szCs w:val="21"/>
                      <w:lang w:val="en-US" w:eastAsia="zh-CN" w:bidi="ar-SA"/>
                      <w:highlight w:val="none"/>
                    </w:rPr>
                    <w:t>%。石家庄栾城机场位于其中。规划发展通用飞机整机及部件生产和无人机研发和生产，逐步培育飞机研制和航空培训配套服务等综合性航空产业和低空经济产业为主，并培育小微企业孵化。</w:t>
                  </w:r>
                </w:p>
              </w:tc>
              <w:tc>
                <w:tcPr>
                  <w:tcW w:w="3037" w:type="dxa"/>
                  <w:vMerge/>
                  <w:tcBorders>
                    <w:tl2br w:val="nil"/>
                    <w:tr2bl w:val="nil"/>
                  </w:tcBorders>
                  <w:vAlign w:val="center"/>
                </w:tcPr>
                <w:p/>
              </w:tc>
            </w:tr>
            <w:tr>
              <w:trPr>
                <w:trHeight w:val="1906"/>
              </w:trPr>
              <w:tc>
                <w:tcPr>
                  <w:tcW w:w="1072" w:type="dxa"/>
                  <w:vMerge/>
                  <w:tcBorders>
                    <w:tl2br w:val="nil"/>
                    <w:tr2bl w:val="nil"/>
                  </w:tcBorders>
                  <w:vAlign w:val="center"/>
                </w:tcPr>
                <w:p/>
              </w:tc>
              <w:tc>
                <w:tcPr>
                  <w:tcW w:w="348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④</w:t>
                  </w:r>
                  <w:r>
                    <w:rPr>
                      <w:rFonts w:ascii="Times New Roman" w:eastAsia="宋体" w:cs="Times New Roman" w:hAnsi="Times New Roman" w:hint="eastAsia"/>
                      <w:color w:val="auto"/>
                      <w:kern w:val="0"/>
                      <w:sz w:val="21"/>
                      <w:szCs w:val="21"/>
                      <w:lang w:val="en-US" w:eastAsia="zh-CN" w:bidi="ar-SA"/>
                      <w:highlight w:val="none"/>
                    </w:rPr>
                    <w:t>食品和医药产业园区：位于</w:t>
                  </w:r>
                  <w:r>
                    <w:rPr>
                      <w:rFonts w:ascii="Times New Roman" w:eastAsia="宋体" w:cs="Times New Roman" w:hAnsi="Times New Roman"/>
                      <w:color w:val="auto"/>
                      <w:kern w:val="0"/>
                      <w:sz w:val="21"/>
                      <w:szCs w:val="21"/>
                      <w:lang w:val="en-US" w:eastAsia="zh-CN" w:bidi="ar-SA"/>
                      <w:highlight w:val="none"/>
                    </w:rPr>
                    <w:t>337</w:t>
                  </w:r>
                  <w:r>
                    <w:rPr>
                      <w:rFonts w:ascii="Times New Roman" w:eastAsia="宋体" w:cs="Times New Roman" w:hAnsi="Times New Roman" w:hint="eastAsia"/>
                      <w:color w:val="auto"/>
                      <w:kern w:val="0"/>
                      <w:sz w:val="21"/>
                      <w:szCs w:val="21"/>
                      <w:lang w:val="en-US" w:eastAsia="zh-CN" w:bidi="ar-SA"/>
                      <w:highlight w:val="none"/>
                    </w:rPr>
                    <w:t>省道以北、</w:t>
                  </w:r>
                  <w:r>
                    <w:rPr>
                      <w:rFonts w:ascii="Times New Roman" w:eastAsia="宋体" w:cs="Times New Roman" w:hAnsi="Times New Roman"/>
                      <w:color w:val="auto"/>
                      <w:kern w:val="0"/>
                      <w:sz w:val="21"/>
                      <w:szCs w:val="21"/>
                      <w:lang w:val="en-US" w:eastAsia="zh-CN" w:bidi="ar-SA"/>
                      <w:highlight w:val="none"/>
                    </w:rPr>
                    <w:t>308</w:t>
                  </w:r>
                  <w:r>
                    <w:rPr>
                      <w:rFonts w:ascii="Times New Roman" w:eastAsia="宋体" w:cs="Times New Roman" w:hAnsi="Times New Roman" w:hint="eastAsia"/>
                      <w:color w:val="auto"/>
                      <w:kern w:val="0"/>
                      <w:sz w:val="21"/>
                      <w:szCs w:val="21"/>
                      <w:lang w:val="en-US" w:eastAsia="zh-CN" w:bidi="ar-SA"/>
                      <w:highlight w:val="none"/>
                    </w:rPr>
                    <w:t>国道以东、石栾大街以西、惠源路以南，约占园区总用地的</w:t>
                  </w:r>
                  <w:r>
                    <w:rPr>
                      <w:rFonts w:cs="Times New Roman" w:hint="eastAsia"/>
                      <w:color w:val="auto"/>
                      <w:kern w:val="0"/>
                      <w:sz w:val="21"/>
                      <w:szCs w:val="21"/>
                      <w:lang w:val="en-US" w:eastAsia="zh-CN" w:bidi="ar-SA"/>
                      <w:highlight w:val="none"/>
                    </w:rPr>
                    <w:t>18.81</w:t>
                  </w:r>
                  <w:r>
                    <w:rPr>
                      <w:rFonts w:ascii="Times New Roman" w:eastAsia="宋体" w:cs="Times New Roman" w:hAnsi="Times New Roman" w:hint="eastAsia"/>
                      <w:color w:val="auto"/>
                      <w:kern w:val="0"/>
                      <w:sz w:val="21"/>
                      <w:szCs w:val="21"/>
                      <w:lang w:val="en-US" w:eastAsia="zh-CN" w:bidi="ar-SA"/>
                      <w:highlight w:val="none"/>
                    </w:rPr>
                    <w:t>%。规划以医药制造产业和食品制造产业为主，以发展医药制造、食品制造产业配套的包装印刷、橡胶和塑料制品制造为辅，培育发展大健康产业和小微企业孵化。其中，列入重点化工监控点的企业在项目审批、建设和管理方面参照省、市规定执行。其他现有化工企业，</w:t>
                  </w:r>
                  <w:r>
                    <w:rPr>
                      <w:rFonts w:cs="Times New Roman" w:hint="eastAsia"/>
                      <w:color w:val="auto"/>
                      <w:kern w:val="0"/>
                      <w:sz w:val="21"/>
                      <w:szCs w:val="21"/>
                      <w:lang w:val="en-US" w:eastAsia="zh-CN" w:bidi="ar-SA"/>
                      <w:highlight w:val="none"/>
                    </w:rPr>
                    <w:t>允许建设安全、环保、节能和智能化改造项目</w:t>
                  </w:r>
                  <w:r>
                    <w:rPr>
                      <w:rFonts w:ascii="Times New Roman" w:eastAsia="宋体" w:cs="Times New Roman" w:hAnsi="Times New Roman" w:hint="eastAsia"/>
                      <w:color w:val="auto"/>
                      <w:kern w:val="0"/>
                      <w:sz w:val="21"/>
                      <w:szCs w:val="21"/>
                      <w:lang w:val="en-US" w:eastAsia="zh-CN" w:bidi="ar-SA"/>
                      <w:highlight w:val="none"/>
                    </w:rPr>
                    <w:t>。</w:t>
                  </w:r>
                </w:p>
              </w:tc>
              <w:tc>
                <w:tcPr>
                  <w:tcW w:w="3037" w:type="dxa"/>
                  <w:vMerge/>
                  <w:tcBorders>
                    <w:tl2br w:val="nil"/>
                    <w:tr2bl w:val="nil"/>
                  </w:tcBorders>
                  <w:vAlign w:val="center"/>
                </w:tcPr>
                <w:p/>
              </w:tc>
            </w:tr>
          </w:tbl>
          <w:p>
            <w:pPr>
              <w:pStyle w:val="56"/>
              <w:rPr>
                <w:rFonts w:ascii="Times New Roman" w:cs="Times New Roman" w:hAnsi="Times New Roman"/>
                <w:b/>
                <w:bCs/>
                <w:color w:val="auto"/>
                <w:highlight w:val="none"/>
              </w:rPr>
            </w:pPr>
            <w:r>
              <w:rPr>
                <w:rFonts w:cs="Times New Roman" w:hint="eastAsia"/>
                <w:b/>
                <w:bCs/>
                <w:color w:val="auto"/>
                <w:lang w:eastAsia="zh-CN"/>
                <w:highlight w:val="none"/>
              </w:rPr>
              <w:t>（</w:t>
            </w:r>
            <w:r>
              <w:rPr>
                <w:rFonts w:cs="Times New Roman" w:hint="eastAsia"/>
                <w:b/>
                <w:bCs/>
                <w:color w:val="auto"/>
                <w:lang w:val="en-US" w:eastAsia="zh-CN"/>
                <w:highlight w:val="none"/>
              </w:rPr>
              <w:t>2</w:t>
            </w:r>
            <w:r>
              <w:rPr>
                <w:rFonts w:cs="Times New Roman" w:hint="eastAsia"/>
                <w:b/>
                <w:bCs/>
                <w:color w:val="auto"/>
                <w:lang w:eastAsia="zh-CN"/>
                <w:highlight w:val="none"/>
              </w:rPr>
              <w:t>）</w:t>
            </w:r>
            <w:r>
              <w:rPr>
                <w:rFonts w:ascii="Times New Roman" w:cs="Times New Roman" w:hAnsi="Times New Roman"/>
                <w:b/>
                <w:bCs/>
                <w:color w:val="auto"/>
                <w:highlight w:val="none"/>
              </w:rPr>
              <w:t>园区基础设施</w:t>
            </w:r>
          </w:p>
          <w:p>
            <w:pPr>
              <w:pStyle w:val="56"/>
              <w:keepNext w:val="0"/>
              <w:keepLines w:val="0"/>
              <w:pageBreakBefore w:val="0"/>
              <w:widowControl w:val="0"/>
              <w:kinsoku/>
              <w:wordWrap/>
              <w:overflowPunct/>
              <w:topLinePunct w:val="0"/>
              <w:autoSpaceDE/>
              <w:autoSpaceDN/>
              <w:bidi w:val="0"/>
              <w:adjustRightInd w:val="0"/>
              <w:snapToGrid/>
              <w:textAlignment w:val="baseline"/>
              <w:rPr>
                <w:rFonts w:cs="Times New Roman" w:hint="eastAsia"/>
                <w:color w:val="auto"/>
                <w:lang w:val="en-US" w:eastAsia="zh-CN"/>
                <w:highlight w:val="none"/>
              </w:rPr>
            </w:pPr>
            <w:r>
              <w:rPr>
                <w:rFonts w:cs="Times New Roman" w:hint="eastAsia"/>
                <w:color w:val="auto"/>
                <w:lang w:val="en-US" w:eastAsia="zh-CN"/>
                <w:highlight w:val="none"/>
              </w:rPr>
              <w:t>园区基础设施见下：</w:t>
            </w:r>
          </w:p>
          <w:p>
            <w:pPr>
              <w:pStyle w:val="56"/>
              <w:keepNext w:val="0"/>
              <w:keepLines w:val="0"/>
              <w:pageBreakBefore w:val="0"/>
              <w:widowControl w:val="0"/>
              <w:kinsoku/>
              <w:wordWrap/>
              <w:overflowPunct/>
              <w:topLinePunct w:val="0"/>
              <w:autoSpaceDE/>
              <w:autoSpaceDN/>
              <w:bidi w:val="0"/>
              <w:adjustRightInd w:val="0"/>
              <w:snapToGrid/>
              <w:textAlignment w:val="baseline"/>
              <w:rPr>
                <w:rFonts w:cs="Times New Roman"/>
                <w:color w:val="auto"/>
                <w:lang w:val="en-US" w:eastAsia="zh-CN"/>
                <w:highlight w:val="none"/>
              </w:rPr>
            </w:pP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auto"/>
                <w:lang w:val="en-US" w:eastAsia="zh-CN"/>
                <w:highlight w:val="none"/>
              </w:rPr>
            </w:pPr>
            <w:r>
              <w:rPr>
                <w:rFonts w:cs="Times New Roman" w:hint="eastAsia"/>
                <w:b/>
                <w:bCs/>
                <w:color w:val="auto"/>
                <w:lang w:val="en-US" w:eastAsia="zh-CN"/>
                <w:highlight w:val="none"/>
              </w:rPr>
              <w:t>表1-3  园区基础设施符合性分析一览表</w:t>
            </w:r>
          </w:p>
          <w:tbl>
            <w:tblPr>
              <w:jc w:val="center"/>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59"/>
              <w:gridCol w:w="4107"/>
              <w:gridCol w:w="2930"/>
            </w:tblGrid>
            <w:tr>
              <w:trPr>
                <w:trHeight w:val="397"/>
              </w:trPr>
              <w:tc>
                <w:tcPr>
                  <w:tcW w:w="4666" w:type="dxa"/>
                  <w:gridSpan w:val="2"/>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规划内容</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项目情况</w:t>
                  </w:r>
                </w:p>
              </w:tc>
            </w:tr>
            <w:tr>
              <w:trPr>
                <w:trHeight w:val="397"/>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cs="Times New Roman" w:hAnsi="Times New Roman"/>
                      <w:color w:val="auto"/>
                      <w:sz w:val="21"/>
                      <w:szCs w:val="21"/>
                      <w:highlight w:val="none"/>
                    </w:rPr>
                    <w:t>给水</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0"/>
                      <w:sz w:val="21"/>
                      <w:szCs w:val="21"/>
                      <w:lang w:val="en-US" w:eastAsia="zh-CN"/>
                      <w:highlight w:val="none"/>
                    </w:rPr>
                  </w:pPr>
                  <w:r>
                    <w:rPr>
                      <w:rFonts w:ascii="Times New Roman" w:eastAsia="宋体" w:cs="Times New Roman" w:hAnsi="Times New Roman"/>
                      <w:color w:val="auto"/>
                      <w:kern w:val="0"/>
                      <w:sz w:val="21"/>
                      <w:szCs w:val="21"/>
                      <w:lang w:val="en-US" w:eastAsia="zh-CN"/>
                      <w:highlight w:val="none"/>
                    </w:rPr>
                    <w:t>规划区远期最高日总用水量为11.70万m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d，其中栾城区境内用水量为10.93万m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d、元氏县境内用水量为0.77万m</w:t>
                  </w:r>
                  <w:r>
                    <w:rPr>
                      <w:rFonts w:cs="Times New Roman" w:hint="eastAsia"/>
                      <w:color w:val="auto"/>
                      <w:kern w:val="0"/>
                      <w:sz w:val="21"/>
                      <w:szCs w:val="21"/>
                      <w:vertAlign w:val="superscript"/>
                      <w:lang w:val="en-US" w:eastAsia="zh-CN"/>
                      <w:highlight w:val="none"/>
                    </w:rPr>
                    <w:t>3</w:t>
                  </w:r>
                  <w:r>
                    <w:rPr>
                      <w:rFonts w:ascii="Times New Roman" w:eastAsia="宋体" w:cs="Times New Roman" w:hAnsi="Times New Roman"/>
                      <w:color w:val="auto"/>
                      <w:kern w:val="0"/>
                      <w:sz w:val="21"/>
                      <w:szCs w:val="21"/>
                      <w:vertAlign w:val="superscript"/>
                      <w:lang w:val="en-US" w:eastAsia="zh-CN"/>
                      <w:highlight w:val="none"/>
                    </w:rPr>
                    <w:t>/</w:t>
                  </w:r>
                  <w:r>
                    <w:rPr>
                      <w:rFonts w:ascii="Times New Roman" w:eastAsia="宋体" w:cs="Times New Roman" w:hAnsi="Times New Roman"/>
                      <w:color w:val="auto"/>
                      <w:kern w:val="0"/>
                      <w:sz w:val="21"/>
                      <w:szCs w:val="21"/>
                      <w:lang w:val="en-US" w:eastAsia="zh-CN"/>
                      <w:highlight w:val="none"/>
                    </w:rPr>
                    <w:t>d。规划新建园区东地表水厂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石家庄装备制造产业园第一水厂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，扩建城区地表水厂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栾城区供水服务中心</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，保留中瀚水务地表水厂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栾城区供水服务中心</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和栾城区第一水厂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苏邱供水厂</w:t>
                  </w:r>
                  <w:r>
                    <w:rPr>
                      <w:rFonts w:cs="Times New Roman" w:hint="eastAsia"/>
                      <w:color w:val="auto"/>
                      <w:kern w:val="0"/>
                      <w:sz w:val="21"/>
                      <w:szCs w:val="21"/>
                      <w:lang w:val="en-US" w:eastAsia="zh-CN"/>
                      <w:highlight w:val="none"/>
                    </w:rPr>
                    <w:t>）</w:t>
                  </w:r>
                  <w:r>
                    <w:rPr>
                      <w:rFonts w:ascii="Times New Roman" w:eastAsia="宋体" w:cs="Times New Roman" w:hAnsi="Times New Roman"/>
                      <w:color w:val="auto"/>
                      <w:kern w:val="0"/>
                      <w:sz w:val="21"/>
                      <w:szCs w:val="21"/>
                      <w:lang w:val="en-US" w:eastAsia="zh-CN"/>
                      <w:highlight w:val="none"/>
                    </w:rPr>
                    <w:t>，将原绿源污水处理厂改建为再生水厂。</w:t>
                  </w:r>
                </w:p>
                <w:p>
                  <w:pPr>
                    <w:keepNext w:val="0"/>
                    <w:keepLines w:val="0"/>
                    <w:widowControl/>
                    <w:suppressLineNumbers w:val="0"/>
                    <w:jc w:val="both"/>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color w:val="auto"/>
                      <w:kern w:val="0"/>
                      <w:sz w:val="21"/>
                      <w:szCs w:val="21"/>
                      <w:lang w:val="en-US" w:eastAsia="zh-CN"/>
                      <w:highlight w:val="none"/>
                    </w:rPr>
                    <w:t>园区方西大街以西栾城区境内由中瀚水务地表水厂、园区东地表水厂联合供给，方西大街以西元氏境内由元氏县华电水厂供给，方西大街以东由城区地表水厂供给，栾城区第一供水厂作为应急水源。</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auto"/>
                      <w:sz w:val="21"/>
                      <w:szCs w:val="21"/>
                      <w:lang w:val="en-US" w:eastAsia="zh-CN"/>
                      <w:highlight w:val="none"/>
                    </w:rPr>
                  </w:pPr>
                  <w:r>
                    <w:rPr>
                      <w:rFonts w:ascii="Times New Roman" w:cs="Times New Roman" w:hAnsi="Times New Roman"/>
                      <w:b w:val="0"/>
                      <w:bCs w:val="0"/>
                      <w:color w:val="auto"/>
                      <w:sz w:val="21"/>
                      <w:szCs w:val="21"/>
                      <w:highlight w:val="none"/>
                    </w:rPr>
                    <w:t>项目新鲜水由园区供水管网供给</w:t>
                  </w:r>
                  <w:r>
                    <w:rPr>
                      <w:rFonts w:cs="Times New Roman" w:hint="eastAsia"/>
                      <w:color w:val="auto"/>
                      <w:sz w:val="21"/>
                      <w:szCs w:val="21"/>
                      <w:lang w:eastAsia="zh-CN"/>
                      <w:highlight w:val="none"/>
                    </w:rPr>
                    <w:t>，</w:t>
                  </w:r>
                  <w:r>
                    <w:rPr>
                      <w:rFonts w:ascii="Times New Roman" w:eastAsia="宋体" w:cs="Times New Roman" w:hAnsi="Times New Roman" w:hint="eastAsia"/>
                      <w:color w:val="auto"/>
                      <w:sz w:val="21"/>
                      <w:szCs w:val="21"/>
                      <w:lang w:val="en-US" w:eastAsia="zh-CN"/>
                      <w:highlight w:val="none"/>
                    </w:rPr>
                    <w:t>取水水源</w:t>
                  </w:r>
                  <w:r>
                    <w:rPr>
                      <w:rFonts w:cs="Times New Roman" w:hint="eastAsia"/>
                      <w:color w:val="auto"/>
                      <w:sz w:val="21"/>
                      <w:szCs w:val="21"/>
                      <w:lang w:val="en-US" w:eastAsia="zh-CN"/>
                      <w:highlight w:val="none"/>
                    </w:rPr>
                    <w:t>由</w:t>
                  </w:r>
                  <w:r>
                    <w:rPr>
                      <w:rFonts w:ascii="Times New Roman" w:eastAsia="宋体" w:cs="Times New Roman" w:hAnsi="Times New Roman" w:hint="eastAsia"/>
                      <w:color w:val="auto"/>
                      <w:kern w:val="0"/>
                      <w:sz w:val="21"/>
                      <w:szCs w:val="21"/>
                      <w:lang w:val="en-US" w:eastAsia="zh-CN" w:bidi="ar-SA"/>
                      <w:highlight w:val="none"/>
                    </w:rPr>
                    <w:t>园区东地表水厂</w:t>
                  </w:r>
                  <w:r>
                    <w:rPr>
                      <w:rFonts w:cs="Times New Roman" w:hint="eastAsia"/>
                      <w:color w:val="auto"/>
                      <w:kern w:val="0"/>
                      <w:sz w:val="21"/>
                      <w:szCs w:val="21"/>
                      <w:lang w:val="en-US" w:eastAsia="zh-CN" w:bidi="ar-SA"/>
                      <w:highlight w:val="none"/>
                    </w:rPr>
                    <w:t>供给</w:t>
                  </w:r>
                  <w:r>
                    <w:rPr>
                      <w:rFonts w:cs="Times New Roman" w:hint="eastAsia"/>
                      <w:color w:val="auto"/>
                      <w:sz w:val="21"/>
                      <w:szCs w:val="21"/>
                      <w:lang w:val="en-US" w:eastAsia="zh-CN"/>
                      <w:highlight w:val="none"/>
                    </w:rPr>
                    <w:t>。</w:t>
                  </w:r>
                </w:p>
              </w:tc>
            </w:tr>
            <w:tr>
              <w:trPr>
                <w:trHeight w:val="524"/>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color w:val="auto"/>
                      <w:sz w:val="21"/>
                      <w:szCs w:val="21"/>
                      <w:highlight w:val="none"/>
                    </w:rPr>
                    <w:t>排水</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根据园区用地特点，采用不同类别用地用水量对污水量进行预测，规划远期园区总污水量约为</w:t>
                  </w:r>
                  <w:r>
                    <w:rPr>
                      <w:rFonts w:cs="Times New Roman" w:hint="eastAsia"/>
                      <w:color w:val="auto"/>
                      <w:kern w:val="0"/>
                      <w:sz w:val="21"/>
                      <w:szCs w:val="21"/>
                      <w:lang w:val="en-US" w:eastAsia="zh-CN" w:bidi="ar-SA"/>
                      <w:highlight w:val="none"/>
                    </w:rPr>
                    <w:t>5.95</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，其中栾城区境内污水量约为</w:t>
                  </w:r>
                  <w:r>
                    <w:rPr>
                      <w:rFonts w:cs="Times New Roman" w:hint="eastAsia"/>
                      <w:color w:val="auto"/>
                      <w:kern w:val="0"/>
                      <w:sz w:val="21"/>
                      <w:szCs w:val="21"/>
                      <w:lang w:val="en-US" w:eastAsia="zh-CN" w:bidi="ar-SA"/>
                      <w:highlight w:val="none"/>
                    </w:rPr>
                    <w:t>5.52</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、元氏县境内污水量约为</w:t>
                  </w:r>
                  <w:r>
                    <w:rPr>
                      <w:rFonts w:ascii="Times New Roman" w:eastAsia="宋体" w:cs="Times New Roman" w:hAnsi="Times New Roman"/>
                      <w:color w:val="auto"/>
                      <w:kern w:val="0"/>
                      <w:sz w:val="21"/>
                      <w:szCs w:val="21"/>
                      <w:lang w:val="en-US" w:eastAsia="zh-CN" w:bidi="ar-SA"/>
                      <w:highlight w:val="none"/>
                    </w:rPr>
                    <w:t>0.4</w:t>
                  </w:r>
                  <w:r>
                    <w:rPr>
                      <w:rFonts w:cs="Times New Roman" w:hint="eastAsia"/>
                      <w:color w:val="auto"/>
                      <w:kern w:val="0"/>
                      <w:sz w:val="21"/>
                      <w:szCs w:val="21"/>
                      <w:lang w:val="en-US" w:eastAsia="zh-CN" w:bidi="ar-SA"/>
                      <w:highlight w:val="none"/>
                    </w:rPr>
                    <w:t>4</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/d</w:t>
                  </w:r>
                  <w:r>
                    <w:rPr>
                      <w:rFonts w:ascii="Times New Roman" w:eastAsia="宋体" w:cs="Times New Roman" w:hAnsi="Times New Roman" w:hint="eastAsia"/>
                      <w:color w:val="auto"/>
                      <w:kern w:val="0"/>
                      <w:sz w:val="21"/>
                      <w:szCs w:val="21"/>
                      <w:lang w:val="en-US" w:eastAsia="zh-CN" w:bidi="ar-SA"/>
                      <w:highlight w:val="none"/>
                    </w:rPr>
                    <w:t>。规划保留洨河西污水处理厂和城区污水处理厂，并在城区污水处理厂内增加提标处理工艺设施。</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kern w:val="0"/>
                      <w:sz w:val="21"/>
                      <w:szCs w:val="21"/>
                      <w:lang w:val="en-US" w:eastAsia="zh-CN" w:bidi="ar-SA"/>
                      <w:highlight w:val="none"/>
                    </w:rPr>
                    <w:t>洨河西污水处理厂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栾城区绿源污水处理厂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收水范围为西部工业组团</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装备制造产业园区、产业转型升级示范区栾城区境内</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。城区污水处理厂</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德威华泰石家庄市栾城水务有限公司</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收水范围为东部工业组团</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通用飞机产业园区、食品和医药产业园区</w:t>
                  </w:r>
                  <w:r>
                    <w:rPr>
                      <w:rFonts w:cs="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。西部工业组团中的产业转型升级示范区的元氏县境内的废水排至元氏县槐东污水厂</w:t>
                  </w:r>
                  <w:r>
                    <w:rPr>
                      <w:rFonts w:cs="Times New Roman" w:hint="eastAsia"/>
                      <w:color w:val="auto"/>
                      <w:kern w:val="0"/>
                      <w:sz w:val="21"/>
                      <w:szCs w:val="21"/>
                      <w:lang w:val="en-US" w:eastAsia="zh-CN" w:bidi="ar-SA"/>
                      <w:highlight w:val="none"/>
                    </w:rPr>
                    <w:t>。</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kern w:val="0"/>
                      <w:sz w:val="21"/>
                      <w:szCs w:val="21"/>
                      <w:lang w:val="en-US" w:eastAsia="zh-CN" w:bidi="ar-SA"/>
                      <w:highlight w:val="none"/>
                    </w:rPr>
                    <w:t>项目</w:t>
                  </w:r>
                  <w:r>
                    <w:rPr>
                      <w:rFonts w:ascii="Times New Roman" w:eastAsia="宋体" w:cs="Times New Roman" w:hAnsi="Times New Roman" w:hint="eastAsia"/>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w:t>
                  </w:r>
                </w:p>
              </w:tc>
            </w:tr>
            <w:tr>
              <w:trPr>
                <w:trHeight w:val="580"/>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供热</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规划远期集中供热总热负荷为</w:t>
                  </w:r>
                  <w:r>
                    <w:rPr>
                      <w:rFonts w:ascii="Times New Roman" w:eastAsia="宋体" w:cs="Times New Roman" w:hAnsi="Times New Roman"/>
                      <w:color w:val="auto"/>
                      <w:kern w:val="0"/>
                      <w:sz w:val="21"/>
                      <w:szCs w:val="21"/>
                      <w:lang w:val="en-US" w:eastAsia="zh-CN" w:bidi="ar-SA"/>
                      <w:highlight w:val="none"/>
                    </w:rPr>
                    <w:t>1100.01MW</w:t>
                  </w:r>
                  <w:r>
                    <w:rPr>
                      <w:rFonts w:ascii="Times New Roman" w:eastAsia="宋体" w:cs="Times New Roman" w:hAnsi="Times New Roman" w:hint="eastAsia"/>
                      <w:color w:val="auto"/>
                      <w:kern w:val="0"/>
                      <w:sz w:val="21"/>
                      <w:szCs w:val="21"/>
                      <w:lang w:val="en-US" w:eastAsia="zh-CN" w:bidi="ar-SA"/>
                      <w:highlight w:val="none"/>
                    </w:rPr>
                    <w:t>，其中栾城区境内采暖热负荷为</w:t>
                  </w:r>
                  <w:r>
                    <w:rPr>
                      <w:rFonts w:ascii="Times New Roman" w:eastAsia="宋体" w:cs="Times New Roman" w:hAnsi="Times New Roman"/>
                      <w:color w:val="auto"/>
                      <w:kern w:val="0"/>
                      <w:sz w:val="21"/>
                      <w:szCs w:val="21"/>
                      <w:lang w:val="en-US" w:eastAsia="zh-CN" w:bidi="ar-SA"/>
                      <w:highlight w:val="none"/>
                    </w:rPr>
                    <w:t>1047.60MW</w:t>
                  </w:r>
                  <w:r>
                    <w:rPr>
                      <w:rFonts w:ascii="Times New Roman" w:eastAsia="宋体" w:cs="Times New Roman" w:hAnsi="Times New Roman" w:hint="eastAsia"/>
                      <w:color w:val="auto"/>
                      <w:kern w:val="0"/>
                      <w:sz w:val="21"/>
                      <w:szCs w:val="21"/>
                      <w:lang w:val="en-US" w:eastAsia="zh-CN" w:bidi="ar-SA"/>
                      <w:highlight w:val="none"/>
                    </w:rPr>
                    <w:t>、元氏县境内采暖热负荷为</w:t>
                  </w:r>
                  <w:r>
                    <w:rPr>
                      <w:rFonts w:ascii="Times New Roman" w:eastAsia="宋体" w:cs="Times New Roman" w:hAnsi="Times New Roman"/>
                      <w:color w:val="auto"/>
                      <w:kern w:val="0"/>
                      <w:sz w:val="21"/>
                      <w:szCs w:val="21"/>
                      <w:lang w:val="en-US" w:eastAsia="zh-CN" w:bidi="ar-SA"/>
                      <w:highlight w:val="none"/>
                    </w:rPr>
                    <w:t>52.41MW</w:t>
                  </w:r>
                  <w:r>
                    <w:rPr>
                      <w:rFonts w:ascii="Times New Roman" w:eastAsia="宋体" w:cs="Times New Roman" w:hAnsi="Times New Roman" w:hint="eastAsia"/>
                      <w:color w:val="auto"/>
                      <w:kern w:val="0"/>
                      <w:sz w:val="21"/>
                      <w:szCs w:val="21"/>
                      <w:lang w:val="en-US" w:eastAsia="zh-CN" w:bidi="ar-SA"/>
                      <w:highlight w:val="none"/>
                    </w:rPr>
                    <w:t xml:space="preserve">。 </w:t>
                  </w:r>
                </w:p>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规划园区采用集中供热，热源为中节能垃圾焚烧发电厂、宏源热电厂、冀粤垃圾焚烧发电厂、神威热力中心、裕华热电厂及规划新建栾城西中继能源站。</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供热管网规划采用二级管网系统，热电厂及能源站将高温热水输送到热力站后，经热力站换热后至采暖用户。供热管线采用直埋方式沿路敷设。</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项目生产</w:t>
                  </w:r>
                  <w:r>
                    <w:rPr>
                      <w:rFonts w:cs="Times New Roman" w:hint="eastAsia"/>
                      <w:color w:val="auto"/>
                      <w:sz w:val="21"/>
                      <w:szCs w:val="21"/>
                      <w:lang w:val="en-US"/>
                      <w:highlight w:val="none"/>
                    </w:rPr>
                    <w:t>不涉及用热</w:t>
                  </w:r>
                  <w:r>
                    <w:rPr>
                      <w:rFonts w:ascii="Times New Roman" w:eastAsia="宋体" w:cs="Times New Roman" w:hAnsi="Times New Roman" w:hint="eastAsia"/>
                      <w:color w:val="auto"/>
                      <w:sz w:val="21"/>
                      <w:szCs w:val="21"/>
                      <w:lang w:val="en-US" w:eastAsia="zh-CN"/>
                      <w:highlight w:val="none"/>
                    </w:rPr>
                    <w:t>，职工冬季采暖、夏季制冷均由空调提供。</w:t>
                  </w:r>
                </w:p>
              </w:tc>
            </w:tr>
            <w:tr>
              <w:trPr>
                <w:trHeight w:val="1093"/>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供电</w:t>
                  </w:r>
                </w:p>
              </w:tc>
              <w:tc>
                <w:tcPr>
                  <w:tcW w:w="4107"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园区电力由中节能垃圾焚烧发电厂、冀粤垃圾焚烧发电厂、宏源热电厂、裕华热电厂联合供给。园区电压等级根据国家标准电压等级和上级电网情况，规划为</w:t>
                  </w:r>
                  <w:r>
                    <w:rPr>
                      <w:rFonts w:ascii="Times New Roman" w:eastAsia="宋体" w:cs="Times New Roman" w:hAnsi="Times New Roman"/>
                      <w:color w:val="auto"/>
                      <w:sz w:val="21"/>
                      <w:szCs w:val="21"/>
                      <w:lang w:val="en-US" w:eastAsia="zh-CN"/>
                      <w:highlight w:val="none"/>
                    </w:rPr>
                    <w:t>220kV/110kV/10KV/0.4kV</w:t>
                  </w:r>
                  <w:r>
                    <w:rPr>
                      <w:rFonts w:ascii="Times New Roman" w:eastAsia="宋体" w:cs="Times New Roman" w:hAnsi="Times New Roman" w:hint="eastAsia"/>
                      <w:color w:val="auto"/>
                      <w:sz w:val="21"/>
                      <w:szCs w:val="21"/>
                      <w:lang w:val="en-US" w:eastAsia="zh-CN"/>
                      <w:highlight w:val="none"/>
                    </w:rPr>
                    <w:t>的三级电网。以</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作为园区的送电电压，中压配电电压为</w:t>
                  </w:r>
                  <w:r>
                    <w:rPr>
                      <w:rFonts w:ascii="Times New Roman" w:eastAsia="宋体" w:cs="Times New Roman" w:hAnsi="Times New Roman"/>
                      <w:color w:val="auto"/>
                      <w:sz w:val="21"/>
                      <w:szCs w:val="21"/>
                      <w:lang w:val="en-US" w:eastAsia="zh-CN"/>
                      <w:highlight w:val="none"/>
                    </w:rPr>
                    <w:t>10kV</w:t>
                  </w:r>
                  <w:r>
                    <w:rPr>
                      <w:rFonts w:ascii="Times New Roman" w:eastAsia="宋体" w:cs="Times New Roman" w:hAnsi="Times New Roman" w:hint="eastAsia"/>
                      <w:color w:val="auto"/>
                      <w:sz w:val="21"/>
                      <w:szCs w:val="21"/>
                      <w:lang w:val="en-US" w:eastAsia="zh-CN"/>
                      <w:highlight w:val="none"/>
                    </w:rPr>
                    <w:t>，低压配电电压为</w:t>
                  </w:r>
                  <w:r>
                    <w:rPr>
                      <w:rFonts w:ascii="Times New Roman" w:eastAsia="宋体" w:cs="Times New Roman" w:hAnsi="Times New Roman"/>
                      <w:color w:val="auto"/>
                      <w:sz w:val="21"/>
                      <w:szCs w:val="21"/>
                      <w:lang w:val="en-US" w:eastAsia="zh-CN"/>
                      <w:highlight w:val="none"/>
                    </w:rPr>
                    <w:t>0.4kV</w:t>
                  </w:r>
                  <w:r>
                    <w:rPr>
                      <w:rFonts w:ascii="Times New Roman" w:eastAsia="宋体" w:cs="Times New Roman" w:hAnsi="Times New Roman" w:hint="eastAsia"/>
                      <w:color w:val="auto"/>
                      <w:sz w:val="21"/>
                      <w:szCs w:val="21"/>
                      <w:lang w:val="en-US" w:eastAsia="zh-CN"/>
                      <w:highlight w:val="none"/>
                    </w:rPr>
                    <w:t>（</w:t>
                  </w:r>
                  <w:r>
                    <w:rPr>
                      <w:rFonts w:ascii="Times New Roman" w:eastAsia="宋体" w:cs="Times New Roman" w:hAnsi="Times New Roman"/>
                      <w:color w:val="auto"/>
                      <w:sz w:val="21"/>
                      <w:szCs w:val="21"/>
                      <w:lang w:val="en-US" w:eastAsia="zh-CN"/>
                      <w:highlight w:val="none"/>
                    </w:rPr>
                    <w:t>220/380V</w:t>
                  </w:r>
                  <w:r>
                    <w:rPr>
                      <w:rFonts w:ascii="Times New Roman" w:eastAsia="宋体" w:cs="Times New Roman" w:hAnsi="Times New Roman" w:hint="eastAsia"/>
                      <w:color w:val="auto"/>
                      <w:sz w:val="21"/>
                      <w:szCs w:val="21"/>
                      <w:lang w:val="en-US" w:eastAsia="zh-CN"/>
                      <w:highlight w:val="none"/>
                    </w:rPr>
                    <w:t>）。规划保留园区范围内</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龙岗站、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栾城站、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窦妪站、</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苏邱站</w:t>
                  </w:r>
                  <w:r>
                    <w:rPr>
                      <w:rFonts w:ascii="Times New Roman" w:eastAsia="宋体" w:cs="Times New Roman" w:hAnsi="Times New Roman"/>
                      <w:color w:val="auto"/>
                      <w:sz w:val="21"/>
                      <w:szCs w:val="21"/>
                      <w:lang w:val="en-US" w:eastAsia="zh-CN"/>
                      <w:highlight w:val="none"/>
                    </w:rPr>
                    <w:t>4</w:t>
                  </w:r>
                  <w:r>
                    <w:rPr>
                      <w:rFonts w:ascii="Times New Roman" w:eastAsia="宋体" w:cs="Times New Roman" w:hAnsi="Times New Roman" w:hint="eastAsia"/>
                      <w:color w:val="auto"/>
                      <w:sz w:val="21"/>
                      <w:szCs w:val="21"/>
                      <w:lang w:val="en-US" w:eastAsia="zh-CN"/>
                      <w:highlight w:val="none"/>
                    </w:rPr>
                    <w:t>座变电站，并新建</w:t>
                  </w:r>
                  <w:r>
                    <w:rPr>
                      <w:rFonts w:ascii="Times New Roman" w:eastAsia="宋体" w:cs="Times New Roman" w:hAnsi="Times New Roman"/>
                      <w:color w:val="auto"/>
                      <w:sz w:val="21"/>
                      <w:szCs w:val="21"/>
                      <w:lang w:val="en-US" w:eastAsia="zh-CN"/>
                      <w:highlight w:val="none"/>
                    </w:rPr>
                    <w:t>220kV</w:t>
                  </w:r>
                  <w:r>
                    <w:rPr>
                      <w:rFonts w:ascii="Times New Roman" w:eastAsia="宋体" w:cs="Times New Roman" w:hAnsi="Times New Roman" w:hint="eastAsia"/>
                      <w:color w:val="auto"/>
                      <w:sz w:val="21"/>
                      <w:szCs w:val="21"/>
                      <w:lang w:val="en-US" w:eastAsia="zh-CN"/>
                      <w:highlight w:val="none"/>
                    </w:rPr>
                    <w:t>变电站一座、</w:t>
                  </w:r>
                  <w:r>
                    <w:rPr>
                      <w:rFonts w:ascii="Times New Roman" w:eastAsia="宋体" w:cs="Times New Roman" w:hAnsi="Times New Roman"/>
                      <w:color w:val="auto"/>
                      <w:sz w:val="21"/>
                      <w:szCs w:val="21"/>
                      <w:lang w:val="en-US" w:eastAsia="zh-CN"/>
                      <w:highlight w:val="none"/>
                    </w:rPr>
                    <w:t>110kV</w:t>
                  </w:r>
                  <w:r>
                    <w:rPr>
                      <w:rFonts w:ascii="Times New Roman" w:eastAsia="宋体" w:cs="Times New Roman" w:hAnsi="Times New Roman" w:hint="eastAsia"/>
                      <w:color w:val="auto"/>
                      <w:sz w:val="21"/>
                      <w:szCs w:val="21"/>
                      <w:lang w:val="en-US" w:eastAsia="zh-CN"/>
                      <w:highlight w:val="none"/>
                    </w:rPr>
                    <w:t>变电站</w:t>
                  </w:r>
                  <w:r>
                    <w:rPr>
                      <w:rFonts w:ascii="Times New Roman" w:eastAsia="宋体" w:cs="Times New Roman" w:hAnsi="Times New Roman"/>
                      <w:color w:val="auto"/>
                      <w:sz w:val="21"/>
                      <w:szCs w:val="21"/>
                      <w:lang w:val="en-US" w:eastAsia="zh-CN"/>
                      <w:highlight w:val="none"/>
                    </w:rPr>
                    <w:t>4</w:t>
                  </w:r>
                  <w:r>
                    <w:rPr>
                      <w:rFonts w:ascii="Times New Roman" w:eastAsia="宋体" w:cs="Times New Roman" w:hAnsi="Times New Roman" w:hint="eastAsia"/>
                      <w:color w:val="auto"/>
                      <w:sz w:val="21"/>
                      <w:szCs w:val="21"/>
                      <w:lang w:val="en-US" w:eastAsia="zh-CN"/>
                      <w:highlight w:val="none"/>
                    </w:rPr>
                    <w:t>座。</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cs="Times New Roman" w:hAnsi="Times New Roman" w:hint="eastAsia"/>
                      <w:b/>
                      <w:bCs/>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项目用电由园区供电管网提供。</w:t>
                  </w:r>
                </w:p>
              </w:tc>
            </w:tr>
            <w:tr>
              <w:trPr>
                <w:trHeight w:val="2995"/>
              </w:trPr>
              <w:tc>
                <w:tcPr>
                  <w:tcW w:w="559"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燃气</w:t>
                  </w:r>
                </w:p>
              </w:tc>
              <w:tc>
                <w:tcPr>
                  <w:tcW w:w="4107" w:type="dxa"/>
                  <w:tcBorders>
                    <w:tl2br w:val="nil"/>
                    <w:tr2bl w:val="nil"/>
                  </w:tcBorders>
                  <w:vAlign w:val="center"/>
                </w:tcPr>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规划以天然气为主要气源，管道天然气采用京石邯长输管道为气源。栾城区境内接入点为西营门站，元氏县境内接入点为城东门站。</w:t>
                  </w:r>
                </w:p>
                <w:p>
                  <w:pPr>
                    <w:keepNext w:val="0"/>
                    <w:keepLines w:val="0"/>
                    <w:widowControl/>
                    <w:suppressLineNumbers w:val="0"/>
                    <w:jc w:val="both"/>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园区规划远期天然气新增用量为</w:t>
                  </w:r>
                  <w:r>
                    <w:rPr>
                      <w:rFonts w:cs="Times New Roman" w:hint="eastAsia"/>
                      <w:color w:val="auto"/>
                      <w:kern w:val="0"/>
                      <w:sz w:val="21"/>
                      <w:szCs w:val="21"/>
                      <w:lang w:val="en-US" w:eastAsia="zh-CN" w:bidi="ar-SA"/>
                      <w:highlight w:val="none"/>
                    </w:rPr>
                    <w:t>2855.43</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年，其中栾城区境内天然气用量为</w:t>
                  </w:r>
                  <w:r>
                    <w:rPr>
                      <w:rFonts w:cs="Times New Roman" w:hint="eastAsia"/>
                      <w:color w:val="auto"/>
                      <w:kern w:val="0"/>
                      <w:sz w:val="21"/>
                      <w:szCs w:val="21"/>
                      <w:lang w:val="en-US" w:eastAsia="zh-CN" w:bidi="ar-SA"/>
                      <w:highlight w:val="none"/>
                    </w:rPr>
                    <w:t>2647.32</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年、元氏县境内天然气用量为</w:t>
                  </w:r>
                  <w:r>
                    <w:rPr>
                      <w:rFonts w:cs="Times New Roman" w:hint="eastAsia"/>
                      <w:color w:val="auto"/>
                      <w:kern w:val="0"/>
                      <w:sz w:val="21"/>
                      <w:szCs w:val="21"/>
                      <w:lang w:val="en-US" w:eastAsia="zh-CN" w:bidi="ar-SA"/>
                      <w:highlight w:val="none"/>
                    </w:rPr>
                    <w:t>208.11</w:t>
                  </w:r>
                  <w:r>
                    <w:rPr>
                      <w:rFonts w:ascii="Times New Roman" w:eastAsia="宋体" w:cs="Times New Roman" w:hAnsi="Times New Roman" w:hint="eastAsia"/>
                      <w:color w:val="auto"/>
                      <w:kern w:val="0"/>
                      <w:sz w:val="21"/>
                      <w:szCs w:val="21"/>
                      <w:lang w:val="en-US" w:eastAsia="zh-CN" w:bidi="ar-SA"/>
                      <w:highlight w:val="none"/>
                    </w:rPr>
                    <w:t>万</w:t>
                  </w:r>
                  <w:r>
                    <w:rPr>
                      <w:rFonts w:ascii="Times New Roman" w:eastAsia="宋体" w:cs="Times New Roman" w:hAnsi="Times New Roman"/>
                      <w:color w:val="auto"/>
                      <w:kern w:val="0"/>
                      <w:sz w:val="21"/>
                      <w:szCs w:val="21"/>
                      <w:lang w:val="en-US" w:eastAsia="zh-CN" w:bidi="ar-SA"/>
                      <w:highlight w:val="none"/>
                    </w:rPr>
                    <w:t>m</w:t>
                  </w:r>
                  <w:r>
                    <w:rPr>
                      <w:rFonts w:ascii="Times New Roman" w:eastAsia="宋体" w:cs="Times New Roman" w:hAnsi="Times New Roman"/>
                      <w:color w:val="auto"/>
                      <w:kern w:val="0"/>
                      <w:sz w:val="21"/>
                      <w:szCs w:val="21"/>
                      <w:vertAlign w:val="superscript"/>
                      <w:lang w:val="en-US" w:eastAsia="zh-CN" w:bidi="ar-SA"/>
                      <w:highlight w:val="none"/>
                    </w:rPr>
                    <w:t>3</w:t>
                  </w:r>
                  <w:r>
                    <w:rPr>
                      <w:rFonts w:cs="Times New Roman" w:hint="eastAsia"/>
                      <w:color w:val="auto"/>
                      <w:kern w:val="0"/>
                      <w:sz w:val="21"/>
                      <w:szCs w:val="21"/>
                      <w:vertAlign w:val="baseline"/>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 xml:space="preserve">年。 </w:t>
                  </w:r>
                </w:p>
                <w:p>
                  <w:pPr>
                    <w:keepNext w:val="0"/>
                    <w:keepLines w:val="0"/>
                    <w:widowControl/>
                    <w:suppressLineNumbers w:val="0"/>
                    <w:jc w:val="both"/>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kern w:val="0"/>
                      <w:sz w:val="21"/>
                      <w:szCs w:val="21"/>
                      <w:lang w:val="en-US" w:eastAsia="zh-CN" w:bidi="ar-SA"/>
                      <w:highlight w:val="none"/>
                    </w:rPr>
                    <w:t>园区天然气管网采用中压一级管网系统，工作压力</w:t>
                  </w:r>
                  <w:r>
                    <w:rPr>
                      <w:rFonts w:ascii="Times New Roman" w:eastAsia="宋体" w:cs="Times New Roman" w:hAnsi="Times New Roman"/>
                      <w:color w:val="auto"/>
                      <w:kern w:val="0"/>
                      <w:sz w:val="21"/>
                      <w:szCs w:val="21"/>
                      <w:lang w:val="en-US" w:eastAsia="zh-CN" w:bidi="ar-SA"/>
                      <w:highlight w:val="none"/>
                    </w:rPr>
                    <w:t>0.4Mpa</w:t>
                  </w:r>
                  <w:r>
                    <w:rPr>
                      <w:rFonts w:ascii="Times New Roman" w:eastAsia="宋体" w:cs="Times New Roman" w:hAnsi="Times New Roman" w:hint="eastAsia"/>
                      <w:color w:val="auto"/>
                      <w:kern w:val="0"/>
                      <w:sz w:val="21"/>
                      <w:szCs w:val="21"/>
                      <w:lang w:val="en-US" w:eastAsia="zh-CN" w:bidi="ar-SA"/>
                      <w:highlight w:val="none"/>
                    </w:rPr>
                    <w:t>，由京石邯天然气长输管线供应，经调压站调压至用户。燃气管网采用环形管网，保证燃气的供气安全，管径为</w:t>
                  </w:r>
                  <w:r>
                    <w:rPr>
                      <w:rFonts w:ascii="Times New Roman" w:eastAsia="宋体" w:cs="Times New Roman" w:hAnsi="Times New Roman"/>
                      <w:color w:val="auto"/>
                      <w:kern w:val="0"/>
                      <w:sz w:val="21"/>
                      <w:szCs w:val="21"/>
                      <w:lang w:val="en-US" w:eastAsia="zh-CN" w:bidi="ar-SA"/>
                      <w:highlight w:val="none"/>
                    </w:rPr>
                    <w:t>150-250mm</w:t>
                  </w:r>
                  <w:r>
                    <w:rPr>
                      <w:rFonts w:ascii="Times New Roman" w:eastAsia="宋体" w:cs="Times New Roman" w:hAnsi="Times New Roman" w:hint="eastAsia"/>
                      <w:color w:val="auto"/>
                      <w:kern w:val="0"/>
                      <w:sz w:val="21"/>
                      <w:szCs w:val="21"/>
                      <w:lang w:val="en-US" w:eastAsia="zh-CN" w:bidi="ar-SA"/>
                      <w:highlight w:val="none"/>
                    </w:rPr>
                    <w:t>。</w:t>
                  </w:r>
                </w:p>
              </w:tc>
              <w:tc>
                <w:tcPr>
                  <w:tcW w:w="2930" w:type="dxa"/>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项目</w:t>
                  </w:r>
                  <w:r>
                    <w:rPr>
                      <w:rFonts w:cs="Times New Roman" w:hint="eastAsia"/>
                      <w:color w:val="auto"/>
                      <w:sz w:val="21"/>
                      <w:szCs w:val="21"/>
                      <w:lang w:val="en-US" w:eastAsia="zh-CN"/>
                      <w:highlight w:val="none"/>
                    </w:rPr>
                    <w:t>采用电能，</w:t>
                  </w:r>
                  <w:r>
                    <w:rPr>
                      <w:rFonts w:ascii="Times New Roman" w:eastAsia="宋体" w:cs="Times New Roman" w:hAnsi="Times New Roman" w:hint="eastAsia"/>
                      <w:color w:val="auto"/>
                      <w:sz w:val="21"/>
                      <w:szCs w:val="21"/>
                      <w:lang w:val="en-US" w:eastAsia="zh-CN"/>
                      <w:highlight w:val="none"/>
                    </w:rPr>
                    <w:t>不使用天然气。</w:t>
                  </w:r>
                </w:p>
              </w:tc>
            </w:tr>
          </w:tbl>
          <w:p>
            <w:pPr>
              <w:pStyle w:val="56"/>
              <w:rPr>
                <w:rFonts w:ascii="Times New Roman" w:eastAsia="宋体" w:cs="Times New Roman" w:hAnsi="Times New Roman"/>
                <w:b/>
                <w:bCs/>
                <w:color w:val="auto"/>
                <w:lang w:val="en-US" w:eastAsia="zh-CN"/>
                <w:highlight w:val="none"/>
              </w:rPr>
            </w:pPr>
            <w:r>
              <w:rPr>
                <w:rFonts w:ascii="Times New Roman" w:eastAsia="宋体" w:cs="Times New Roman" w:hAnsi="Times New Roman"/>
                <w:b/>
                <w:bCs/>
                <w:color w:val="auto"/>
                <w:lang w:val="en-US" w:eastAsia="zh-CN"/>
                <w:highlight w:val="none"/>
              </w:rPr>
              <w:t>2、</w:t>
            </w:r>
            <w:r>
              <w:rPr>
                <w:rFonts w:ascii="Times New Roman" w:eastAsia="宋体" w:cs="Times New Roman" w:hAnsi="Times New Roman" w:hint="eastAsia"/>
                <w:b/>
                <w:bCs/>
                <w:color w:val="auto"/>
                <w:lang w:val="en-US" w:eastAsia="zh-CN"/>
                <w:highlight w:val="none"/>
              </w:rPr>
              <w:t>规划环评结论符合性</w:t>
            </w:r>
          </w:p>
          <w:p>
            <w:pPr>
              <w:pStyle w:val="56"/>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本项目与规划环评结论符合性分析情况见下表：</w:t>
            </w:r>
          </w:p>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auto"/>
                <w:sz w:val="24"/>
                <w:highlight w:val="none"/>
              </w:rPr>
            </w:pPr>
            <w:r>
              <w:rPr>
                <w:rFonts w:ascii="Times New Roman" w:eastAsia="宋体" w:cs="Times New Roman" w:hAnsi="Times New Roman" w:hint="eastAsia"/>
                <w:b/>
                <w:bCs/>
                <w:color w:val="auto"/>
                <w:sz w:val="24"/>
                <w:lang w:val="en-US" w:eastAsia="zh-CN"/>
                <w:highlight w:val="none"/>
              </w:rPr>
              <w:t>表</w:t>
            </w:r>
            <w:r>
              <w:rPr>
                <w:rFonts w:ascii="Times New Roman" w:eastAsia="宋体" w:cs="Times New Roman" w:hAnsi="Times New Roman"/>
                <w:b/>
                <w:bCs/>
                <w:color w:val="auto"/>
                <w:sz w:val="24"/>
                <w:lang w:val="en-US" w:eastAsia="zh-CN"/>
                <w:highlight w:val="none"/>
              </w:rPr>
              <w:t>1-</w:t>
            </w:r>
            <w:r>
              <w:rPr>
                <w:rFonts w:cs="Times New Roman" w:hint="eastAsia"/>
                <w:b/>
                <w:bCs/>
                <w:color w:val="auto"/>
                <w:sz w:val="24"/>
                <w:lang w:val="en-US" w:eastAsia="zh-CN"/>
                <w:highlight w:val="none"/>
              </w:rPr>
              <w:t>4</w:t>
            </w:r>
            <w:r>
              <w:rPr>
                <w:rFonts w:ascii="Times New Roman" w:eastAsia="宋体" w:cs="Times New Roman" w:hAnsi="Times New Roman" w:hint="eastAsia"/>
                <w:color w:val="auto"/>
                <w:lang w:val="en-US" w:eastAsia="zh-CN"/>
                <w:highlight w:val="none"/>
              </w:rPr>
              <w:t xml:space="preserve">  </w:t>
            </w:r>
            <w:r>
              <w:rPr>
                <w:rFonts w:ascii="Times New Roman" w:eastAsia="宋体" w:cs="Times New Roman" w:hAnsi="Times New Roman"/>
                <w:color w:val="auto"/>
                <w:lang w:val="en-US" w:eastAsia="zh-CN"/>
                <w:highlight w:val="none"/>
              </w:rPr>
              <w:t xml:space="preserve"> </w:t>
            </w:r>
            <w:r>
              <w:rPr>
                <w:rFonts w:ascii="Times New Roman" w:eastAsia="宋体" w:cs="Times New Roman" w:hAnsi="Times New Roman" w:hint="eastAsia"/>
                <w:b/>
                <w:bCs/>
                <w:color w:val="auto"/>
                <w:sz w:val="24"/>
                <w:lang w:val="en-US" w:eastAsia="zh-CN"/>
                <w:highlight w:val="none"/>
              </w:rPr>
              <w:t>项目与规划环评结论符合性分析一览表</w:t>
            </w:r>
          </w:p>
          <w:tbl>
            <w:tblPr>
              <w:jc w:val="center"/>
              <w:tblW w:w="759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34"/>
              <w:gridCol w:w="3114"/>
              <w:gridCol w:w="2880"/>
              <w:gridCol w:w="864"/>
            </w:tblGrid>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序号</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相关内容</w:t>
                  </w:r>
                </w:p>
              </w:tc>
              <w:tc>
                <w:tcPr>
                  <w:tcW w:w="288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项目情况</w:t>
                  </w:r>
                </w:p>
              </w:tc>
              <w:tc>
                <w:tcPr>
                  <w:tcW w:w="86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auto"/>
                      <w:kern w:val="2"/>
                      <w:sz w:val="21"/>
                      <w:szCs w:val="21"/>
                      <w:lang w:val="en-US" w:eastAsia="zh-CN" w:bidi="ar-SA"/>
                      <w:highlight w:val="none"/>
                    </w:rPr>
                  </w:pPr>
                  <w:r>
                    <w:rPr>
                      <w:rFonts w:ascii="Times New Roman" w:eastAsia="宋体" w:cs="Times New Roman" w:hAnsi="Times New Roman" w:hint="eastAsia"/>
                      <w:b/>
                      <w:bCs/>
                      <w:color w:val="auto"/>
                      <w:kern w:val="2"/>
                      <w:sz w:val="21"/>
                      <w:szCs w:val="21"/>
                      <w:lang w:val="en-US" w:eastAsia="zh-CN" w:bidi="ar-SA"/>
                      <w:highlight w:val="none"/>
                    </w:rPr>
                    <w:t>符合性</w:t>
                  </w:r>
                </w:p>
              </w:tc>
            </w:tr>
            <w:tr>
              <w:trPr>
                <w:trHeight w:val="397"/>
              </w:trPr>
              <w:tc>
                <w:tcPr>
                  <w:tcW w:w="73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1</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规划分析结论：阐述了规划期限、范围、园区性质、产业定位。</w:t>
                  </w:r>
                </w:p>
              </w:tc>
              <w:tc>
                <w:tcPr>
                  <w:tcW w:w="2880" w:type="dxa"/>
                  <w:vMerge w:val="restart"/>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项目位于</w:t>
                  </w:r>
                  <w:r>
                    <w:rPr>
                      <w:rFonts w:cs="Times New Roman" w:hint="eastAsia"/>
                      <w:color w:val="auto"/>
                      <w:kern w:val="2"/>
                      <w:sz w:val="21"/>
                      <w:szCs w:val="21"/>
                      <w:lang w:val="en-US" w:eastAsia="zh-CN" w:bidi="ar-SA"/>
                      <w:highlight w:val="none"/>
                    </w:rPr>
                    <w:t>石家庄市栾城区装备制造基地楼底镇段家营村裕翔街168号103厂房（南）</w:t>
                  </w:r>
                  <w:r>
                    <w:rPr>
                      <w:rFonts w:ascii="Times New Roman" w:eastAsia="宋体" w:cs="Times New Roman" w:hAnsi="Times New Roman"/>
                      <w:color w:val="auto"/>
                      <w:kern w:val="2"/>
                      <w:sz w:val="21"/>
                      <w:szCs w:val="21"/>
                      <w:lang w:val="en-US" w:eastAsia="zh-CN" w:bidi="ar-SA"/>
                      <w:highlight w:val="none"/>
                    </w:rPr>
                    <w:t>，</w:t>
                  </w:r>
                  <w:r>
                    <w:rPr>
                      <w:rFonts w:cs="Times New Roman" w:hint="eastAsia"/>
                      <w:color w:val="auto"/>
                      <w:sz w:val="21"/>
                      <w:szCs w:val="21"/>
                      <w:lang w:val="en-US" w:eastAsia="zh-CN"/>
                      <w:highlight w:val="none"/>
                    </w:rPr>
                    <w:t>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r>
                    <w:rPr>
                      <w:rFonts w:ascii="Times New Roman" w:eastAsia="宋体" w:cs="Times New Roman" w:hAnsi="Times New Roman"/>
                      <w:color w:val="auto"/>
                      <w:kern w:val="2"/>
                      <w:sz w:val="21"/>
                      <w:szCs w:val="21"/>
                      <w:lang w:val="en-US" w:eastAsia="zh-CN" w:bidi="ar-SA"/>
                      <w:highlight w:val="none"/>
                    </w:rPr>
                    <w:t>。</w:t>
                  </w:r>
                </w:p>
              </w:tc>
              <w:tc>
                <w:tcPr>
                  <w:tcW w:w="864" w:type="dxa"/>
                  <w:tcBorders>
                    <w:tl2br w:val="nil"/>
                    <w:tr2bl w:val="nil"/>
                  </w:tcBorders>
                  <w:vAlign w:val="center"/>
                </w:tcPr>
                <w:p>
                  <w:pPr>
                    <w:keepNext w:val="0"/>
                    <w:keepLines w:val="0"/>
                    <w:pageBreakBefore w:val="0"/>
                    <w:widowControl w:val="0"/>
                    <w:kinsoku/>
                    <w:wordWrap/>
                    <w:overflowPunct/>
                    <w:topLinePunct w:val="0"/>
                    <w:autoSpaceDE/>
                    <w:autoSpaceDN/>
                    <w:bidi w:val="0"/>
                    <w:snapToGrid/>
                    <w:spacing w:line="240" w:lineRule="auto"/>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2</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规划的协调性分析结论：通过与国家、省、市有关规划的分析，规划与国民经济发展规划、环保规划、行业规划等相关规划的要求基本一致。规划发展的产业定位与相关的产业政策和规划要求也一致或不冲突。</w:t>
                  </w:r>
                </w:p>
              </w:tc>
              <w:tc>
                <w:tcPr>
                  <w:tcW w:w="2880" w:type="dxa"/>
                  <w:vMerge/>
                  <w:tcBorders>
                    <w:tl2br w:val="nil"/>
                    <w:tr2bl w:val="nil"/>
                  </w:tcBorders>
                  <w:vAlign w:val="center"/>
                </w:tcP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3</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环境质量现状分析结论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大气环境中PM</w:t>
                  </w:r>
                  <w:r>
                    <w:rPr>
                      <w:rFonts w:ascii="Times New Roman" w:eastAsia="宋体" w:cs="Times New Roman" w:hAnsi="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O</w:t>
                  </w:r>
                  <w:r>
                    <w:rPr>
                      <w:rFonts w:ascii="Times New Roman" w:eastAsia="宋体" w:cs="Times New Roman" w:hAnsi="Times New Roman" w:hint="eastAsia"/>
                      <w:color w:val="auto"/>
                      <w:kern w:val="2"/>
                      <w:sz w:val="21"/>
                      <w:szCs w:val="21"/>
                      <w:vertAlign w:val="subscript"/>
                      <w:lang w:val="en-US" w:eastAsia="zh-CN" w:bidi="ar-SA"/>
                      <w:highlight w:val="none"/>
                    </w:rPr>
                    <w:t>3</w:t>
                  </w:r>
                  <w:r>
                    <w:rPr>
                      <w:rFonts w:ascii="Times New Roman" w:eastAsia="宋体" w:cs="Times New Roman" w:hAnsi="Times New Roman" w:hint="eastAsia"/>
                      <w:color w:val="auto"/>
                      <w:kern w:val="2"/>
                      <w:sz w:val="21"/>
                      <w:szCs w:val="21"/>
                      <w:lang w:val="en-US" w:eastAsia="zh-CN" w:bidi="ar-SA"/>
                      <w:highlight w:val="none"/>
                    </w:rPr>
                    <w:t>污染物年评价指标及部分监测点中补充监测TSP24小时平均浓度不满足，其他因子均符合相关空气质量标准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地表水环境中洨河、石家庄总退水渠、北沙河、槐河中总氮超标外其他因子均符合相关地表水质量标准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地下水环境中除总硬度</w:t>
                  </w:r>
                  <w:r>
                    <w:rPr>
                      <w:rFonts w:cs="Times New Roman" w:hint="eastAsia"/>
                      <w:color w:val="auto"/>
                      <w:kern w:val="2"/>
                      <w:sz w:val="21"/>
                      <w:szCs w:val="21"/>
                      <w:lang w:val="en-US" w:eastAsia="zh-CN" w:bidi="ar-SA"/>
                      <w:highlight w:val="none"/>
                    </w:rPr>
                    <w:t>和溶解性总固体</w:t>
                  </w:r>
                  <w:r>
                    <w:rPr>
                      <w:rFonts w:ascii="Times New Roman" w:eastAsia="宋体" w:cs="Times New Roman" w:hAnsi="Times New Roman" w:hint="eastAsia"/>
                      <w:color w:val="auto"/>
                      <w:kern w:val="2"/>
                      <w:sz w:val="21"/>
                      <w:szCs w:val="21"/>
                      <w:lang w:val="en-US" w:eastAsia="zh-CN" w:bidi="ar-SA"/>
                      <w:highlight w:val="none"/>
                    </w:rPr>
                    <w:t>外，其他因子均符合相关地下水质量标准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区域声环境八里庄村北侧衡井公路道路交通声环境、马家庄村西侧石栾大街道路交通声环境夜间不能满足《声环境质量标准》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4a类声环境功能区限值要求、内营村距离石栾大街较近，夜间出现不能满足《声环境质量标准》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2类声环境功能区限值要求。其余监测点位满足相应功能区划要求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园区土壤环境中各监测点位监测因子均满足《土壤环境质量 建设用地土壤污染风险管控标准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试行</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GB36600-2018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、《建设用地土壤污染风险筛选</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DB13/T5216-2022</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、《土壤环境质量 农用地土壤值》污染风险管控标准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试行</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GB15618-2018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要求。</w:t>
                  </w:r>
                </w:p>
              </w:tc>
              <w:tc>
                <w:tcPr>
                  <w:tcW w:w="288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lang w:eastAsia="zh-CN"/>
                      <w:highlight w:val="none"/>
                    </w:rPr>
                  </w:pPr>
                  <w:r>
                    <w:rPr>
                      <w:rFonts w:ascii="Times New Roman" w:eastAsia="宋体" w:cs="Times New Roman" w:hAnsi="Times New Roman" w:hint="eastAsia"/>
                      <w:color w:val="auto"/>
                      <w:sz w:val="21"/>
                      <w:szCs w:val="21"/>
                      <w:highlight w:val="none"/>
                    </w:rPr>
                    <w:t>①环境空气：项目所在区域环境空气为二类功能区，执行《环境空气质量标准》（GB 3095-2026）</w:t>
                  </w:r>
                  <w:r>
                    <w:rPr>
                      <w:rFonts w:cs="Times New Roman" w:hint="eastAsia"/>
                      <w:color w:val="auto"/>
                      <w:sz w:val="21"/>
                      <w:szCs w:val="21"/>
                      <w:lang w:eastAsia="zh-CN"/>
                      <w:highlight w:val="none"/>
                    </w:rPr>
                    <w:t>中过渡阶段</w:t>
                  </w:r>
                  <w:r>
                    <w:rPr>
                      <w:rFonts w:ascii="Times New Roman" w:eastAsia="宋体" w:cs="Times New Roman" w:hAnsi="Times New Roman" w:hint="eastAsia"/>
                      <w:color w:val="auto"/>
                      <w:sz w:val="21"/>
                      <w:szCs w:val="21"/>
                      <w:highlight w:val="none"/>
                    </w:rPr>
                    <w:t>二级标准</w:t>
                  </w:r>
                  <w:r>
                    <w:rPr>
                      <w:rFonts w:cs="Times New Roman" w:hint="eastAsia"/>
                      <w:color w:val="auto"/>
                      <w:sz w:val="21"/>
                      <w:szCs w:val="21"/>
                      <w:lang w:eastAsia="zh-CN"/>
                      <w:highlight w:val="none"/>
                    </w:rPr>
                    <w:t>浓度限值要求</w:t>
                  </w:r>
                  <w:r>
                    <w:rPr>
                      <w:rFonts w:ascii="Times New Roman" w:eastAsia="宋体" w:cs="Times New Roman" w:hAnsi="Times New Roman" w:hint="eastAsia"/>
                      <w:color w:val="auto"/>
                      <w:sz w:val="21"/>
                      <w:szCs w:val="21"/>
                      <w:lang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highlight w:val="none"/>
                    </w:rPr>
                  </w:pPr>
                  <w:r>
                    <w:rPr>
                      <w:rFonts w:ascii="Times New Roman" w:eastAsia="宋体" w:cs="Times New Roman" w:hAnsi="Times New Roman" w:hint="eastAsia"/>
                      <w:color w:val="auto"/>
                      <w:sz w:val="21"/>
                      <w:szCs w:val="21"/>
                      <w:highlight w:val="none"/>
                    </w:rPr>
                    <w:t>②水环境：</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ascii="Times New Roman" w:eastAsia="宋体" w:cs="Times New Roman" w:hAnsi="Times New Roman" w:hint="eastAsia"/>
                      <w:color w:val="auto"/>
                      <w:sz w:val="21"/>
                      <w:szCs w:val="21"/>
                      <w:highlight w:val="none"/>
                    </w:rPr>
                    <w:t>，根据石家庄市生态环境局202</w:t>
                  </w:r>
                  <w:r>
                    <w:rPr>
                      <w:rFonts w:ascii="Times New Roman" w:eastAsia="宋体" w:cs="Times New Roman" w:hAnsi="Times New Roman" w:hint="eastAsia"/>
                      <w:color w:val="auto"/>
                      <w:sz w:val="21"/>
                      <w:szCs w:val="21"/>
                      <w:lang w:val="en-US" w:eastAsia="zh-CN"/>
                      <w:highlight w:val="none"/>
                    </w:rPr>
                    <w:t>5</w:t>
                  </w:r>
                  <w:r>
                    <w:rPr>
                      <w:rFonts w:ascii="Times New Roman" w:eastAsia="宋体" w:cs="Times New Roman" w:hAnsi="Times New Roman" w:hint="eastAsia"/>
                      <w:color w:val="auto"/>
                      <w:sz w:val="21"/>
                      <w:szCs w:val="21"/>
                      <w:highlight w:val="none"/>
                    </w:rPr>
                    <w:t>年6月发布的《202</w:t>
                  </w:r>
                  <w:r>
                    <w:rPr>
                      <w:rFonts w:ascii="Times New Roman" w:eastAsia="宋体" w:cs="Times New Roman" w:hAnsi="Times New Roman" w:hint="eastAsia"/>
                      <w:color w:val="auto"/>
                      <w:sz w:val="21"/>
                      <w:szCs w:val="21"/>
                      <w:lang w:val="en-US" w:eastAsia="zh-CN"/>
                      <w:highlight w:val="none"/>
                    </w:rPr>
                    <w:t>4</w:t>
                  </w:r>
                  <w:r>
                    <w:rPr>
                      <w:rFonts w:ascii="Times New Roman" w:eastAsia="宋体" w:cs="Times New Roman" w:hAnsi="Times New Roman" w:hint="eastAsia"/>
                      <w:color w:val="auto"/>
                      <w:sz w:val="21"/>
                      <w:szCs w:val="21"/>
                      <w:highlight w:val="none"/>
                    </w:rPr>
                    <w:t>年石家庄市生态环境状况公报》洨河水质状况轻度污染。</w:t>
                  </w:r>
                  <w:r>
                    <w:rPr>
                      <w:rFonts w:ascii="Times New Roman" w:eastAsia="宋体" w:cs="Times New Roman" w:hAnsi="Times New Roman"/>
                      <w:color w:val="auto"/>
                      <w:sz w:val="21"/>
                      <w:szCs w:val="21"/>
                      <w:lang w:val="en-US" w:eastAsia="zh-CN"/>
                      <w:highlight w:val="none"/>
                    </w:rPr>
                    <w:t>项目</w:t>
                  </w:r>
                  <w:r>
                    <w:rPr>
                      <w:rFonts w:ascii="Times New Roman" w:eastAsia="宋体" w:cs="Times New Roman" w:hAnsi="Times New Roman" w:hint="eastAsia"/>
                      <w:color w:val="auto"/>
                      <w:sz w:val="21"/>
                      <w:szCs w:val="21"/>
                      <w:lang w:val="en-US" w:eastAsia="zh-CN"/>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color w:val="auto"/>
                      <w:sz w:val="21"/>
                      <w:szCs w:val="21"/>
                      <w:lang w:val="en-US"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auto"/>
                      <w:sz w:val="21"/>
                      <w:szCs w:val="21"/>
                      <w:highlight w:val="none"/>
                    </w:rPr>
                  </w:pPr>
                  <w:r>
                    <w:rPr>
                      <w:rFonts w:ascii="Times New Roman" w:eastAsia="宋体" w:cs="Times New Roman" w:hAnsi="Times New Roman" w:hint="eastAsia"/>
                      <w:color w:val="auto"/>
                      <w:sz w:val="21"/>
                      <w:szCs w:val="21"/>
                      <w:highlight w:val="none"/>
                    </w:rPr>
                    <w:t>③声环境：项目所在区域为</w:t>
                  </w:r>
                  <w:r>
                    <w:rPr>
                      <w:rFonts w:ascii="Times New Roman" w:eastAsia="宋体" w:cs="Times New Roman" w:hAnsi="Times New Roman" w:hint="eastAsia"/>
                      <w:color w:val="auto"/>
                      <w:sz w:val="21"/>
                      <w:szCs w:val="21"/>
                      <w:lang w:val="en-US" w:eastAsia="zh-CN"/>
                      <w:highlight w:val="none"/>
                    </w:rPr>
                    <w:t>3</w:t>
                  </w:r>
                  <w:r>
                    <w:rPr>
                      <w:rFonts w:ascii="Times New Roman" w:eastAsia="宋体" w:cs="Times New Roman" w:hAnsi="Times New Roman" w:hint="eastAsia"/>
                      <w:color w:val="auto"/>
                      <w:sz w:val="21"/>
                      <w:szCs w:val="21"/>
                      <w:highlight w:val="none"/>
                    </w:rPr>
                    <w:t>类声环境功能区。声环境质量现状执行《声环境质量标准》（GB3096-2008）中相关标准要求。根据预测，项目噪声采取措施后，达标排放。</w:t>
                  </w:r>
                </w:p>
                <w:p>
                  <w:pPr>
                    <w:keepNext w:val="0"/>
                    <w:keepLines w:val="0"/>
                    <w:pageBreakBefore w:val="0"/>
                    <w:widowControl/>
                    <w:suppressLineNumbers w:val="0"/>
                    <w:kinsoku/>
                    <w:wordWrap/>
                    <w:overflowPunct/>
                    <w:topLinePunct w:val="0"/>
                    <w:autoSpaceDE/>
                    <w:autoSpaceDN/>
                    <w:bidi w:val="0"/>
                    <w:snapToGrid/>
                    <w:spacing w:line="240" w:lineRule="auto"/>
                    <w:jc w:val="both"/>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highlight w:val="none"/>
                    </w:rPr>
                    <w:t>④土壤环境：项目</w:t>
                  </w:r>
                  <w:r>
                    <w:rPr>
                      <w:rFonts w:ascii="Times New Roman" w:eastAsia="宋体" w:cs="Times New Roman" w:hAnsi="Times New Roman" w:hint="eastAsia"/>
                      <w:color w:val="auto"/>
                      <w:sz w:val="21"/>
                      <w:szCs w:val="21"/>
                      <w:lang w:val="en-US" w:eastAsia="zh-CN"/>
                      <w:highlight w:val="none"/>
                    </w:rPr>
                    <w:t>租赁现有厂房进行生产</w:t>
                  </w:r>
                  <w:r>
                    <w:rPr>
                      <w:rFonts w:ascii="Times New Roman" w:eastAsia="宋体" w:cs="Times New Roman" w:hAnsi="Times New Roman" w:hint="eastAsia"/>
                      <w:color w:val="auto"/>
                      <w:sz w:val="21"/>
                      <w:szCs w:val="21"/>
                      <w:highlight w:val="none"/>
                    </w:rPr>
                    <w:t>，</w:t>
                  </w:r>
                  <w:r>
                    <w:rPr>
                      <w:rFonts w:ascii="Times New Roman" w:eastAsia="宋体" w:cs="Times New Roman" w:hAnsi="Times New Roman" w:hint="eastAsia"/>
                      <w:color w:val="auto"/>
                      <w:sz w:val="21"/>
                      <w:szCs w:val="21"/>
                      <w:lang w:val="en-US" w:eastAsia="zh-CN"/>
                      <w:highlight w:val="none"/>
                    </w:rPr>
                    <w:t>厂房</w:t>
                  </w:r>
                  <w:r>
                    <w:rPr>
                      <w:rFonts w:ascii="Times New Roman" w:eastAsia="宋体" w:cs="Times New Roman" w:hAnsi="Times New Roman" w:hint="eastAsia"/>
                      <w:color w:val="auto"/>
                      <w:sz w:val="21"/>
                      <w:szCs w:val="21"/>
                      <w:highlight w:val="none"/>
                    </w:rPr>
                    <w:t>采取分区防渗措施，不存在地表漫流和垂直入渗的污染途径。项目固废均得到合理处置，不会突破土壤环境质量底线。</w:t>
                  </w:r>
                </w:p>
              </w:tc>
              <w:tc>
                <w:tcPr>
                  <w:tcW w:w="86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4</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环境影响分析预测结论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产业园区规划实施后，通过淘汰低效产能企业、提升现有企业环保措施、完善集中供热方案等措施，根据 PM</w:t>
                  </w:r>
                  <w:r>
                    <w:rPr>
                      <w:rFonts w:cs="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cs="Times New Roman" w:hint="eastAsia"/>
                      <w:color w:val="auto"/>
                      <w:kern w:val="2"/>
                      <w:sz w:val="21"/>
                      <w:szCs w:val="21"/>
                      <w:vertAlign w:val="subscript"/>
                      <w:lang w:val="en-US" w:eastAsia="zh-CN" w:bidi="ar-SA"/>
                      <w:highlight w:val="none"/>
                    </w:rPr>
                    <w:t>.</w:t>
                  </w:r>
                  <w:r>
                    <w:rPr>
                      <w:rFonts w:ascii="Times New Roman" w:eastAsia="宋体" w:cs="Times New Roman" w:hAnsi="Times New Roman" w:hint="eastAsia"/>
                      <w:color w:val="auto"/>
                      <w:kern w:val="2"/>
                      <w:sz w:val="21"/>
                      <w:szCs w:val="21"/>
                      <w:vertAlign w:val="subscript"/>
                      <w:lang w:val="en-US" w:eastAsia="zh-CN" w:bidi="ar-SA"/>
                      <w:highlight w:val="none"/>
                    </w:rPr>
                    <w:t>5</w:t>
                  </w:r>
                  <w:r>
                    <w:rPr>
                      <w:rFonts w:ascii="Times New Roman" w:eastAsia="宋体" w:cs="Times New Roman" w:hAnsi="Times New Roman" w:hint="eastAsia"/>
                      <w:color w:val="auto"/>
                      <w:kern w:val="2"/>
                      <w:sz w:val="21"/>
                      <w:szCs w:val="21"/>
                      <w:lang w:val="en-US" w:eastAsia="zh-CN" w:bidi="ar-SA"/>
                      <w:highlight w:val="none"/>
                    </w:rPr>
                    <w:t>、SO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及NO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预测结果，区域PM</w:t>
                  </w:r>
                  <w:r>
                    <w:rPr>
                      <w:rFonts w:cs="Times New Roman" w:hint="eastAsia"/>
                      <w:color w:val="auto"/>
                      <w:kern w:val="2"/>
                      <w:sz w:val="21"/>
                      <w:szCs w:val="21"/>
                      <w:vertAlign w:val="subscript"/>
                      <w:lang w:val="en-US" w:eastAsia="zh-CN" w:bidi="ar-SA"/>
                      <w:highlight w:val="none"/>
                    </w:rPr>
                    <w:t>10</w:t>
                  </w:r>
                  <w:r>
                    <w:rPr>
                      <w:rFonts w:ascii="Times New Roman" w:eastAsia="宋体" w:cs="Times New Roman" w:hAnsi="Times New Roman" w:hint="eastAsia"/>
                      <w:color w:val="auto"/>
                      <w:kern w:val="2"/>
                      <w:sz w:val="21"/>
                      <w:szCs w:val="21"/>
                      <w:lang w:val="en-US" w:eastAsia="zh-CN" w:bidi="ar-SA"/>
                      <w:highlight w:val="none"/>
                    </w:rPr>
                    <w:t>、PM</w:t>
                  </w:r>
                  <w:r>
                    <w:rPr>
                      <w:rFonts w:ascii="Times New Roman" w:eastAsia="宋体" w:cs="Times New Roman" w:hAnsi="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、SO</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及NO</w:t>
                  </w:r>
                  <w:r>
                    <w:rPr>
                      <w:rFonts w:cs="Times New Roman" w:hint="eastAsia"/>
                      <w:color w:val="auto"/>
                      <w:kern w:val="2"/>
                      <w:sz w:val="21"/>
                      <w:szCs w:val="21"/>
                      <w:vertAlign w:val="sub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年平均浓度均为改善的，另外，结合产业园区及周边区域PM</w:t>
                  </w:r>
                  <w:r>
                    <w:rPr>
                      <w:rFonts w:ascii="Times New Roman" w:eastAsia="宋体" w:cs="Times New Roman" w:hAnsi="Times New Roman" w:hint="eastAsia"/>
                      <w:color w:val="auto"/>
                      <w:kern w:val="2"/>
                      <w:sz w:val="21"/>
                      <w:szCs w:val="21"/>
                      <w:vertAlign w:val="subscript"/>
                      <w:lang w:val="en-US" w:eastAsia="zh-CN" w:bidi="ar-SA"/>
                      <w:highlight w:val="none"/>
                    </w:rPr>
                    <w:t>2</w:t>
                  </w:r>
                  <w:r>
                    <w:rPr>
                      <w:rFonts w:cs="Times New Roman" w:hint="eastAsia"/>
                      <w:color w:val="auto"/>
                      <w:kern w:val="2"/>
                      <w:sz w:val="21"/>
                      <w:szCs w:val="21"/>
                      <w:vertAlign w:val="subscript"/>
                      <w:lang w:val="en-US" w:eastAsia="zh-CN" w:bidi="ar-SA"/>
                      <w:highlight w:val="none"/>
                    </w:rPr>
                    <w:t>.</w:t>
                  </w:r>
                  <w:r>
                    <w:rPr>
                      <w:rFonts w:ascii="Times New Roman" w:eastAsia="宋体" w:cs="Times New Roman" w:hAnsi="Times New Roman" w:hint="eastAsia"/>
                      <w:color w:val="auto"/>
                      <w:kern w:val="2"/>
                      <w:sz w:val="21"/>
                      <w:szCs w:val="21"/>
                      <w:vertAlign w:val="subscript"/>
                      <w:lang w:val="en-US" w:eastAsia="zh-CN" w:bidi="ar-SA"/>
                      <w:highlight w:val="none"/>
                    </w:rPr>
                    <w:t>5</w:t>
                  </w:r>
                  <w:r>
                    <w:rPr>
                      <w:rFonts w:ascii="Times New Roman" w:eastAsia="宋体" w:cs="Times New Roman" w:hAnsi="Times New Roman" w:hint="eastAsia"/>
                      <w:color w:val="auto"/>
                      <w:kern w:val="2"/>
                      <w:sz w:val="21"/>
                      <w:szCs w:val="21"/>
                      <w:lang w:val="en-US" w:eastAsia="zh-CN" w:bidi="ar-SA"/>
                      <w:highlight w:val="none"/>
                    </w:rPr>
                    <w:t>本底监测可知，在计算本规划削减源的改善作用后，近期产业园区区域PM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可满足石家庄十四五环境保护规划中PM</w:t>
                  </w:r>
                  <w:r>
                    <w:rPr>
                      <w:rFonts w:cs="Times New Roman" w:hint="eastAsia"/>
                      <w:color w:val="auto"/>
                      <w:kern w:val="2"/>
                      <w:sz w:val="21"/>
                      <w:szCs w:val="21"/>
                      <w:vertAlign w:val="subscript"/>
                      <w:lang w:val="en-US" w:eastAsia="zh-CN" w:bidi="ar-SA"/>
                      <w:highlight w:val="none"/>
                    </w:rPr>
                    <w:t>2.5</w:t>
                  </w:r>
                  <w:r>
                    <w:rPr>
                      <w:rFonts w:ascii="Times New Roman" w:eastAsia="宋体" w:cs="Times New Roman" w:hAnsi="Times New Roman" w:hint="eastAsia"/>
                      <w:color w:val="auto"/>
                      <w:kern w:val="2"/>
                      <w:sz w:val="21"/>
                      <w:szCs w:val="21"/>
                      <w:lang w:val="en-US" w:eastAsia="zh-CN" w:bidi="ar-SA"/>
                      <w:highlight w:val="none"/>
                    </w:rPr>
                    <w:t>环境目标控制要求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通过加强污水处理厂和规划排水企业水污染控制措施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能够保证废水全部进入集中污水处理厂进行处理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污水处理厂处理能力、处理工艺能够满足规划产业废水处理要求，处理后的废水能够稳定达标排放。通过中水回用率的提高，可以减少水污染物对洨河、槐河的影响。本评价提出了入区企业和各污水处理厂事故状态下的防范措施，保证事故工况下不会对区域地表水产生污染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正常状况下的跑冒滴漏对地下水影响较小。此外，区域第四系孔隙水与岩溶水之间存在稳定的隔水层，污染物更不会透过隔水层对岩溶水水质造成影响。产业园区规划实施后，通过合理布局、源头控制、分区防渗应急响应、跟踪监测等措施，规划产业的发展不会加重区域水环境风险，不会对区域地下水环境产生明显污染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通过合理设计布局，采取完善的隔声降噪措施，产业园区的声环境质量可达到《声环境质量标准》</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GB3096-2008</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中</w:t>
                  </w:r>
                  <w:r>
                    <w:rPr>
                      <w:rFonts w:cs="Times New Roman" w:hint="eastAsia"/>
                      <w:color w:val="auto"/>
                      <w:kern w:val="2"/>
                      <w:sz w:val="21"/>
                      <w:szCs w:val="21"/>
                      <w:lang w:val="en-US" w:eastAsia="zh-CN" w:bidi="ar-SA"/>
                      <w:highlight w:val="none"/>
                    </w:rPr>
                    <w:t>各类</w:t>
                  </w:r>
                  <w:r>
                    <w:rPr>
                      <w:rFonts w:ascii="Times New Roman" w:eastAsia="宋体" w:cs="Times New Roman" w:hAnsi="Times New Roman" w:hint="eastAsia"/>
                      <w:color w:val="auto"/>
                      <w:kern w:val="2"/>
                      <w:sz w:val="21"/>
                      <w:szCs w:val="21"/>
                      <w:lang w:val="en-US" w:eastAsia="zh-CN" w:bidi="ar-SA"/>
                      <w:highlight w:val="none"/>
                    </w:rPr>
                    <w:t>功能区标准要求，规划的实施不会改变区域声环境功能，满足环境质量底线要求</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在落实本评价提出的固体废物处置措施的情况下，产业园区产生的固体废物可全部综合利用或妥善处置，不会对区域环境产生明显不良影响</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在严格按照土壤污染防护措施后，规划实施对区域土壤环境影响可接受</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在产业园区基础设施和入区企业建设严格落实总体规划和本评价提出的预防措施的前提下，产业园区规划的实施对区域生态环境的影响是可以接受的</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在采取完善的风险防范措施并且对风险源进行合理布局的条件下</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环境风险可防控控制。同时，开发区通过采取项目准入控制措施、工程措施管理措施、监控措施、修复治理措施多项措施，可避免规划实施后对区域环境产生污染影响。</w:t>
                  </w:r>
                </w:p>
              </w:tc>
              <w:tc>
                <w:tcPr>
                  <w:tcW w:w="2880"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both"/>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项目</w:t>
                  </w:r>
                  <w:r>
                    <w:rPr>
                      <w:rFonts w:cs="Times New Roman" w:hint="eastAsia"/>
                      <w:color w:val="auto"/>
                      <w:kern w:val="2"/>
                      <w:sz w:val="21"/>
                      <w:szCs w:val="21"/>
                      <w:lang w:val="en-US" w:eastAsia="zh-CN" w:bidi="ar-SA"/>
                      <w:highlight w:val="none"/>
                    </w:rPr>
                    <w:t>产生的废气主要为</w:t>
                  </w:r>
                  <w:r>
                    <w:rPr>
                      <w:rFonts w:cs="Times New Roman" w:hint="eastAsia"/>
                      <w:color w:val="auto"/>
                      <w:kern w:val="2"/>
                      <w:sz w:val="21"/>
                      <w:szCs w:val="21"/>
                      <w:lang w:val="en-US" w:bidi="ar-SA"/>
                      <w:highlight w:val="none"/>
                    </w:rPr>
                    <w:t>非正常工况下</w:t>
                  </w:r>
                  <w:r>
                    <w:rPr>
                      <w:rFonts w:cs="Times New Roman" w:hint="eastAsia"/>
                      <w:color w:val="auto"/>
                      <w:kern w:val="2"/>
                      <w:sz w:val="21"/>
                      <w:szCs w:val="21"/>
                      <w:lang w:val="en-US" w:eastAsia="zh-CN" w:bidi="ar-SA"/>
                      <w:highlight w:val="none"/>
                    </w:rPr>
                    <w:t>废电池破损产生的硫酸雾，采用</w:t>
                  </w:r>
                  <w:r>
                    <w:rPr>
                      <w:rFonts w:cs="Times New Roman" w:hint="eastAsia"/>
                      <w:color w:val="auto"/>
                      <w:kern w:val="2"/>
                      <w:sz w:val="21"/>
                      <w:szCs w:val="21"/>
                      <w:lang w:val="en-US" w:bidi="ar-SA"/>
                      <w:highlight w:val="none"/>
                    </w:rPr>
                    <w:t>碱喷淋应急装置进行处理</w:t>
                  </w:r>
                  <w:r>
                    <w:rPr>
                      <w:rFonts w:cs="Times New Roman"/>
                      <w:color w:val="auto"/>
                      <w:kern w:val="2"/>
                      <w:sz w:val="21"/>
                      <w:szCs w:val="21"/>
                      <w:lang w:bidi="ar-SA"/>
                      <w:highlight w:val="none"/>
                    </w:rPr>
                    <w:t>，</w:t>
                  </w:r>
                  <w:r>
                    <w:rPr>
                      <w:rFonts w:cs="Times New Roman" w:hint="eastAsia"/>
                      <w:color w:val="auto"/>
                      <w:kern w:val="2"/>
                      <w:sz w:val="21"/>
                      <w:szCs w:val="21"/>
                      <w:lang w:val="en-US" w:bidi="ar-SA"/>
                      <w:highlight w:val="none"/>
                    </w:rPr>
                    <w:t>处理后通过</w:t>
                  </w:r>
                  <w:r>
                    <w:rPr>
                      <w:rFonts w:cs="Times New Roman"/>
                      <w:color w:val="auto"/>
                      <w:kern w:val="2"/>
                      <w:sz w:val="21"/>
                      <w:szCs w:val="21"/>
                      <w:lang w:bidi="ar-SA"/>
                      <w:highlight w:val="none"/>
                    </w:rPr>
                    <w:t>15</w:t>
                  </w:r>
                  <w:r>
                    <w:rPr>
                      <w:rFonts w:cs="Times New Roman" w:hint="eastAsia"/>
                      <w:color w:val="auto"/>
                      <w:kern w:val="2"/>
                      <w:sz w:val="21"/>
                      <w:szCs w:val="21"/>
                      <w:lang w:val="en-US" w:bidi="ar-SA"/>
                      <w:highlight w:val="none"/>
                    </w:rPr>
                    <w:t>m高排气筒排放</w:t>
                  </w:r>
                  <w:r>
                    <w:rPr>
                      <w:rFonts w:ascii="Times New Roman" w:eastAsia="宋体" w:cs="Times New Roman" w:hAnsi="Times New Roman" w:hint="eastAsia"/>
                      <w:color w:val="auto"/>
                      <w:kern w:val="2"/>
                      <w:sz w:val="21"/>
                      <w:szCs w:val="21"/>
                      <w:lang w:val="en-US" w:eastAsia="zh-CN" w:bidi="ar-SA"/>
                      <w:highlight w:val="none"/>
                    </w:rPr>
                    <w:t>。</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w:t>
                  </w:r>
                  <w:r>
                    <w:rPr>
                      <w:rFonts w:ascii="Times New Roman" w:eastAsia="宋体" w:cs="Times New Roman" w:hAnsi="Times New Roman"/>
                      <w:color w:val="auto"/>
                      <w:kern w:val="2"/>
                      <w:sz w:val="21"/>
                      <w:szCs w:val="21"/>
                      <w:lang w:val="en-US" w:eastAsia="zh-CN" w:bidi="ar-SA"/>
                      <w:highlight w:val="none"/>
                    </w:rPr>
                    <w:t>目</w:t>
                  </w:r>
                  <w:r>
                    <w:rPr>
                      <w:rFonts w:ascii="Times New Roman" w:eastAsia="宋体" w:cs="Times New Roman" w:hAnsi="Times New Roman" w:hint="eastAsia"/>
                      <w:color w:val="auto"/>
                      <w:kern w:val="2"/>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eastAsia="Segoe UI" w:cs="Times New Roman" w:hint="eastAsia"/>
                      <w:i w:val="0"/>
                      <w:iCs w:val="0"/>
                      <w:caps w:val="0"/>
                      <w:smallCaps w:val="0"/>
                      <w:color w:val="auto"/>
                      <w:spacing w:val="0"/>
                      <w:sz w:val="21"/>
                      <w:szCs w:val="21"/>
                      <w:shd w:val="clear" w:color="auto" w:fill="FFFFFF"/>
                      <w:lang w:val="en-US" w:eastAsia="zh-CN"/>
                      <w:highlight w:val="none"/>
                    </w:rPr>
                    <w:t>。</w:t>
                  </w:r>
                  <w:r>
                    <w:rPr>
                      <w:rFonts w:ascii="Times New Roman" w:eastAsia="宋体" w:cs="Times New Roman" w:hAnsi="Times New Roman" w:hint="eastAsia"/>
                      <w:color w:val="auto"/>
                      <w:sz w:val="21"/>
                      <w:szCs w:val="21"/>
                      <w:lang w:val="en-US" w:eastAsia="zh-CN"/>
                      <w:highlight w:val="none"/>
                    </w:rPr>
                    <w:t>固体废物全部得到合理处置；项目选用低噪音设备，采取基础减振、厂房隔声等措施，经预测分析，可保证厂界噪声达标；项目无土壤污染因子和污染途径。项目利用现有闲置厂房进行建设，不会对生态环境造成影响；项目涉及的风险物质经采取相应防范措施，环境风险可控。综上分析，项目的实施不会对区域环境质量造成明显影响。</w:t>
                  </w:r>
                </w:p>
              </w:tc>
              <w:tc>
                <w:tcPr>
                  <w:tcW w:w="86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auto"/>
                      <w:sz w:val="21"/>
                      <w:szCs w:val="21"/>
                      <w:vertAlign w:val="baseline"/>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5</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资源与环境承载力分析结论</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在充分利用回用水和南水北调地表水的前提下，区域水资源可承载规划的实施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产业园区划建设用地占用一部分一般农田</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规划实施过程中应通过土地复垦、加大农用地整理和农村居民点用地整理力度、开发未利用地等措施，对土地资源进行开发整理。建议产业园区加大对未利用地的复垦、开发，增加后备耕地面积，实现耕地</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先补后占、占补平衡</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，确保耕地总量不减少，不突破土地资源利用上线</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区域大气环境容量可承载规划的实施:规划通过配建再生水装置，提高再生水回用率，废水集中收集处理净化后回用，规划近期主要废水污染物COD和氨氨排放总量相对现状均有一定削减</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有利于地表水体环境质量进一步改善。</w:t>
                  </w:r>
                </w:p>
              </w:tc>
              <w:tc>
                <w:tcPr>
                  <w:tcW w:w="2880" w:type="dxa"/>
                  <w:tcBorders>
                    <w:tl2br w:val="nil"/>
                    <w:tr2bl w:val="nil"/>
                  </w:tcBorders>
                  <w:vAlign w:val="center"/>
                </w:tcPr>
                <w:p>
                  <w:pPr>
                    <w:keepNext w:val="0"/>
                    <w:keepLines w:val="0"/>
                    <w:widowControl/>
                    <w:suppressLineNumbers w:val="0"/>
                    <w:jc w:val="both"/>
                    <w:rPr>
                      <w:rFonts w:ascii="Times New Roman" w:eastAsia="宋体" w:cs="Times New Roman" w:hAnsi="Times New Roman"/>
                      <w:color w:val="auto"/>
                      <w:kern w:val="2"/>
                      <w:sz w:val="21"/>
                      <w:szCs w:val="21"/>
                      <w:lang w:val="en-US" w:eastAsia="zh-CN" w:bidi="ar-SA"/>
                      <w:highlight w:val="none"/>
                    </w:rPr>
                  </w:pPr>
                  <w:r>
                    <w:rPr>
                      <w:rFonts w:ascii="宋体" w:eastAsia="宋体" w:cs="宋体" w:hAnsi="宋体" w:hint="eastAsia"/>
                      <w:color w:val="auto"/>
                      <w:kern w:val="0"/>
                      <w:sz w:val="21"/>
                      <w:szCs w:val="21"/>
                      <w:lang w:val="en-US" w:eastAsia="zh-CN"/>
                      <w:highlight w:val="none"/>
                    </w:rPr>
                    <w:t>项目由</w:t>
                  </w:r>
                  <w:r>
                    <w:rPr>
                      <w:rFonts w:ascii="宋体" w:cs="宋体" w:hAnsi="宋体" w:hint="eastAsia"/>
                      <w:color w:val="auto"/>
                      <w:kern w:val="0"/>
                      <w:sz w:val="21"/>
                      <w:szCs w:val="21"/>
                      <w:lang w:val="en-US" w:eastAsia="zh-CN"/>
                      <w:highlight w:val="none"/>
                    </w:rPr>
                    <w:t>园区</w:t>
                  </w:r>
                  <w:r>
                    <w:rPr>
                      <w:rFonts w:ascii="宋体" w:eastAsia="宋体" w:cs="宋体" w:hAnsi="宋体" w:hint="eastAsia"/>
                      <w:color w:val="auto"/>
                      <w:kern w:val="0"/>
                      <w:sz w:val="21"/>
                      <w:szCs w:val="21"/>
                      <w:lang w:val="en-US" w:eastAsia="zh-CN"/>
                      <w:highlight w:val="none"/>
                    </w:rPr>
                    <w:t>管网供水，</w:t>
                  </w:r>
                  <w:r>
                    <w:rPr>
                      <w:rFonts w:ascii="宋体" w:eastAsia="宋体" w:cs="宋体" w:hAnsi="宋体"/>
                      <w:color w:val="auto"/>
                      <w:kern w:val="0"/>
                      <w:sz w:val="21"/>
                      <w:szCs w:val="21"/>
                      <w:lang w:val="en-US" w:eastAsia="zh-CN"/>
                      <w:highlight w:val="none"/>
                    </w:rPr>
                    <w:t>租赁</w:t>
                  </w:r>
                  <w:r>
                    <w:rPr>
                      <w:rFonts w:ascii="宋体" w:eastAsia="宋体" w:cs="宋体" w:hAnsi="宋体" w:hint="eastAsia"/>
                      <w:color w:val="auto"/>
                      <w:kern w:val="0"/>
                      <w:sz w:val="21"/>
                      <w:szCs w:val="21"/>
                      <w:lang w:val="en-US" w:eastAsia="zh-CN"/>
                      <w:highlight w:val="none"/>
                    </w:rPr>
                    <w:t>河北泽豪环保新材料科技有限公司</w:t>
                  </w:r>
                  <w:r>
                    <w:rPr>
                      <w:rFonts w:ascii="宋体" w:eastAsia="宋体" w:cs="宋体" w:hAnsi="宋体"/>
                      <w:color w:val="auto"/>
                      <w:kern w:val="0"/>
                      <w:sz w:val="21"/>
                      <w:szCs w:val="21"/>
                      <w:lang w:val="en-US" w:eastAsia="zh-CN"/>
                      <w:highlight w:val="none"/>
                    </w:rPr>
                    <w:t>现有闲置</w:t>
                  </w:r>
                  <w:r>
                    <w:rPr>
                      <w:rFonts w:ascii="宋体" w:eastAsia="宋体" w:cs="宋体" w:hAnsi="宋体" w:hint="eastAsia"/>
                      <w:color w:val="auto"/>
                      <w:kern w:val="0"/>
                      <w:sz w:val="21"/>
                      <w:szCs w:val="21"/>
                      <w:lang w:val="en-US" w:eastAsia="zh-CN"/>
                      <w:highlight w:val="none"/>
                    </w:rPr>
                    <w:t>库房和办公室。项目不涉及二氧化硫、氮氧化物排放。</w:t>
                  </w:r>
                  <w:r>
                    <w:rPr>
                      <w:rFonts w:ascii="宋体" w:eastAsia="宋体" w:cs="宋体" w:hAnsi="宋体"/>
                      <w:color w:val="auto"/>
                      <w:kern w:val="0"/>
                      <w:sz w:val="21"/>
                      <w:szCs w:val="21"/>
                      <w:lang w:val="en-US" w:eastAsia="zh-CN"/>
                      <w:highlight w:val="none"/>
                    </w:rPr>
                    <w:t>项目</w:t>
                  </w:r>
                  <w:r>
                    <w:rPr>
                      <w:rFonts w:ascii="宋体" w:eastAsia="宋体" w:cs="宋体" w:hAnsi="宋体" w:hint="eastAsia"/>
                      <w:color w:val="auto"/>
                      <w:kern w:val="0"/>
                      <w:sz w:val="21"/>
                      <w:szCs w:val="21"/>
                      <w:lang w:val="en-US" w:eastAsia="zh-CN"/>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宋体" w:eastAsia="宋体" w:cs="宋体" w:hAnsi="宋体"/>
                      <w:color w:val="auto"/>
                      <w:kern w:val="0"/>
                      <w:sz w:val="21"/>
                      <w:szCs w:val="21"/>
                      <w:lang w:val="en-US" w:eastAsia="zh-CN"/>
                      <w:highlight w:val="none"/>
                    </w:rPr>
                    <w:t>。</w:t>
                  </w: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r>
              <w:trPr>
                <w:trHeight w:val="397"/>
              </w:trPr>
              <w:tc>
                <w:tcPr>
                  <w:tcW w:w="734" w:type="dxa"/>
                  <w:tcBorders>
                    <w:tl2br w:val="nil"/>
                    <w:tr2bl w:val="nil"/>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6</w:t>
                  </w:r>
                </w:p>
              </w:tc>
              <w:tc>
                <w:tcPr>
                  <w:tcW w:w="311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规划实施制约因素及优化调整建议</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开发区与国家、河北省石家庄市和栾城区的</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相关法律法规及政策</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上层位'十四五’规划</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相关主体功能区划</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相符合或协调。同时，评价要求开发区规划严格在区域</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三线一单</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框架要求下实施</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不占用生态保护红线及生态空间，不突破环境质量底线、资源利用上线</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严格遵守开发区所在区域生态环境准入清单确定的相关环境管控要求。规划目标和发展定位合理，区域资源环境能够支撑规划实施，规划布局、能源结构和产业结构设置合理,环境目标和评价指标通过落实规划文本和本评价提出的各项措施之后是可以达到的。另外，从维护生态功能、改善环境质量、提高资源利用率、保障人居健康、优化区域格局和产业结构等方面进行综合分析，规划的实施环境效益明显。</w:t>
                  </w:r>
                </w:p>
              </w:tc>
              <w:tc>
                <w:tcPr>
                  <w:tcW w:w="288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snapToGrid/>
                    <w:spacing w:line="240" w:lineRule="auto"/>
                    <w:jc w:val="both"/>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项目不属于《产业结构调整指导目录</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2024年本</w:t>
                  </w:r>
                  <w:r>
                    <w:rPr>
                      <w:rFonts w:cs="Times New Roman" w:hint="eastAsia"/>
                      <w:color w:val="auto"/>
                      <w:kern w:val="2"/>
                      <w:sz w:val="21"/>
                      <w:szCs w:val="21"/>
                      <w:lang w:val="en-US" w:eastAsia="zh-CN" w:bidi="ar-SA"/>
                      <w:highlight w:val="none"/>
                    </w:rPr>
                    <w:t>）</w:t>
                  </w:r>
                  <w:r>
                    <w:rPr>
                      <w:rFonts w:ascii="Times New Roman" w:eastAsia="宋体" w:cs="Times New Roman" w:hAnsi="Times New Roman" w:hint="eastAsia"/>
                      <w:color w:val="auto"/>
                      <w:kern w:val="2"/>
                      <w:sz w:val="21"/>
                      <w:szCs w:val="21"/>
                      <w:lang w:val="en-US" w:eastAsia="zh-CN" w:bidi="ar-SA"/>
                      <w:highlight w:val="none"/>
                    </w:rPr>
                    <w:t>》中限制类、淘汰类项目，符合国家级地方环保政策及要求，项目不占用生态保护红线及生态空间，不突破环境质量底线、资源利用上线。</w:t>
                  </w: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项目租赁河北泽豪环保新材料科技有限公司闲置库房和两间办公室，</w:t>
                  </w:r>
                  <w:r>
                    <w:rPr>
                      <w:rFonts w:cs="Times New Roman" w:hint="eastAsia"/>
                      <w:color w:val="auto"/>
                      <w:sz w:val="21"/>
                      <w:szCs w:val="21"/>
                      <w:lang w:val="en-US" w:eastAsia="zh-CN"/>
                      <w:highlight w:val="none"/>
                    </w:rPr>
                    <w:t>根据中华人民共和国不动产权证书（冀（2016）栾城区不动产权第0000959号），占地为</w:t>
                  </w:r>
                  <w:r>
                    <w:rPr>
                      <w:rFonts w:ascii="Times New Roman" w:cs="Times New Roman" w:hAnsi="Times New Roman"/>
                      <w:color w:val="auto"/>
                      <w:sz w:val="21"/>
                      <w:szCs w:val="21"/>
                      <w:highlight w:val="none"/>
                    </w:rPr>
                    <w:t>工业用地，符合用地规划。</w:t>
                  </w:r>
                  <w:r>
                    <w:rPr>
                      <w:rFonts w:ascii="Times New Roman" w:eastAsia="宋体" w:cs="Times New Roman" w:hAnsi="Times New Roman" w:hint="eastAsia"/>
                      <w:color w:val="auto"/>
                      <w:kern w:val="2"/>
                      <w:sz w:val="21"/>
                      <w:szCs w:val="21"/>
                      <w:lang w:val="en-US" w:eastAsia="zh-CN" w:bidi="ar-SA"/>
                      <w:highlight w:val="none"/>
                    </w:rPr>
                    <w:t>项目在采取有效环保治理措施后，污染物达标排放，对环境影响较小</w:t>
                  </w:r>
                </w:p>
              </w:tc>
              <w:tc>
                <w:tcPr>
                  <w:tcW w:w="864"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符合</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综上，本项目的建设符合规划环境影响评价结论。</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b/>
                <w:bCs/>
                <w:color w:val="auto"/>
                <w:kern w:val="0"/>
                <w:sz w:val="24"/>
                <w:szCs w:val="20"/>
                <w:lang w:val="en-US" w:eastAsia="zh-CN" w:bidi="ar-SA"/>
                <w:highlight w:val="none"/>
              </w:rPr>
              <w:t>3</w:t>
            </w:r>
            <w:r>
              <w:rPr>
                <w:rFonts w:ascii="Times New Roman" w:eastAsia="宋体" w:cs="Times New Roman" w:hAnsi="Times New Roman" w:hint="eastAsia"/>
                <w:b/>
                <w:bCs/>
                <w:color w:val="auto"/>
                <w:kern w:val="0"/>
                <w:sz w:val="24"/>
                <w:szCs w:val="20"/>
                <w:lang w:val="en-US" w:eastAsia="zh-CN" w:bidi="ar-SA"/>
                <w:highlight w:val="none"/>
              </w:rPr>
              <w:t xml:space="preserve">、规划审查意见符合性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根据</w:t>
            </w:r>
            <w:r>
              <w:rPr>
                <w:rFonts w:ascii="Times New Roman" w:eastAsia="宋体" w:cs="Times New Roman" w:hAnsi="Times New Roman"/>
                <w:color w:val="auto"/>
                <w:kern w:val="0"/>
                <w:sz w:val="24"/>
                <w:szCs w:val="20"/>
                <w:lang w:val="en-US" w:eastAsia="zh-CN" w:bidi="ar-SA"/>
                <w:highlight w:val="none"/>
              </w:rPr>
              <w:t>河北省生态环境厅关于《河北石家庄装备制造产业园总体规划</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2022-2030年</w:t>
            </w:r>
            <w:r>
              <w:rPr>
                <w:rFonts w:ascii="Times New Roman" w:eastAsia="宋体"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环境影响报告书》的审查意见（冀环环评函[2025]1839号）。</w:t>
            </w:r>
            <w:r>
              <w:rPr>
                <w:rFonts w:ascii="Times New Roman" w:eastAsia="宋体" w:cs="Times New Roman" w:hAnsi="Times New Roman" w:hint="eastAsia"/>
                <w:color w:val="auto"/>
                <w:kern w:val="0"/>
                <w:sz w:val="24"/>
                <w:szCs w:val="20"/>
                <w:lang w:val="en-US" w:eastAsia="zh-CN" w:bidi="ar-SA"/>
                <w:highlight w:val="none"/>
              </w:rPr>
              <w:t>在规划实施过程中，除严格落实规划环评报告书中各项要求外，还应做好以下工作：</w:t>
            </w:r>
          </w:p>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hint="eastAsia"/>
                <w:b/>
                <w:bCs/>
                <w:color w:val="auto"/>
                <w:kern w:val="0"/>
                <w:sz w:val="24"/>
                <w:szCs w:val="20"/>
                <w:lang w:val="en-US" w:eastAsia="zh-CN" w:bidi="ar-SA"/>
                <w:highlight w:val="none"/>
              </w:rPr>
              <w:t>表1-</w:t>
            </w:r>
            <w:r>
              <w:rPr>
                <w:rFonts w:ascii="Times New Roman" w:cs="Times New Roman" w:hAnsi="Times New Roman" w:hint="eastAsia"/>
                <w:b/>
                <w:bCs/>
                <w:color w:val="auto"/>
                <w:kern w:val="0"/>
                <w:sz w:val="24"/>
                <w:szCs w:val="20"/>
                <w:lang w:val="en-US" w:eastAsia="zh-CN" w:bidi="ar-SA"/>
                <w:highlight w:val="none"/>
              </w:rPr>
              <w:t>5</w:t>
            </w:r>
            <w:r>
              <w:rPr>
                <w:rFonts w:ascii="Times New Roman" w:eastAsia="宋体" w:cs="Times New Roman" w:hAnsi="Times New Roman" w:hint="eastAsia"/>
                <w:b/>
                <w:bCs/>
                <w:color w:val="auto"/>
                <w:kern w:val="0"/>
                <w:sz w:val="24"/>
                <w:szCs w:val="20"/>
                <w:lang w:val="en-US" w:eastAsia="zh-CN" w:bidi="ar-SA"/>
                <w:highlight w:val="none"/>
              </w:rPr>
              <w:t xml:space="preserve">  规划审查意见符合性分析一览表</w:t>
            </w:r>
          </w:p>
          <w:tbl>
            <w:tblPr>
              <w:jc w:val="left"/>
              <w:tblInd w:w="5" w:type="dxa"/>
              <w:tblW w:w="7596"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986"/>
              <w:gridCol w:w="3610"/>
            </w:tblGrid>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auto"/>
                      <w:kern w:val="0"/>
                      <w:sz w:val="21"/>
                      <w:szCs w:val="21"/>
                      <w:lang w:val="en-US" w:eastAsia="zh-CN" w:bidi="ar-SA"/>
                      <w:highlight w:val="none"/>
                    </w:rPr>
                  </w:pPr>
                  <w:r>
                    <w:rPr>
                      <w:rFonts w:ascii="Times New Roman" w:eastAsia="宋体" w:cs="Times New Roman" w:hAnsi="Times New Roman" w:hint="eastAsia"/>
                      <w:b/>
                      <w:bCs/>
                      <w:color w:val="auto"/>
                      <w:kern w:val="0"/>
                      <w:sz w:val="21"/>
                      <w:szCs w:val="21"/>
                      <w:lang w:val="en-US" w:eastAsia="zh-CN" w:bidi="ar-SA"/>
                      <w:highlight w:val="none"/>
                    </w:rPr>
                    <w:t>审查意见</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auto"/>
                      <w:kern w:val="0"/>
                      <w:sz w:val="21"/>
                      <w:szCs w:val="21"/>
                      <w:lang w:val="en-US" w:eastAsia="zh-CN" w:bidi="ar-SA"/>
                      <w:highlight w:val="none"/>
                    </w:rPr>
                  </w:pPr>
                  <w:r>
                    <w:rPr>
                      <w:rFonts w:ascii="Times New Roman" w:eastAsia="宋体" w:cs="Times New Roman" w:hAnsi="Times New Roman" w:hint="eastAsia"/>
                      <w:b/>
                      <w:bCs/>
                      <w:color w:val="auto"/>
                      <w:kern w:val="0"/>
                      <w:sz w:val="21"/>
                      <w:szCs w:val="21"/>
                      <w:lang w:val="en-US" w:eastAsia="zh-CN" w:bidi="ar-SA"/>
                      <w:highlight w:val="none"/>
                    </w:rPr>
                    <w:t>项目内容</w:t>
                  </w:r>
                </w:p>
              </w:tc>
            </w:tr>
            <w:tr>
              <w:trPr>
                <w:trHeight w:val="255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一</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落实国家及区域发展战略，坚持生态优先、提质增效，以生态环境质量改善为核心，做好与各级国土空间规划和生态环境分区管控体系的协调衔接，进一步优化《规划》布局、产业定位和发展规模。</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Segoe UI" w:eastAsia="宋体" w:cs="Segoe UI" w:hAnsi="Segoe UI" w:hint="eastAsia"/>
                      <w:i w:val="0"/>
                      <w:iCs w:val="0"/>
                      <w:caps w:val="0"/>
                      <w:smallCaps w:val="0"/>
                      <w:color w:val="auto"/>
                      <w:spacing w:val="0"/>
                      <w:sz w:val="21"/>
                      <w:szCs w:val="21"/>
                      <w:shd w:val="clear" w:color="auto" w:fill="FFFFFF"/>
                      <w:lang w:val="en-US" w:eastAsia="zh-CN"/>
                      <w:highlight w:val="none"/>
                    </w:rPr>
                    <w:t>项</w:t>
                  </w:r>
                  <w:r>
                    <w:rPr>
                      <w:rFonts w:ascii="Times New Roman" w:eastAsia="宋体" w:cs="Times New Roman" w:hAnsi="Times New Roman" w:hint="eastAsia"/>
                      <w:color w:val="auto"/>
                      <w:kern w:val="0"/>
                      <w:sz w:val="21"/>
                      <w:szCs w:val="21"/>
                      <w:lang w:val="en-US" w:eastAsia="zh-CN" w:bidi="ar-SA"/>
                      <w:highlight w:val="none"/>
                    </w:rPr>
                    <w:t>目</w:t>
                  </w:r>
                  <w:r>
                    <w:rPr>
                      <w:rFonts w:ascii="Times New Roman" w:eastAsia="宋体" w:cs="Times New Roman" w:hAnsi="Times New Roman"/>
                      <w:color w:val="auto"/>
                      <w:kern w:val="0"/>
                      <w:sz w:val="21"/>
                      <w:szCs w:val="21"/>
                      <w:lang w:val="en-US" w:eastAsia="zh-CN" w:bidi="ar-SA"/>
                      <w:highlight w:val="none"/>
                    </w:rPr>
                    <w:t>位于河北石家庄装备制造产业园西部片区规划范围内，租赁现有工业厂房进行生产，占地为工业用地，符合园区用地规划。项目</w:t>
                  </w:r>
                  <w:r>
                    <w:rPr>
                      <w:rFonts w:ascii="Times New Roman" w:eastAsia="宋体" w:cs="Times New Roman" w:hAnsi="Times New Roman" w:hint="eastAsia"/>
                      <w:color w:val="auto"/>
                      <w:kern w:val="0"/>
                      <w:sz w:val="21"/>
                      <w:szCs w:val="21"/>
                      <w:lang w:val="en-US" w:eastAsia="zh-CN" w:bidi="ar-SA"/>
                      <w:highlight w:val="none"/>
                    </w:rPr>
                    <w:t>涉及行业为生态保护和环境治理业、仓储业，属于园区</w:t>
                  </w:r>
                  <w:r>
                    <w:rPr>
                      <w:rFonts w:ascii="Times New Roman" w:eastAsia="宋体" w:cs="Times New Roman" w:hAnsi="Times New Roman"/>
                      <w:color w:val="auto"/>
                      <w:kern w:val="0"/>
                      <w:sz w:val="21"/>
                      <w:szCs w:val="21"/>
                      <w:lang w:val="en-US" w:eastAsia="zh-CN" w:bidi="ar-SA"/>
                      <w:highlight w:val="none"/>
                    </w:rPr>
                    <w:t>配套服务产业。项目在</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三线一单</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符合性分析中已论证其符合生态保护红线、环境质量底线、资源利用上线及生态环境准入清单的要求。</w:t>
                  </w:r>
                </w:p>
              </w:tc>
            </w:tr>
            <w:tr>
              <w:trPr>
                <w:trHeight w:val="1475"/>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二</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推进产业园绿色低碳转型发展，实现减污降碳协同增效目标。根据国家、地方碳减排和碳达峰行动方案及路径要求，进一步优化产业园能源结构、交通运输方式等《规划》内容</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项目冬季采暖、夏季制冷均采用电能，不使用煤炭、天然气等化石燃料。</w:t>
                  </w:r>
                </w:p>
              </w:tc>
            </w:tr>
            <w:tr>
              <w:trPr>
                <w:trHeight w:val="1458"/>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项目位于装备制造产业园区内的工业用地，不涉及教育文化科研区、绿地。项目不在生态保护红线、饮用水源地保</w:t>
                  </w:r>
                  <w:r>
                    <w:rPr>
                      <w:rFonts w:ascii="Times New Roman" w:eastAsia="宋体" w:cs="Times New Roman" w:hAnsi="Times New Roman"/>
                      <w:color w:val="auto"/>
                      <w:kern w:val="0"/>
                      <w:sz w:val="21"/>
                      <w:szCs w:val="21"/>
                      <w:lang w:val="en-US" w:eastAsia="zh-CN" w:bidi="ar-SA"/>
                      <w:highlight w:val="none"/>
                    </w:rPr>
                    <w:t>护区、文物保护单位等环境敏感区内，最近敏感点为东</w:t>
                  </w:r>
                  <w:r>
                    <w:rPr>
                      <w:rFonts w:ascii="Times New Roman" w:cs="Times New Roman" w:hAnsi="Times New Roman" w:hint="eastAsia"/>
                      <w:color w:val="auto"/>
                      <w:kern w:val="0"/>
                      <w:sz w:val="21"/>
                      <w:szCs w:val="21"/>
                      <w:lang w:val="en-US" w:bidi="ar-SA"/>
                      <w:highlight w:val="none"/>
                    </w:rPr>
                    <w:t>南</w:t>
                  </w:r>
                  <w:r>
                    <w:rPr>
                      <w:rFonts w:ascii="Times New Roman" w:eastAsia="宋体" w:cs="Times New Roman" w:hAnsi="Times New Roman"/>
                      <w:color w:val="auto"/>
                      <w:kern w:val="0"/>
                      <w:sz w:val="21"/>
                      <w:szCs w:val="21"/>
                      <w:lang w:val="en-US" w:eastAsia="zh-CN" w:bidi="ar-SA"/>
                      <w:highlight w:val="none"/>
                    </w:rPr>
                    <w:t>侧</w:t>
                  </w:r>
                  <w:r>
                    <w:rPr>
                      <w:rFonts w:ascii="Times New Roman" w:eastAsia="宋体" w:cs="Times New Roman" w:hAnsi="Times New Roman" w:hint="eastAsia"/>
                      <w:color w:val="auto"/>
                      <w:kern w:val="0"/>
                      <w:sz w:val="21"/>
                      <w:szCs w:val="21"/>
                      <w:lang w:val="en-US" w:eastAsia="zh-CN" w:bidi="ar-SA"/>
                      <w:highlight w:val="none"/>
                    </w:rPr>
                    <w:t>6</w:t>
                  </w:r>
                  <w:r>
                    <w:rPr>
                      <w:rFonts w:ascii="Times New Roman" w:cs="Times New Roman" w:hAnsi="Times New Roman" w:hint="eastAsia"/>
                      <w:color w:val="auto"/>
                      <w:kern w:val="0"/>
                      <w:sz w:val="21"/>
                      <w:szCs w:val="21"/>
                      <w:lang w:val="en-US" w:eastAsia="zh-CN" w:bidi="ar-SA"/>
                      <w:highlight w:val="none"/>
                    </w:rPr>
                    <w:t>4</w:t>
                  </w:r>
                  <w:r>
                    <w:rPr>
                      <w:rFonts w:ascii="Times New Roman" w:eastAsia="宋体" w:cs="Times New Roman" w:hAnsi="Times New Roman"/>
                      <w:color w:val="auto"/>
                      <w:kern w:val="0"/>
                      <w:sz w:val="21"/>
                      <w:szCs w:val="21"/>
                      <w:lang w:val="en-US" w:eastAsia="zh-CN" w:bidi="ar-SA"/>
                      <w:highlight w:val="none"/>
                    </w:rPr>
                    <w:t>0m的</w:t>
                  </w:r>
                  <w:r>
                    <w:rPr>
                      <w:rFonts w:ascii="Times New Roman" w:cs="Times New Roman" w:hAnsi="Times New Roman" w:hint="eastAsia"/>
                      <w:color w:val="auto"/>
                      <w:kern w:val="0"/>
                      <w:sz w:val="21"/>
                      <w:szCs w:val="21"/>
                      <w:lang w:val="en-US" w:bidi="ar-SA"/>
                      <w:highlight w:val="none"/>
                    </w:rPr>
                    <w:t>融创城荣祥园</w:t>
                  </w:r>
                  <w:r>
                    <w:rPr>
                      <w:rFonts w:ascii="Times New Roman" w:eastAsia="宋体" w:cs="Times New Roman" w:hAnsi="Times New Roman"/>
                      <w:color w:val="auto"/>
                      <w:kern w:val="0"/>
                      <w:sz w:val="21"/>
                      <w:szCs w:val="21"/>
                      <w:lang w:val="en-US" w:eastAsia="zh-CN" w:bidi="ar-SA"/>
                      <w:highlight w:val="none"/>
                    </w:rPr>
                    <w:t>。项目不属于高风险项目，</w:t>
                  </w:r>
                  <w:r>
                    <w:rPr>
                      <w:rFonts w:ascii="Times New Roman" w:eastAsia="宋体" w:cs="Times New Roman" w:hAnsi="Times New Roman" w:hint="eastAsia"/>
                      <w:color w:val="auto"/>
                      <w:kern w:val="0"/>
                      <w:sz w:val="21"/>
                      <w:szCs w:val="21"/>
                      <w:lang w:val="en-US" w:eastAsia="zh-CN" w:bidi="ar-SA"/>
                      <w:highlight w:val="none"/>
                    </w:rPr>
                    <w:t>项目对于风险物质</w:t>
                  </w:r>
                  <w:r>
                    <w:rPr>
                      <w:rFonts w:ascii="Times New Roman" w:eastAsia="宋体" w:cs="Times New Roman" w:hAnsi="Times New Roman"/>
                      <w:color w:val="auto"/>
                      <w:kern w:val="0"/>
                      <w:sz w:val="21"/>
                      <w:szCs w:val="21"/>
                      <w:lang w:val="en-US" w:eastAsia="zh-CN" w:bidi="ar-SA"/>
                      <w:highlight w:val="none"/>
                    </w:rPr>
                    <w:t>采取</w:t>
                  </w:r>
                  <w:r>
                    <w:rPr>
                      <w:rFonts w:ascii="Times New Roman" w:eastAsia="宋体" w:cs="Times New Roman" w:hAnsi="Times New Roman" w:hint="eastAsia"/>
                      <w:color w:val="auto"/>
                      <w:kern w:val="0"/>
                      <w:sz w:val="21"/>
                      <w:szCs w:val="21"/>
                      <w:lang w:val="en-US" w:eastAsia="zh-CN" w:bidi="ar-SA"/>
                      <w:highlight w:val="none"/>
                    </w:rPr>
                    <w:t>相应</w:t>
                  </w:r>
                  <w:r>
                    <w:rPr>
                      <w:rFonts w:ascii="Times New Roman" w:eastAsia="宋体" w:cs="Times New Roman" w:hAnsi="Times New Roman"/>
                      <w:color w:val="auto"/>
                      <w:kern w:val="0"/>
                      <w:sz w:val="21"/>
                      <w:szCs w:val="21"/>
                      <w:lang w:val="en-US" w:eastAsia="zh-CN" w:bidi="ar-SA"/>
                      <w:highlight w:val="none"/>
                    </w:rPr>
                    <w:t>风险防范措施。</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四</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项目不涉及二氧化硫、氮氧化物等重点大气污染物排放。</w:t>
                  </w:r>
                  <w:r>
                    <w:rPr>
                      <w:rFonts w:ascii="Times New Roman" w:eastAsia="宋体" w:cs="Times New Roman" w:hAnsi="Times New Roman"/>
                      <w:color w:val="auto"/>
                      <w:kern w:val="0"/>
                      <w:sz w:val="21"/>
                      <w:szCs w:val="21"/>
                      <w:lang w:val="en-US" w:eastAsia="zh-CN" w:bidi="ar-SA"/>
                      <w:highlight w:val="none"/>
                    </w:rPr>
                    <w:t>项目</w:t>
                  </w:r>
                  <w:r>
                    <w:rPr>
                      <w:rFonts w:ascii="Times New Roman" w:eastAsia="宋体" w:cs="Times New Roman" w:hAnsi="Times New Roman" w:hint="eastAsia"/>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color w:val="auto"/>
                      <w:kern w:val="0"/>
                      <w:sz w:val="21"/>
                      <w:szCs w:val="21"/>
                      <w:lang w:val="en-US" w:eastAsia="zh-CN" w:bidi="ar-SA"/>
                      <w:highlight w:val="none"/>
                    </w:rPr>
                    <w:t>。</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五</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严格入区项目生态环境准入，推动绿色低碳高质量发展。严格落实《报告书》提出的产业园生态环境准入要求及现有企业环境管理要求。禁止</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项目准入</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严格落实好省、市重点化工监控点管理要求</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严格化学药品原料药制造项目准入，满足防护距离要求。不断提高现有企业清洁生产水平，促进产业园产业转型升级与生态环境保护、人居环境安全相协调。</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项目不属于</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两高</w:t>
                  </w:r>
                  <w:r>
                    <w:rPr>
                      <w:rFonts w:ascii="Times New Roman" w:cs="Times New Roman" w:hAnsi="Times New Roman" w:hint="eastAsia"/>
                      <w:color w:val="auto"/>
                      <w:kern w:val="0"/>
                      <w:sz w:val="21"/>
                      <w:szCs w:val="21"/>
                      <w:lang w:val="en-US" w:eastAsia="zh-CN" w:bidi="ar-SA"/>
                      <w:highlight w:val="none"/>
                    </w:rPr>
                    <w:t>”</w:t>
                  </w:r>
                  <w:r>
                    <w:rPr>
                      <w:rFonts w:ascii="Times New Roman" w:eastAsia="宋体" w:cs="Times New Roman" w:hAnsi="Times New Roman" w:hint="eastAsia"/>
                      <w:color w:val="auto"/>
                      <w:kern w:val="0"/>
                      <w:sz w:val="21"/>
                      <w:szCs w:val="21"/>
                      <w:lang w:val="en-US" w:eastAsia="zh-CN" w:bidi="ar-SA"/>
                      <w:highlight w:val="none"/>
                    </w:rPr>
                    <w:t>项目。项目符合国家及地方产业政策，不属于国家及地方禁止和限制类产业。</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六</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项目用水、用电均由园区管网提供。项目生产使用电能，符合优先使用清洁能源的要求。项目废水排入园区污水管网，送至石家庄市栾城区污水处理中心处理。</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七</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项目</w:t>
                  </w:r>
                  <w:r>
                    <w:rPr>
                      <w:rFonts w:ascii="Times New Roman" w:cs="Times New Roman" w:hAnsi="Times New Roman" w:hint="eastAsia"/>
                      <w:color w:val="auto"/>
                      <w:kern w:val="0"/>
                      <w:sz w:val="21"/>
                      <w:szCs w:val="21"/>
                      <w:lang w:val="en-US" w:bidi="ar-SA"/>
                      <w:highlight w:val="none"/>
                    </w:rPr>
                    <w:t>不涉及运输过程</w:t>
                  </w:r>
                  <w:r>
                    <w:rPr>
                      <w:rFonts w:ascii="Times New Roman" w:cs="Times New Roman" w:hAnsi="Times New Roman"/>
                      <w:color w:val="auto"/>
                      <w:kern w:val="0"/>
                      <w:sz w:val="21"/>
                      <w:szCs w:val="21"/>
                      <w:lang w:bidi="ar-SA"/>
                      <w:highlight w:val="none"/>
                    </w:rPr>
                    <w:t>，</w:t>
                  </w:r>
                  <w:r>
                    <w:rPr>
                      <w:rFonts w:ascii="Times New Roman" w:cs="Times New Roman" w:hAnsi="Times New Roman" w:hint="eastAsia"/>
                      <w:color w:val="auto"/>
                      <w:kern w:val="0"/>
                      <w:sz w:val="21"/>
                      <w:szCs w:val="21"/>
                      <w:lang w:val="en-US" w:bidi="ar-SA"/>
                      <w:highlight w:val="none"/>
                    </w:rPr>
                    <w:t>厂内作业主要采用叉车</w:t>
                  </w:r>
                  <w:r>
                    <w:rPr>
                      <w:rFonts w:ascii="Times New Roman" w:eastAsia="宋体" w:cs="Times New Roman" w:hAnsi="Times New Roman" w:hint="eastAsia"/>
                      <w:color w:val="auto"/>
                      <w:kern w:val="0"/>
                      <w:sz w:val="21"/>
                      <w:szCs w:val="21"/>
                      <w:lang w:val="en-US" w:eastAsia="zh-CN" w:bidi="ar-SA"/>
                      <w:highlight w:val="none"/>
                    </w:rPr>
                    <w:t>。项目将根据要求，在重污染天气预警期间执行相应的应急运输响应措施。</w:t>
                  </w:r>
                </w:p>
              </w:tc>
            </w:tr>
            <w:tr>
              <w:trPr>
                <w:trHeight w:val="397"/>
              </w:trPr>
              <w:tc>
                <w:tcPr>
                  <w:tcW w:w="3986"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八</w:t>
                  </w:r>
                  <w:r>
                    <w:rPr>
                      <w:rFonts w:ascii="Times New Roman" w:eastAsia="宋体" w:cs="Times New Roman" w:hAnsi="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tc>
              <w:tc>
                <w:tcPr>
                  <w:tcW w:w="3610" w:type="dxa"/>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Segoe UI" w:eastAsia="Segoe UI" w:cs="Segoe UI" w:hAnsi="Segoe UI" w:hint="eastAsia"/>
                      <w:i w:val="0"/>
                      <w:iCs w:val="0"/>
                      <w:caps w:val="0"/>
                      <w:smallCaps w:val="0"/>
                      <w:color w:val="auto"/>
                      <w:spacing w:val="0"/>
                      <w:sz w:val="21"/>
                      <w:szCs w:val="21"/>
                      <w:shd w:val="clear" w:color="auto" w:fill="FFFFFF"/>
                      <w:lang w:val="en-US" w:eastAsia="zh-CN"/>
                      <w:highlight w:val="none"/>
                    </w:rPr>
                  </w:pPr>
                  <w:r>
                    <w:rPr>
                      <w:rFonts w:ascii="Segoe UI" w:eastAsia="Segoe UI" w:cs="Segoe UI" w:hAnsi="Segoe UI"/>
                      <w:i w:val="0"/>
                      <w:iCs w:val="0"/>
                      <w:caps w:val="0"/>
                      <w:smallCaps w:val="0"/>
                      <w:color w:val="auto"/>
                      <w:spacing w:val="0"/>
                      <w:sz w:val="21"/>
                      <w:szCs w:val="21"/>
                      <w:shd w:val="clear" w:color="auto" w:fill="FFFFFF"/>
                      <w:highlight w:val="none"/>
                    </w:rPr>
                    <w:t>项目要求建设完成后进行排污许可证申领，并按规定开展监测。项目将成立应急组织机构，制定应急预案，定期开展应急演练，强化风险防控。</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综上所述，项目符合审查意见中的各项要求。</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auto"/>
                <w:kern w:val="0"/>
                <w:sz w:val="24"/>
                <w:szCs w:val="20"/>
                <w:lang w:val="en-US" w:eastAsia="zh-CN" w:bidi="ar-SA"/>
                <w:highlight w:val="none"/>
              </w:rPr>
            </w:pPr>
            <w:r>
              <w:rPr>
                <w:rFonts w:ascii="Times New Roman" w:eastAsia="宋体" w:cs="Times New Roman" w:hAnsi="Times New Roman"/>
                <w:b/>
                <w:bCs/>
                <w:color w:val="auto"/>
                <w:kern w:val="0"/>
                <w:sz w:val="24"/>
                <w:szCs w:val="20"/>
                <w:lang w:val="en-US" w:eastAsia="zh-CN" w:bidi="ar-SA"/>
                <w:highlight w:val="none"/>
              </w:rPr>
              <w:t>4</w:t>
            </w:r>
            <w:r>
              <w:rPr>
                <w:rFonts w:ascii="Times New Roman" w:eastAsia="宋体" w:cs="Times New Roman" w:hAnsi="Times New Roman" w:hint="eastAsia"/>
                <w:b/>
                <w:bCs/>
                <w:color w:val="auto"/>
                <w:kern w:val="0"/>
                <w:sz w:val="24"/>
                <w:szCs w:val="20"/>
                <w:lang w:val="en-US" w:eastAsia="zh-CN" w:bidi="ar-SA"/>
                <w:highlight w:val="none"/>
              </w:rPr>
              <w:t>、规划环评</w:t>
            </w:r>
            <w:r>
              <w:rPr>
                <w:rFonts w:cs="Times New Roman" w:hint="eastAsia"/>
                <w:b/>
                <w:bCs/>
                <w:color w:val="auto"/>
                <w:kern w:val="0"/>
                <w:sz w:val="24"/>
                <w:szCs w:val="20"/>
                <w:lang w:val="en-US" w:eastAsia="zh-CN" w:bidi="ar-SA"/>
                <w:highlight w:val="none"/>
              </w:rPr>
              <w:t>准入要求</w:t>
            </w:r>
            <w:r>
              <w:rPr>
                <w:rFonts w:ascii="Times New Roman" w:eastAsia="宋体" w:cs="Times New Roman" w:hAnsi="Times New Roman" w:hint="eastAsia"/>
                <w:b/>
                <w:bCs/>
                <w:color w:val="auto"/>
                <w:kern w:val="0"/>
                <w:sz w:val="24"/>
                <w:szCs w:val="20"/>
                <w:lang w:val="en-US" w:eastAsia="zh-CN" w:bidi="ar-SA"/>
                <w:highlight w:val="none"/>
              </w:rPr>
              <w:t xml:space="preserve">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auto"/>
                <w:kern w:val="0"/>
                <w:sz w:val="24"/>
                <w:szCs w:val="20"/>
                <w:lang w:val="en-US" w:eastAsia="zh-CN" w:bidi="ar-SA"/>
                <w:highlight w:val="none"/>
              </w:rPr>
            </w:pPr>
            <w:r>
              <w:rPr>
                <w:rFonts w:ascii="Times New Roman" w:eastAsia="宋体" w:cs="Times New Roman" w:hAnsi="Times New Roman" w:hint="eastAsia"/>
                <w:color w:val="auto"/>
                <w:kern w:val="0"/>
                <w:sz w:val="24"/>
                <w:szCs w:val="20"/>
                <w:lang w:val="en-US" w:eastAsia="zh-CN" w:bidi="ar-SA"/>
                <w:highlight w:val="none"/>
              </w:rPr>
              <w:t>本项目与</w:t>
            </w:r>
            <w:r>
              <w:rPr>
                <w:rFonts w:ascii="宋体" w:eastAsia="宋体" w:cs="宋体" w:hAnsi="宋体" w:hint="eastAsia"/>
                <w:color w:val="auto"/>
                <w:kern w:val="0"/>
                <w:sz w:val="24"/>
                <w:szCs w:val="24"/>
                <w:lang w:val="en-US" w:eastAsia="zh-CN"/>
                <w:highlight w:val="none"/>
              </w:rPr>
              <w:t>河北石家庄装备制造产业园准入要求</w:t>
            </w:r>
            <w:r>
              <w:rPr>
                <w:rFonts w:ascii="Times New Roman" w:eastAsia="宋体" w:cs="Times New Roman" w:hAnsi="Times New Roman" w:hint="eastAsia"/>
                <w:color w:val="auto"/>
                <w:kern w:val="0"/>
                <w:sz w:val="24"/>
                <w:szCs w:val="20"/>
                <w:lang w:val="en-US" w:eastAsia="zh-CN" w:bidi="ar-SA"/>
                <w:highlight w:val="none"/>
              </w:rPr>
              <w:t>符合性分析见下表：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b/>
                <w:bCs/>
                <w:color w:val="auto"/>
                <w:kern w:val="0"/>
                <w:sz w:val="24"/>
                <w:szCs w:val="20"/>
                <w:lang w:val="en-US" w:eastAsia="zh-CN" w:bidi="ar-SA"/>
                <w:highlight w:val="none"/>
              </w:rPr>
            </w:pPr>
            <w:r>
              <w:rPr>
                <w:rFonts w:ascii="Times New Roman" w:eastAsia="宋体" w:cs="Times New Roman" w:hAnsi="Times New Roman" w:hint="eastAsia"/>
                <w:b/>
                <w:bCs/>
                <w:color w:val="auto"/>
                <w:kern w:val="0"/>
                <w:sz w:val="24"/>
                <w:szCs w:val="20"/>
                <w:lang w:val="en-US" w:eastAsia="zh-CN" w:bidi="ar-SA"/>
                <w:highlight w:val="none"/>
              </w:rPr>
              <w:t>表</w:t>
            </w:r>
            <w:r>
              <w:rPr>
                <w:rFonts w:ascii="Times New Roman" w:eastAsia="宋体" w:cs="Times New Roman" w:hAnsi="Times New Roman"/>
                <w:b/>
                <w:bCs/>
                <w:color w:val="auto"/>
                <w:kern w:val="0"/>
                <w:sz w:val="24"/>
                <w:szCs w:val="20"/>
                <w:lang w:val="en-US" w:eastAsia="zh-CN" w:bidi="ar-SA"/>
                <w:highlight w:val="none"/>
              </w:rPr>
              <w:t>1-</w:t>
            </w:r>
            <w:r>
              <w:rPr>
                <w:rFonts w:cs="Times New Roman" w:hint="eastAsia"/>
                <w:b/>
                <w:bCs/>
                <w:color w:val="auto"/>
                <w:kern w:val="0"/>
                <w:sz w:val="24"/>
                <w:szCs w:val="20"/>
                <w:lang w:val="en-US" w:eastAsia="zh-CN" w:bidi="ar-SA"/>
                <w:highlight w:val="none"/>
              </w:rPr>
              <w:t>6</w:t>
            </w:r>
            <w:r>
              <w:rPr>
                <w:rFonts w:ascii="Times New Roman" w:eastAsia="宋体" w:cs="Times New Roman" w:hAnsi="Times New Roman"/>
                <w:b/>
                <w:bCs/>
                <w:color w:val="auto"/>
                <w:kern w:val="0"/>
                <w:sz w:val="24"/>
                <w:szCs w:val="20"/>
                <w:lang w:val="en-US" w:eastAsia="zh-CN" w:bidi="ar-SA"/>
                <w:highlight w:val="none"/>
              </w:rPr>
              <w:t xml:space="preserve"> </w:t>
            </w:r>
            <w:r>
              <w:rPr>
                <w:rFonts w:ascii="Times New Roman" w:eastAsia="宋体" w:cs="Times New Roman" w:hAnsi="Times New Roman" w:hint="eastAsia"/>
                <w:b/>
                <w:bCs/>
                <w:color w:val="auto"/>
                <w:kern w:val="0"/>
                <w:sz w:val="24"/>
                <w:szCs w:val="20"/>
                <w:lang w:val="en-US" w:eastAsia="zh-CN" w:bidi="ar-SA"/>
                <w:highlight w:val="none"/>
              </w:rPr>
              <w:t xml:space="preserve">  项目与河北石家庄装备制造产业园准入要求符合性分析一览表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348"/>
              <w:gridCol w:w="543"/>
              <w:gridCol w:w="3436"/>
              <w:gridCol w:w="3271"/>
            </w:tblGrid>
            <w:tr>
              <w:trPr>
                <w:trHeight w:val="397"/>
              </w:trPr>
              <w:tc>
                <w:tcPr>
                  <w:tcW w:w="586" w:type="pct"/>
                  <w:gridSpan w:val="2"/>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b/>
                      <w:bCs w:val="0"/>
                      <w:color w:val="auto"/>
                      <w:sz w:val="21"/>
                      <w:szCs w:val="21"/>
                      <w:lang w:eastAsia="zh-CN"/>
                      <w:highlight w:val="none"/>
                    </w:rPr>
                  </w:pPr>
                  <w:r>
                    <w:rPr>
                      <w:rFonts w:ascii="Times New Roman" w:cs="Times New Roman" w:hAnsi="Times New Roman"/>
                      <w:b/>
                      <w:bCs w:val="0"/>
                      <w:color w:val="auto"/>
                      <w:sz w:val="21"/>
                      <w:szCs w:val="21"/>
                      <w:lang w:val="en-US" w:eastAsia="zh-CN"/>
                      <w:highlight w:val="none"/>
                    </w:rPr>
                    <w:t>项目</w:t>
                  </w:r>
                </w:p>
              </w:tc>
              <w:tc>
                <w:tcPr>
                  <w:tcW w:w="2261"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val="0"/>
                      <w:color w:val="auto"/>
                      <w:sz w:val="21"/>
                      <w:szCs w:val="21"/>
                      <w:lang w:val="en-US"/>
                      <w:highlight w:val="none"/>
                    </w:rPr>
                  </w:pPr>
                  <w:r>
                    <w:rPr>
                      <w:rFonts w:ascii="Times New Roman" w:cs="Times New Roman" w:hAnsi="Times New Roman"/>
                      <w:b/>
                      <w:bCs w:val="0"/>
                      <w:color w:val="auto"/>
                      <w:sz w:val="21"/>
                      <w:szCs w:val="21"/>
                      <w:lang w:val="en-US" w:eastAsia="zh-CN"/>
                      <w:highlight w:val="none"/>
                    </w:rPr>
                    <w:t>准入要求</w:t>
                  </w:r>
                </w:p>
              </w:tc>
              <w:tc>
                <w:tcPr>
                  <w:tcW w:w="2152"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color w:val="auto"/>
                      <w:sz w:val="21"/>
                      <w:szCs w:val="21"/>
                      <w:highlight w:val="none"/>
                    </w:rPr>
                  </w:pPr>
                  <w:r>
                    <w:rPr>
                      <w:rFonts w:ascii="Times New Roman" w:cs="Times New Roman" w:hAnsi="Times New Roman"/>
                      <w:b/>
                      <w:bCs/>
                      <w:color w:val="auto"/>
                      <w:sz w:val="21"/>
                      <w:szCs w:val="21"/>
                      <w:lang w:val="en-US" w:eastAsia="zh-CN"/>
                      <w:highlight w:val="none"/>
                    </w:rPr>
                    <w:t>项目情况</w:t>
                  </w:r>
                </w:p>
              </w:tc>
            </w:tr>
            <w:tr>
              <w:trPr>
                <w:trHeight w:val="397"/>
              </w:trPr>
              <w:tc>
                <w:tcPr>
                  <w:tcW w:w="586" w:type="pct"/>
                  <w:gridSpan w:val="2"/>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总体要求</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1、符合</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石家庄市</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三线一单</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生态环境分区管控意见</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的动态更新成果中全市总体准入要求，具体内容不再列出；</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2、新建、改建、扩建项目需符合生态环境保护相关规划，满足重点污染物排放总量控制要求实施倍量替代，生态环境准入清单和相应行业建设项目环境准入要求、环评审批原则。</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3、规划区禁止建设《河北省发展和改革委员会关于加强新建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项目管理的通知》（冀发改环资[2022]691号）中的</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项目符合</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石家庄市三线一单生态环境分区管控意见</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的动态更新成果中全市总体准入要求</w:t>
                  </w:r>
                  <w:r>
                    <w:rPr>
                      <w:rFonts w:ascii="Times New Roman" w:cs="Times New Roman" w:hAnsi="Times New Roman"/>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本项目不属于</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两高</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项目</w:t>
                  </w:r>
                  <w:r>
                    <w:rPr>
                      <w:rFonts w:ascii="Times New Roman" w:cs="Times New Roman" w:hAnsi="Times New Roman"/>
                      <w:color w:val="auto"/>
                      <w:kern w:val="0"/>
                      <w:sz w:val="21"/>
                      <w:szCs w:val="21"/>
                      <w:lang w:val="en-US" w:eastAsia="zh-CN" w:bidi="ar-SA"/>
                      <w:highlight w:val="none"/>
                    </w:rPr>
                    <w:t>。</w:t>
                  </w:r>
                </w:p>
              </w:tc>
            </w:tr>
            <w:tr>
              <w:trPr>
                <w:trHeight w:val="397"/>
              </w:trPr>
              <w:tc>
                <w:tcPr>
                  <w:tcW w:w="229" w:type="pct"/>
                  <w:vMerge w:val="restar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河北石家庄装备制造产业园</w:t>
                  </w: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产业及政策准入管理要求</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1、满足《产业结构调整指导目录》、《产业发展与转移指导目录》的要求。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2、入区项目各污染物排放指标必须满足清洁生产指标国内先进水平要求（如有）；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3、严格限制工业涂装、包装印刷等使用高VOCs排放的涂料、胶粘剂等。</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4、铸造企业应满足《</w:t>
                  </w:r>
                  <w:r>
                    <w:rPr>
                      <w:rFonts w:ascii="Times New Roman" w:eastAsia="宋体" w:cs="Times New Roman" w:hAnsi="Times New Roman"/>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关于推动铸造和锻压行业高质量发展的若干措施</w:t>
                  </w:r>
                  <w:r>
                    <w:rPr>
                      <w:rFonts w:ascii="Times New Roman" w:eastAsia="宋体" w:cs="Times New Roman" w:hAnsi="Times New Roman"/>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的通知》（冀工信装[2023]127 号）等动态更新文件的要求。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5、禁燃区内任何单位不得新建、扩建高污染燃料燃用设施，不得将其他燃料设施改造为高污染燃料燃用设施。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按照《河北省化工重点监控点认定办法》、《石家庄市化工重点监控点认定程序和管理办法（试行）》要求执行。列入重点化工监控点的企业，在项目审批、建设和管理方面参照化工园区内企业执行。化工重点监控点现状产品中百草枯、可可碱、咖啡因属于《产业结构调整指导目录》（2024版）限制类产品。①石家庄杰克化工有限公司、河北圣泰材料股份有限公司、石家庄驰远化工有限公司（及第一分公司）、河北三农农用化工有限公司、石家庄宝丰化工有限公司、石药创新制药股份有限公司、河北科硕化工有限公司周边无可发展用地，在无用地指标前，用地规模及范围控制在现有厂区内，可根据《石家庄市化工重点监控点认定程序和管理办法》，依法依规在厂区内新建、改建、扩建现有装备产品和产业链上下游项目。②河北圣泰材料股份有限公司子公司河北圣泰锂化新材料科技有限公司周边有闲置用地，在无用地指标前，用地规模及范围控制在现有厂区内，用地指标落实后可根据《石家庄市化工重点监控点认定程序和管理办法》，可依法依规在厂区内或紧邻厂区新建、改建、扩建现有装备产品和产业链上下游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7、严格建设用地土壤环境准入。在永久基本农田集中区域禁止新建重金属、持久性有机污染物类项目。装备制造行业禁止建设集中电镀、镀层、阳极氧化的金属表面处理及热处理加工企业。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8、现有化工企业在不增加污染物的情况下，允许原厂区内改扩建。</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9、根据《河北省生态环境分区管控更新成果（2023版）》、《石家庄市生态环境准入清单（2023版）》中地表水环境总体管控要求，严格控制高污染、高耗水行业新增产能。食品加工业根据《关于印发钢铁等十八项工业用水定额的通知》，禁止建设高耗水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10、医药制造业：禁止建设《产业结构调整指导目录（2024 本）》限制类和淘汰类原料药。</w:t>
                  </w:r>
                </w:p>
              </w:tc>
              <w:tc>
                <w:tcPr>
                  <w:tcW w:w="2152"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1、项目不属于《产业结构调整指导目录（2024年本）》中限制类、淘汰类项目；</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2、不涉及；</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3、不涉及；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4、不涉及；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5、不涉及；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 xml:space="preserve">6、不涉及； </w:t>
                  </w:r>
                </w:p>
                <w:p>
                  <w:pPr>
                    <w:keepNext w:val="0"/>
                    <w:keepLines w:val="0"/>
                    <w:pageBreakBefore w:val="0"/>
                    <w:widowControl/>
                    <w:suppressLineNumbers w:val="0"/>
                    <w:kinsoku/>
                    <w:wordWrap/>
                    <w:overflowPunct/>
                    <w:bidi w:val="0"/>
                    <w:jc w:val="both"/>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 xml:space="preserve">7、项目占地为工业用地，不占用永久基本农田，本项目不属于电镀、镀层、阳极氧化的金属表面处理及热处理加工项目； </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8、不涉及；</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9、本项目不属于高耗水项目；</w:t>
                  </w:r>
                </w:p>
                <w:p>
                  <w:pPr>
                    <w:keepNext w:val="0"/>
                    <w:keepLines w:val="0"/>
                    <w:pageBreakBefore w:val="0"/>
                    <w:widowControl/>
                    <w:suppressLineNumbers w:val="0"/>
                    <w:kinsoku/>
                    <w:wordWrap/>
                    <w:overflowPunct/>
                    <w:bidi w:val="0"/>
                    <w:jc w:val="left"/>
                    <w:rPr>
                      <w:rFonts w:ascii="Times New Roman" w:cs="Times New Roman" w:hAnsi="Times New Roman"/>
                      <w:color w:val="auto"/>
                      <w:sz w:val="21"/>
                      <w:szCs w:val="21"/>
                      <w:highlight w:val="none"/>
                    </w:rPr>
                  </w:pPr>
                  <w:r>
                    <w:rPr>
                      <w:rFonts w:ascii="Times New Roman" w:eastAsia="宋体" w:cs="Times New Roman" w:hAnsi="Times New Roman"/>
                      <w:color w:val="auto"/>
                      <w:kern w:val="0"/>
                      <w:sz w:val="21"/>
                      <w:szCs w:val="21"/>
                      <w:lang w:val="en-US" w:eastAsia="zh-CN"/>
                      <w:highlight w:val="none"/>
                    </w:rPr>
                    <w:t>10、不涉及</w:t>
                  </w:r>
                  <w:r>
                    <w:rPr>
                      <w:rFonts w:ascii="Times New Roman" w:eastAsia="宋体" w:cs="Times New Roman" w:hAnsi="Times New Roman" w:hint="eastAsia"/>
                      <w:color w:val="auto"/>
                      <w:kern w:val="0"/>
                      <w:sz w:val="21"/>
                      <w:szCs w:val="21"/>
                      <w:lang w:val="en-US" w:eastAsia="zh-CN"/>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空间布局约束</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1、禁止在公园绿地、防护绿地等规划绿地范围内开展与绿地无关的建设活动。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2、禁止占用公路用地红线，在公路两侧建筑控制线范围内，禁止建设除公路附属设施外的其他永久性建筑物、构筑物和设施。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产业园区及周边划定了2处饮用水源地一级保护区，石家庄市栾城区水利局第一供水厂水源地一级保护区、交通公园水源井（1#）一级保护区。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2处饮用水源地未划定二级保护区，现状一级保护区内均未建设与供水设施和保护水源无关的建设项目）。③禁止在饮用水水源一级保护区内从事网箱养殖、旅游、游泳、垂钓或者其他可能污染饮用水水体的活动。</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产业园区及周边划定了1处饮用水源地准保护区，交通公园水源井（1#）准保护区。禁止在饮用水水源准保护区内新建、扩建对水体污染严重的建设项目；改建建设项目，不得增加排污量（交通公园水源井（1#）准保护区现状未建设有建设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入区企业应优先选址于距离居住区等环境敏感点较远区域；选址于居住区等环境敏感点周边的应设置绿化隔离带，工业用地靠近居住区一侧在布置工业项目时重点考虑对居住区的环境影响分析，需满足大气环境防护距离和风险防护距离要求。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如包装车间、仓库等）、办公楼等靠近居住区布置；强化废气处理设施，加强车间密闭，确保达标排放。新规划居住用地、教育用地与工业用地之间至少保留50m防护绿地。</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7、入区项目按照规划产业定位和布局进行选址；不符合产业规划的现有企业在不影响规划产业园区主导功能的情况下可在现有厂区范围内改扩建，强化污染物排放控制要求；对于污染轻微附加值高且符合相关产业政策要求的项目在不影响规划产业园区主导功能的情况下可适度入驻。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保留的与规划不符现有企业应严格落实排污许可、国家及地方环保要求，达标排放，通过不断提升环保措施及管理水平，最大限度降低环境污染影响，鼓励其通过技术革新，实现经济效益和环境效益的双赢，促进产业园区绿色发展。</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9、对于现有工业企业后续退出的遗留用地，应按照《中华人民共和国土壤污染防治法》《关于贯彻落实土壤污染防治法推动解决突出土壤污染问题的实施意见》（环办土壤[2019]47 号）要求，土地用途变更为住宅、公共管理与公共服务用地的，变更前应当按照规定进行土壤污染状况调查，编制土壤污染状况调查报告。</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r>
                    <w:rPr>
                      <w:rFonts w:cs="Times New Roman" w:hint="eastAsia"/>
                      <w:color w:val="auto"/>
                      <w:kern w:val="0"/>
                      <w:sz w:val="21"/>
                      <w:szCs w:val="21"/>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r>
                    <w:rPr>
                      <w:rFonts w:cs="Times New Roman" w:hint="eastAsia"/>
                      <w:color w:val="auto"/>
                      <w:kern w:val="0"/>
                      <w:sz w:val="21"/>
                      <w:szCs w:val="21"/>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3、</w:t>
                  </w:r>
                  <w:r>
                    <w:rPr>
                      <w:rFonts w:cs="Times New Roman" w:hint="eastAsia"/>
                      <w:bCs/>
                      <w:color w:val="auto"/>
                      <w:kern w:val="0"/>
                      <w:sz w:val="21"/>
                      <w:szCs w:val="21"/>
                      <w:lang w:val="en-US" w:eastAsia="zh-CN" w:bidi="ar-SA"/>
                      <w:highlight w:val="none"/>
                    </w:rPr>
                    <w:t>4、5、</w:t>
                  </w:r>
                  <w:r>
                    <w:rPr>
                      <w:rFonts w:cs="Times New Roman" w:hint="eastAsia"/>
                      <w:color w:val="auto"/>
                      <w:kern w:val="0"/>
                      <w:sz w:val="21"/>
                      <w:szCs w:val="21"/>
                      <w:lang w:val="en-US" w:eastAsia="zh-CN" w:bidi="ar-SA"/>
                      <w:highlight w:val="none"/>
                    </w:rPr>
                    <w:t>项目不在</w:t>
                  </w:r>
                  <w:r>
                    <w:rPr>
                      <w:rFonts w:cs="Times New Roman"/>
                      <w:color w:val="auto"/>
                      <w:kern w:val="0"/>
                      <w:sz w:val="21"/>
                      <w:szCs w:val="21"/>
                      <w:lang w:val="en-US" w:eastAsia="zh-CN" w:bidi="ar-SA"/>
                      <w:highlight w:val="none"/>
                    </w:rPr>
                    <w:t>饮用水源地一级保护区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饮用水源地准保护区</w:t>
                  </w:r>
                  <w:r>
                    <w:rPr>
                      <w:rFonts w:cs="Times New Roman" w:hint="eastAsia"/>
                      <w:color w:val="auto"/>
                      <w:kern w:val="0"/>
                      <w:sz w:val="21"/>
                      <w:szCs w:val="21"/>
                      <w:lang w:val="en-US" w:eastAsia="zh-CN" w:bidi="ar-SA"/>
                      <w:highlight w:val="none"/>
                    </w:rPr>
                    <w:t>、</w:t>
                  </w:r>
                  <w:r>
                    <w:rPr>
                      <w:rFonts w:ascii="Times New Roman" w:eastAsia="宋体" w:cs="Times New Roman" w:hAnsi="Times New Roman"/>
                      <w:color w:val="auto"/>
                      <w:kern w:val="0"/>
                      <w:sz w:val="21"/>
                      <w:szCs w:val="21"/>
                      <w:lang w:val="en-US" w:eastAsia="zh-CN" w:bidi="ar-SA"/>
                      <w:highlight w:val="none"/>
                    </w:rPr>
                    <w:t>栾武台遗址</w:t>
                  </w:r>
                  <w:r>
                    <w:rPr>
                      <w:rFonts w:cs="Times New Roman" w:hint="eastAsia"/>
                      <w:color w:val="auto"/>
                      <w:kern w:val="0"/>
                      <w:sz w:val="21"/>
                      <w:szCs w:val="21"/>
                      <w:lang w:val="en-US" w:eastAsia="zh-CN" w:bidi="ar-SA"/>
                      <w:highlight w:val="none"/>
                    </w:rPr>
                    <w:t>文物保护范围内，项目废水</w:t>
                  </w:r>
                  <w:r>
                    <w:rPr>
                      <w:rFonts w:cs="Times New Roman"/>
                      <w:color w:val="auto"/>
                      <w:kern w:val="0"/>
                      <w:sz w:val="21"/>
                      <w:szCs w:val="21"/>
                      <w:lang w:val="en-US" w:eastAsia="zh-CN" w:bidi="ar-SA"/>
                      <w:highlight w:val="none"/>
                    </w:rPr>
                    <w:t>排入</w:t>
                  </w:r>
                  <w:r>
                    <w:rPr>
                      <w:rFonts w:cs="Times New Roman" w:hint="eastAsia"/>
                      <w:color w:val="auto"/>
                      <w:kern w:val="0"/>
                      <w:sz w:val="21"/>
                      <w:szCs w:val="21"/>
                      <w:lang w:val="en-US" w:eastAsia="zh-CN" w:bidi="ar-SA"/>
                      <w:highlight w:val="none"/>
                    </w:rPr>
                    <w:t>园区</w:t>
                  </w:r>
                  <w:r>
                    <w:rPr>
                      <w:rFonts w:cs="Times New Roman"/>
                      <w:color w:val="auto"/>
                      <w:kern w:val="0"/>
                      <w:sz w:val="21"/>
                      <w:szCs w:val="21"/>
                      <w:lang w:val="en-US" w:eastAsia="zh-CN" w:bidi="ar-SA"/>
                      <w:highlight w:val="none"/>
                    </w:rPr>
                    <w:t>污水管网，</w:t>
                  </w:r>
                  <w:r>
                    <w:rPr>
                      <w:rFonts w:cs="Times New Roman" w:hint="eastAsia"/>
                      <w:color w:val="auto"/>
                      <w:kern w:val="0"/>
                      <w:sz w:val="21"/>
                      <w:szCs w:val="21"/>
                      <w:lang w:val="en-US" w:eastAsia="zh-CN" w:bidi="ar-SA"/>
                      <w:highlight w:val="none"/>
                    </w:rPr>
                    <w:t>再</w:t>
                  </w:r>
                  <w:r>
                    <w:rPr>
                      <w:rFonts w:cs="Times New Roman"/>
                      <w:color w:val="auto"/>
                      <w:kern w:val="0"/>
                      <w:sz w:val="21"/>
                      <w:szCs w:val="21"/>
                      <w:lang w:val="en-US" w:eastAsia="zh-CN" w:bidi="ar-SA"/>
                      <w:highlight w:val="none"/>
                    </w:rPr>
                    <w:t>送至</w:t>
                  </w:r>
                  <w:r>
                    <w:rPr>
                      <w:rFonts w:cs="Times New Roman" w:hint="eastAsia"/>
                      <w:color w:val="auto"/>
                      <w:kern w:val="0"/>
                      <w:sz w:val="21"/>
                      <w:szCs w:val="21"/>
                      <w:lang w:val="en-US" w:eastAsia="zh-CN" w:bidi="ar-SA"/>
                      <w:highlight w:val="none"/>
                    </w:rPr>
                    <w:t>洨河西污水处理厂（栾城区绿源污水处理厂）</w:t>
                  </w:r>
                  <w:r>
                    <w:rPr>
                      <w:rFonts w:cs="Times New Roman"/>
                      <w:color w:val="auto"/>
                      <w:kern w:val="0"/>
                      <w:sz w:val="21"/>
                      <w:szCs w:val="21"/>
                      <w:lang w:val="en-US" w:eastAsia="zh-CN" w:bidi="ar-SA"/>
                      <w:highlight w:val="none"/>
                    </w:rPr>
                    <w:t>进行深度处理</w:t>
                  </w:r>
                  <w:r>
                    <w:rPr>
                      <w:rFonts w:cs="Times New Roman" w:hint="eastAsia"/>
                      <w:color w:val="auto"/>
                      <w:kern w:val="0"/>
                      <w:sz w:val="21"/>
                      <w:szCs w:val="21"/>
                      <w:lang w:val="en-US" w:eastAsia="zh-CN" w:bidi="ar-SA"/>
                      <w:highlight w:val="none"/>
                    </w:rPr>
                    <w:t>，不设置直接排污口；</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6、项目各污染物均设置在厂房内，污染物经采取措施后达标排放，不会对周围居民产生明显影响。</w:t>
                  </w:r>
                </w:p>
                <w:p>
                  <w:pPr>
                    <w:keepNext w:val="0"/>
                    <w:keepLines w:val="0"/>
                    <w:pageBreakBefore w:val="0"/>
                    <w:kinsoku/>
                    <w:wordWrap/>
                    <w:overflowPunct/>
                    <w:bidi w:val="0"/>
                    <w:rPr>
                      <w:rFonts w:ascii="Times New Roman" w:cs="Times New Roman" w:hAnsi="Times New Roman"/>
                      <w:color w:val="auto"/>
                      <w:sz w:val="21"/>
                      <w:szCs w:val="21"/>
                      <w:highlight w:val="none"/>
                    </w:rPr>
                  </w:pPr>
                  <w:r>
                    <w:rPr>
                      <w:rFonts w:hint="eastAsia"/>
                      <w:color w:val="auto"/>
                      <w:lang w:val="en-US" w:eastAsia="zh-CN"/>
                      <w:highlight w:val="none"/>
                    </w:rPr>
                    <w:t>7、</w:t>
                  </w:r>
                  <w:r>
                    <w:rPr>
                      <w:rFonts w:cs="Times New Roman" w:hint="eastAsia"/>
                      <w:color w:val="auto"/>
                      <w:sz w:val="21"/>
                      <w:szCs w:val="21"/>
                      <w:lang w:val="en-US" w:eastAsia="zh-CN"/>
                      <w:highlight w:val="none"/>
                    </w:rPr>
                    <w:t>项目位于</w:t>
                  </w:r>
                  <w:r>
                    <w:rPr>
                      <w:rFonts w:ascii="Times New Roman" w:cs="Times New Roman" w:hAnsi="Times New Roman" w:hint="eastAsia"/>
                      <w:color w:val="auto"/>
                      <w:sz w:val="21"/>
                      <w:szCs w:val="21"/>
                      <w:lang w:val="en-US" w:eastAsia="zh-CN"/>
                      <w:highlight w:val="none"/>
                    </w:rPr>
                    <w:t>装备制造产业园区</w:t>
                  </w:r>
                  <w:r>
                    <w:rPr>
                      <w:rFonts w:cs="Times New Roman" w:hint="eastAsia"/>
                      <w:color w:val="auto"/>
                      <w:sz w:val="21"/>
                      <w:szCs w:val="21"/>
                      <w:lang w:val="en-US" w:eastAsia="zh-CN"/>
                      <w:highlight w:val="none"/>
                    </w:rPr>
                    <w:t>，涉</w:t>
                  </w:r>
                  <w:r>
                    <w:rPr>
                      <w:rFonts w:ascii="Times New Roman" w:cs="Times New Roman" w:hAnsi="Times New Roman" w:hint="eastAsia"/>
                      <w:color w:val="auto"/>
                      <w:sz w:val="21"/>
                      <w:szCs w:val="21"/>
                      <w:lang w:val="en-US" w:eastAsia="zh-CN"/>
                      <w:highlight w:val="none"/>
                    </w:rPr>
                    <w:t>及行业为生态保护和环境治理业</w:t>
                  </w:r>
                  <w:r>
                    <w:rPr>
                      <w:rFonts w:cs="Times New Roman" w:hint="eastAsia"/>
                      <w:color w:val="auto"/>
                      <w:sz w:val="21"/>
                      <w:szCs w:val="21"/>
                      <w:lang w:val="en-US" w:eastAsia="zh-CN"/>
                      <w:highlight w:val="none"/>
                    </w:rPr>
                    <w:t>、</w:t>
                  </w:r>
                  <w:r>
                    <w:rPr>
                      <w:rFonts w:ascii="Times New Roman" w:cs="Times New Roman" w:hAnsi="Times New Roman" w:hint="eastAsia"/>
                      <w:color w:val="auto"/>
                      <w:sz w:val="21"/>
                      <w:szCs w:val="21"/>
                      <w:lang w:val="en-US" w:eastAsia="zh-CN"/>
                      <w:highlight w:val="none"/>
                    </w:rPr>
                    <w:t>仓储业</w:t>
                  </w:r>
                  <w:r>
                    <w:rPr>
                      <w:rFonts w:ascii="Times New Roman" w:eastAsia="宋体" w:cs="Times New Roman" w:hAnsi="Times New Roman" w:hint="eastAsia"/>
                      <w:color w:val="auto"/>
                      <w:spacing w:val="-6"/>
                      <w:sz w:val="21"/>
                      <w:szCs w:val="21"/>
                      <w:lang w:eastAsia="zh-CN"/>
                      <w:highlight w:val="none"/>
                    </w:rPr>
                    <w:t>，</w:t>
                  </w:r>
                  <w:r>
                    <w:rPr>
                      <w:rFonts w:cs="Times New Roman" w:hint="eastAsia"/>
                      <w:color w:val="auto"/>
                      <w:spacing w:val="-6"/>
                      <w:sz w:val="21"/>
                      <w:szCs w:val="21"/>
                      <w:lang w:eastAsia="zh-CN"/>
                      <w:highlight w:val="none"/>
                    </w:rPr>
                    <w:t>属于园区</w:t>
                  </w:r>
                  <w:r>
                    <w:rPr>
                      <w:rFonts w:ascii="Times New Roman" w:cs="Times New Roman" w:hAnsi="Times New Roman"/>
                      <w:color w:val="auto"/>
                      <w:sz w:val="21"/>
                      <w:szCs w:val="21"/>
                      <w:highlight w:val="none"/>
                    </w:rPr>
                    <w:t>配套服务产业</w:t>
                  </w:r>
                  <w:r>
                    <w:rPr>
                      <w:rFonts w:cs="Times New Roman" w:hint="eastAsia"/>
                      <w:color w:val="auto"/>
                      <w:sz w:val="21"/>
                      <w:szCs w:val="21"/>
                      <w:lang w:eastAsia="zh-CN"/>
                      <w:highlight w:val="none"/>
                    </w:rPr>
                    <w:t>，本项目污染轻微，附加值高，能够为园区产生的废铅蓄电池提供中转场所，提高固废综合利用率</w:t>
                  </w:r>
                  <w:r>
                    <w:rPr>
                      <w:rFonts w:ascii="Times New Roman" w:cs="Times New Roman" w:hAnsi="Times New Roman"/>
                      <w:color w:val="auto"/>
                      <w:sz w:val="21"/>
                      <w:szCs w:val="21"/>
                      <w:highlight w:val="none"/>
                    </w:rPr>
                    <w:t>。</w:t>
                  </w:r>
                </w:p>
                <w:p>
                  <w:pPr>
                    <w:keepNext w:val="0"/>
                    <w:keepLines w:val="0"/>
                    <w:pageBreakBefore w:val="0"/>
                    <w:kinsoku/>
                    <w:wordWrap/>
                    <w:overflowPunct/>
                    <w:bidi w:val="0"/>
                    <w:rPr>
                      <w:color w:val="auto"/>
                      <w:lang w:eastAsia="zh-CN"/>
                      <w:highlight w:val="none"/>
                    </w:rPr>
                  </w:pPr>
                  <w:r>
                    <w:rPr>
                      <w:rFonts w:ascii="Times New Roman" w:cs="Times New Roman" w:hAnsi="Times New Roman" w:hint="eastAsia"/>
                      <w:color w:val="auto"/>
                      <w:sz w:val="21"/>
                      <w:szCs w:val="21"/>
                      <w:lang w:val="en-US" w:eastAsia="zh-CN"/>
                      <w:highlight w:val="none"/>
                    </w:rPr>
                    <w:t>8、</w:t>
                  </w:r>
                  <w:r>
                    <w:rPr>
                      <w:rFonts w:cs="Times New Roman" w:hint="eastAsia"/>
                      <w:color w:val="auto"/>
                      <w:sz w:val="21"/>
                      <w:szCs w:val="21"/>
                      <w:lang w:val="en-US" w:eastAsia="zh-CN"/>
                      <w:highlight w:val="none"/>
                    </w:rPr>
                    <w:t>9、不属于</w:t>
                  </w:r>
                  <w:r>
                    <w:rPr>
                      <w:rFonts w:ascii="Times New Roman" w:eastAsia="宋体" w:cs="Times New Roman" w:hAnsi="Times New Roman"/>
                      <w:color w:val="auto"/>
                      <w:kern w:val="0"/>
                      <w:sz w:val="21"/>
                      <w:szCs w:val="21"/>
                      <w:lang w:val="en-US" w:eastAsia="zh-CN" w:bidi="ar-SA"/>
                      <w:highlight w:val="none"/>
                    </w:rPr>
                    <w:t>与规划不符现有企业</w:t>
                  </w:r>
                  <w:r>
                    <w:rPr>
                      <w:rFonts w:cs="Times New Roman"/>
                      <w:color w:val="auto"/>
                      <w:kern w:val="0"/>
                      <w:sz w:val="21"/>
                      <w:szCs w:val="21"/>
                      <w:lang w:eastAsia="zh-CN" w:bidi="ar-SA"/>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污染物排放管控</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1、鼓励优先引入集中式环保治理工程；入区项目需满足建设项目主要污污染物排放削减替代和总量控制要求。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2、强化VOCs大气特征污染物管控，新建具有绩效评级要求的涉气建设项目，应达到B级及以上水平。</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3、废气污染物近期排放总量：颗粒物：81.696t/a，SO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：99.369t/a，NOx：196.372t/a，VOCs：101.608t/a。废气污染物远期排放总量量：颗粒物：103.447t/a，SO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 xml:space="preserve">：95.374t/a，NOx：195.47t/a，VOCs：132.481t/a。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4、废气污染物近期新增排放量：颗粒物：8.563t/a，SO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：0.167t/a，NOx：1.266t/a，VOCs：22.396t/a。废气污染物远期排放总量量：颗粒物：31.4t/a，SO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：0.959/a，NOx：7.261t/a，VOCs：53.269t/a。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5、入区企业废水应全部纳入污水管网进入污水处理厂集中处理，严禁排入周边地表水体。近期排放量：COD：249.66t/a，氨氮：12.483t/a，远期排放量：COD：361.35t/a，氨氮：18.068t/a。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6、一般工业固体废物：近期 117.2918万吨/年，远期150.7986 万吨/年。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7、危险废物：近期9.2073万t/a，远期13.9646万t/a。</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8、单位工业产值二氧化碳排放量：近期：0.40tCO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/万元产值，远期：0.233tCO</w:t>
                  </w:r>
                  <w:r>
                    <w:rPr>
                      <w:rFonts w:ascii="Times New Roman" w:eastAsia="宋体" w:cs="Times New Roman" w:hAnsi="Times New Roman"/>
                      <w:color w:val="auto"/>
                      <w:kern w:val="0"/>
                      <w:sz w:val="21"/>
                      <w:szCs w:val="21"/>
                      <w:vertAlign w:val="sub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/万元产值。</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auto"/>
                      <w:sz w:val="21"/>
                      <w:szCs w:val="21"/>
                      <w:highlight w:val="none"/>
                    </w:rPr>
                  </w:pPr>
                  <w:r>
                    <w:rPr>
                      <w:rFonts w:cs="Times New Roman" w:hint="eastAsia"/>
                      <w:color w:val="auto"/>
                      <w:kern w:val="2"/>
                      <w:sz w:val="21"/>
                      <w:szCs w:val="21"/>
                      <w:lang w:val="en-US" w:bidi="ar-SA"/>
                      <w:highlight w:val="none"/>
                    </w:rPr>
                    <w:t>项</w:t>
                  </w:r>
                  <w:r>
                    <w:rPr>
                      <w:rFonts w:ascii="Times New Roman" w:eastAsia="宋体" w:cs="Times New Roman" w:hAnsi="Times New Roman" w:hint="eastAsia"/>
                      <w:color w:val="auto"/>
                      <w:kern w:val="2"/>
                      <w:sz w:val="21"/>
                      <w:szCs w:val="21"/>
                      <w:lang w:val="en-US" w:eastAsia="zh-CN" w:bidi="ar-SA"/>
                      <w:highlight w:val="none"/>
                    </w:rPr>
                    <w:t>目</w:t>
                  </w:r>
                  <w:r>
                    <w:rPr>
                      <w:rFonts w:cs="Times New Roman" w:hint="eastAsia"/>
                      <w:color w:val="auto"/>
                      <w:kern w:val="2"/>
                      <w:sz w:val="21"/>
                      <w:szCs w:val="21"/>
                      <w:lang w:val="en-US" w:eastAsia="zh-CN" w:bidi="ar-SA"/>
                      <w:highlight w:val="none"/>
                    </w:rPr>
                    <w:t>产生的废气主要为</w:t>
                  </w:r>
                  <w:r>
                    <w:rPr>
                      <w:rFonts w:cs="Times New Roman" w:hint="eastAsia"/>
                      <w:color w:val="auto"/>
                      <w:kern w:val="2"/>
                      <w:sz w:val="21"/>
                      <w:szCs w:val="21"/>
                      <w:lang w:val="en-US" w:bidi="ar-SA"/>
                      <w:highlight w:val="none"/>
                    </w:rPr>
                    <w:t>非正常工况下</w:t>
                  </w:r>
                  <w:r>
                    <w:rPr>
                      <w:rFonts w:cs="Times New Roman" w:hint="eastAsia"/>
                      <w:color w:val="auto"/>
                      <w:kern w:val="2"/>
                      <w:sz w:val="21"/>
                      <w:szCs w:val="21"/>
                      <w:lang w:val="en-US" w:eastAsia="zh-CN" w:bidi="ar-SA"/>
                      <w:highlight w:val="none"/>
                    </w:rPr>
                    <w:t>废电池破损产生的硫酸雾，采用</w:t>
                  </w:r>
                  <w:r>
                    <w:rPr>
                      <w:rFonts w:cs="Times New Roman" w:hint="eastAsia"/>
                      <w:color w:val="auto"/>
                      <w:kern w:val="2"/>
                      <w:sz w:val="21"/>
                      <w:szCs w:val="21"/>
                      <w:lang w:val="en-US" w:bidi="ar-SA"/>
                      <w:highlight w:val="none"/>
                    </w:rPr>
                    <w:t>碱喷淋装置进行处理</w:t>
                  </w:r>
                  <w:r>
                    <w:rPr>
                      <w:rFonts w:cs="Times New Roman"/>
                      <w:color w:val="auto"/>
                      <w:kern w:val="2"/>
                      <w:sz w:val="21"/>
                      <w:szCs w:val="21"/>
                      <w:lang w:bidi="ar-SA"/>
                      <w:highlight w:val="none"/>
                    </w:rPr>
                    <w:t>，</w:t>
                  </w:r>
                  <w:r>
                    <w:rPr>
                      <w:rFonts w:cs="Times New Roman" w:hint="eastAsia"/>
                      <w:color w:val="auto"/>
                      <w:kern w:val="2"/>
                      <w:sz w:val="21"/>
                      <w:szCs w:val="21"/>
                      <w:lang w:val="en-US" w:bidi="ar-SA"/>
                      <w:highlight w:val="none"/>
                    </w:rPr>
                    <w:t>处理后通过</w:t>
                  </w:r>
                  <w:r>
                    <w:rPr>
                      <w:rFonts w:ascii="Times New Roman" w:eastAsia="宋体" w:cs="Times New Roman" w:hAnsi="Times New Roman"/>
                      <w:bCs w:val="0"/>
                      <w:color w:val="auto"/>
                      <w:kern w:val="0"/>
                      <w:sz w:val="21"/>
                      <w:szCs w:val="21"/>
                      <w:lang w:val="en-US" w:bidi="ar-SA"/>
                      <w:highlight w:val="none"/>
                    </w:rPr>
                    <w:t>15</w:t>
                  </w:r>
                  <w:r>
                    <w:rPr>
                      <w:rFonts w:ascii="Times New Roman" w:eastAsia="宋体" w:cs="Times New Roman" w:hAnsi="Times New Roman" w:hint="eastAsia"/>
                      <w:bCs w:val="0"/>
                      <w:color w:val="auto"/>
                      <w:kern w:val="0"/>
                      <w:sz w:val="21"/>
                      <w:szCs w:val="21"/>
                      <w:lang w:val="en-US" w:bidi="ar-SA"/>
                      <w:highlight w:val="none"/>
                    </w:rPr>
                    <w:t>m高排气筒排放</w:t>
                  </w:r>
                  <w:r>
                    <w:rPr>
                      <w:rFonts w:ascii="Times New Roman" w:eastAsia="宋体" w:cs="Times New Roman" w:hAnsi="Times New Roman" w:hint="eastAsia"/>
                      <w:bCs w:val="0"/>
                      <w:color w:val="auto"/>
                      <w:kern w:val="0"/>
                      <w:sz w:val="21"/>
                      <w:szCs w:val="21"/>
                      <w:lang w:val="en-US" w:eastAsia="zh-CN" w:bidi="ar-SA"/>
                      <w:highlight w:val="none"/>
                    </w:rPr>
                    <w:t>。</w:t>
                  </w:r>
                  <w:r>
                    <w:rPr>
                      <w:rFonts w:ascii="Times New Roman" w:eastAsia="宋体" w:cs="Times New Roman" w:hAnsi="Times New Roman"/>
                      <w:bCs w:val="0"/>
                      <w:color w:val="auto"/>
                      <w:kern w:val="0"/>
                      <w:sz w:val="21"/>
                      <w:szCs w:val="21"/>
                      <w:lang w:val="en-US" w:eastAsia="zh-CN" w:bidi="ar-SA"/>
                      <w:highlight w:val="none"/>
                    </w:rPr>
                    <w:t>项目</w:t>
                  </w:r>
                  <w:r>
                    <w:rPr>
                      <w:rFonts w:ascii="Times New Roman" w:eastAsia="宋体" w:cs="Times New Roman" w:hAnsi="Times New Roman" w:hint="eastAsia"/>
                      <w:bCs w:val="0"/>
                      <w:color w:val="auto"/>
                      <w:kern w:val="0"/>
                      <w:sz w:val="21"/>
                      <w:szCs w:val="21"/>
                      <w:lang w:val="en-US" w:eastAsia="zh-CN" w:bidi="ar-SA"/>
                      <w:highlight w:val="none"/>
                    </w:rPr>
                    <w:t>废水主要为生活污水，</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val="0"/>
                      <w:color w:val="auto"/>
                      <w:kern w:val="0"/>
                      <w:sz w:val="21"/>
                      <w:szCs w:val="21"/>
                      <w:lang w:val="en-US" w:eastAsia="zh-CN" w:bidi="ar-SA"/>
                      <w:highlight w:val="none"/>
                    </w:rPr>
                    <w:t>。</w:t>
                  </w:r>
                  <w:r>
                    <w:rPr>
                      <w:rFonts w:ascii="Times New Roman" w:eastAsia="宋体" w:cs="Times New Roman" w:hAnsi="Times New Roman"/>
                      <w:bCs w:val="0"/>
                      <w:color w:val="auto"/>
                      <w:kern w:val="0"/>
                      <w:sz w:val="21"/>
                      <w:szCs w:val="21"/>
                      <w:lang w:val="en-US" w:eastAsia="zh-CN" w:bidi="ar-SA"/>
                      <w:highlight w:val="none"/>
                    </w:rPr>
                    <w:t>固体废物全部妥善处置不外排</w:t>
                  </w:r>
                  <w:r>
                    <w:rPr>
                      <w:rFonts w:cs="Times New Roman" w:hint="eastAsia"/>
                      <w:bCs w:val="0"/>
                      <w:color w:val="auto"/>
                      <w:kern w:val="0"/>
                      <w:sz w:val="21"/>
                      <w:szCs w:val="21"/>
                      <w:lang w:val="en-US" w:eastAsia="zh-CN" w:bidi="ar-SA"/>
                      <w:highlight w:val="none"/>
                    </w:rPr>
                    <w:t>。</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环境风险防控</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1、重点监管企业和产业园区周边土壤环境定期开展监督性监测，重点监测重金属和持久性有机污染物。</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2、对于易导致环境风险的有毒有害和易燃易爆物质的生产、使用、排放、贮运等新建、改扩建项目，风险防控措施应满足本评价提出的环境风险管理要求。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3、距离石家庄市栾城区水利局第一供水厂水源地水源地一级保护区较近的项目应重点关注水环境风险应急措施，确保突发事故情况水环境风险物质不进入地下水。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4、入区企业应按照相关要求，组织编制《环境风险应急预案》，成立应急组织机构，定期开展应急演练，提高区域环境风险防范能力。</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 xml:space="preserve">5、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 </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6</w:t>
                  </w:r>
                  <w:r>
                    <w:rPr>
                      <w:rFonts w:ascii="Times New Roman" w:eastAsia="宋体" w:cs="Times New Roman" w:hAnsi="Times New Roman"/>
                      <w:color w:val="auto"/>
                      <w:kern w:val="0"/>
                      <w:sz w:val="21"/>
                      <w:szCs w:val="21"/>
                      <w:lang w:val="en-US" w:eastAsia="zh-CN" w:bidi="ar-SA"/>
                      <w:highlight w:val="none"/>
                    </w:rPr>
                    <w:t>、建设风险较大的储罐距离居住区等环境保护目标应满足以下距离要求：甲醛储罐＞100m，液氨储罐＞20m，甲醇储罐＞10m，液氯储罐＞500m，同时风险较大的储罐还应满足建设项目环评提出的要求。</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auto"/>
                      <w:kern w:val="0"/>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1.项目不属于</w:t>
                  </w:r>
                  <w:r>
                    <w:rPr>
                      <w:rFonts w:ascii="Times New Roman" w:eastAsia="宋体" w:cs="Times New Roman" w:hAnsi="Times New Roman"/>
                      <w:color w:val="auto"/>
                      <w:kern w:val="0"/>
                      <w:sz w:val="21"/>
                      <w:szCs w:val="21"/>
                      <w:lang w:val="en-US" w:eastAsia="zh-CN" w:bidi="ar-SA"/>
                      <w:highlight w:val="none"/>
                    </w:rPr>
                    <w:t>重点监管企业</w:t>
                  </w:r>
                  <w:r>
                    <w:rPr>
                      <w:rFonts w:cs="Times New Roman" w:hint="eastAsia"/>
                      <w:color w:val="auto"/>
                      <w:kern w:val="0"/>
                      <w:sz w:val="21"/>
                      <w:szCs w:val="21"/>
                      <w:lang w:val="en-US" w:eastAsia="zh-CN" w:bidi="ar-SA"/>
                      <w:highlight w:val="none"/>
                    </w:rPr>
                    <w:t>；</w:t>
                  </w:r>
                </w:p>
                <w:p>
                  <w:pPr>
                    <w:rPr>
                      <w:rFonts w:hint="eastAsia"/>
                      <w:color w:val="auto"/>
                      <w:szCs w:val="21"/>
                      <w:highlight w:val="none"/>
                    </w:rPr>
                  </w:pPr>
                  <w:r>
                    <w:rPr>
                      <w:rFonts w:cs="Times New Roman" w:hint="eastAsia"/>
                      <w:color w:val="auto"/>
                      <w:kern w:val="0"/>
                      <w:sz w:val="21"/>
                      <w:szCs w:val="21"/>
                      <w:lang w:val="en-US" w:eastAsia="zh-CN" w:bidi="ar-SA"/>
                      <w:highlight w:val="none"/>
                    </w:rPr>
                    <w:t>2.4.</w:t>
                  </w:r>
                  <w:r>
                    <w:rPr>
                      <w:rFonts w:hint="eastAsia"/>
                      <w:color w:val="auto"/>
                      <w:szCs w:val="21"/>
                      <w:highlight w:val="none"/>
                    </w:rPr>
                    <w:t>项目不涉及有毒有害化学物质使用，项目要求待企业取得批复后，根据要求，成立应急组织机构，定期开展应急演练。</w:t>
                  </w:r>
                </w:p>
                <w:p>
                  <w:pPr>
                    <w:rPr>
                      <w:rFonts w:eastAsia="宋体" w:hint="eastAsia"/>
                      <w:color w:val="auto"/>
                      <w:szCs w:val="21"/>
                      <w:lang w:val="en-US"/>
                      <w:highlight w:val="none"/>
                    </w:rPr>
                  </w:pPr>
                  <w:r>
                    <w:rPr>
                      <w:rFonts w:hint="eastAsia"/>
                      <w:color w:val="auto"/>
                      <w:szCs w:val="21"/>
                      <w:lang w:val="en-US" w:eastAsia="zh-CN"/>
                      <w:highlight w:val="none"/>
                    </w:rPr>
                    <w:t>3.</w:t>
                  </w:r>
                  <w:r>
                    <w:rPr>
                      <w:rFonts w:hint="eastAsia"/>
                      <w:color w:val="auto"/>
                      <w:szCs w:val="21"/>
                      <w:lang w:val="en-US"/>
                      <w:highlight w:val="none"/>
                    </w:rPr>
                    <w:t>不涉及</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hint="eastAsia"/>
                      <w:color w:val="auto"/>
                      <w:szCs w:val="21"/>
                      <w:lang w:val="en-US" w:eastAsia="zh-CN"/>
                      <w:highlight w:val="none"/>
                    </w:rPr>
                    <w:t>5.</w:t>
                  </w:r>
                  <w:r>
                    <w:rPr>
                      <w:rFonts w:ascii="Times New Roman" w:cs="Times New Roman" w:hAnsi="Times New Roman"/>
                      <w:snapToGrid w:val="0"/>
                      <w:color w:val="auto"/>
                      <w:kern w:val="0"/>
                      <w:szCs w:val="21"/>
                      <w:highlight w:val="none"/>
                    </w:rPr>
                    <w:t>项目危险废物暂存于危废间，定期交有资质单位处置</w:t>
                  </w:r>
                  <w:r>
                    <w:rPr>
                      <w:rFonts w:cs="Times New Roman" w:hint="eastAsia"/>
                      <w:snapToGrid w:val="0"/>
                      <w:color w:val="auto"/>
                      <w:kern w:val="0"/>
                      <w:szCs w:val="21"/>
                      <w:lang w:eastAsia="zh-CN"/>
                      <w:highlight w:val="none"/>
                    </w:rPr>
                    <w:t>，</w:t>
                  </w:r>
                  <w:r>
                    <w:rPr>
                      <w:rFonts w:ascii="Times New Roman" w:eastAsia="宋体" w:cs="Times New Roman" w:hAnsi="Times New Roman"/>
                      <w:color w:val="auto"/>
                      <w:kern w:val="0"/>
                      <w:sz w:val="21"/>
                      <w:szCs w:val="21"/>
                      <w:lang w:val="en-US" w:eastAsia="zh-CN" w:bidi="ar-SA"/>
                      <w:highlight w:val="none"/>
                    </w:rPr>
                    <w:t>危险废物转移过程中</w:t>
                  </w:r>
                  <w:r>
                    <w:rPr>
                      <w:rFonts w:cs="Times New Roman" w:hint="eastAsia"/>
                      <w:color w:val="auto"/>
                      <w:kern w:val="0"/>
                      <w:sz w:val="21"/>
                      <w:szCs w:val="21"/>
                      <w:lang w:val="en-US" w:eastAsia="zh-CN" w:bidi="ar-SA"/>
                      <w:highlight w:val="none"/>
                    </w:rPr>
                    <w:t>要求</w:t>
                  </w:r>
                  <w:r>
                    <w:rPr>
                      <w:rFonts w:ascii="Times New Roman" w:eastAsia="宋体" w:cs="Times New Roman" w:hAnsi="Times New Roman"/>
                      <w:color w:val="auto"/>
                      <w:kern w:val="0"/>
                      <w:sz w:val="21"/>
                      <w:szCs w:val="21"/>
                      <w:lang w:val="en-US" w:eastAsia="zh-CN" w:bidi="ar-SA"/>
                      <w:highlight w:val="none"/>
                    </w:rPr>
                    <w:t>采取防扬散、防流失、防渗漏或者其他防止污染环境的措施，不得擅自倾倒、堆放、丢弃、遗撒危险废物。</w:t>
                  </w:r>
                </w:p>
                <w:p>
                  <w:pPr>
                    <w:rPr>
                      <w:rFonts w:eastAsia="宋体"/>
                      <w:color w:val="auto"/>
                      <w:lang w:val="en-US" w:eastAsia="zh-CN"/>
                      <w:highlight w:val="none"/>
                    </w:rPr>
                  </w:pPr>
                  <w:r>
                    <w:rPr>
                      <w:rFonts w:hint="eastAsia"/>
                      <w:color w:val="auto"/>
                      <w:lang w:val="en-US" w:eastAsia="zh-CN"/>
                      <w:highlight w:val="none"/>
                    </w:rPr>
                    <w:t>6.项目不涉及储罐。</w:t>
                  </w:r>
                </w:p>
              </w:tc>
            </w:tr>
            <w:tr>
              <w:trPr>
                <w:trHeight w:val="397"/>
              </w:trPr>
              <w:tc>
                <w:tcPr>
                  <w:tcW w:w="229" w:type="pct"/>
                  <w:vMerge/>
                  <w:tcBorders>
                    <w:tl2br w:val="nil"/>
                    <w:tr2bl w:val="nil"/>
                  </w:tcBorders>
                  <w:vAlign w:val="center"/>
                </w:tcPr>
                <w:p/>
              </w:tc>
              <w:tc>
                <w:tcPr>
                  <w:tcW w:w="356" w:type="pct"/>
                  <w:tcBorders>
                    <w:tl2br w:val="nil"/>
                    <w:tr2bl w:val="nil"/>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资源利用效率</w:t>
                  </w:r>
                </w:p>
              </w:tc>
              <w:tc>
                <w:tcPr>
                  <w:tcW w:w="2261" w:type="pct"/>
                  <w:tcBorders>
                    <w:tl2br w:val="nil"/>
                    <w:tr2bl w:val="nil"/>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1.减少新鲜水用量，提高中水回用率。</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2.禁止新建、扩建采用非清洁燃料的项目和设施。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3.生产用水全部采用南水北调水，禁止新增开采地下水。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4.项目实施后资源和能源消耗量应满足园区划定的土地、水、能源等主要资源能源可开发利用总量上线；河北石家庄装备制造产业园整体能源利用上线：近期52.5万tce，远期 102万tce。水资源利用上线：近期工业新鲜水耗792万m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/a，远期为 1657.65万m</w:t>
                  </w:r>
                  <w:r>
                    <w:rPr>
                      <w:rFonts w:ascii="Times New Roman" w:eastAsia="宋体" w:cs="Times New Roman" w:hAnsi="Times New Roman"/>
                      <w:color w:val="auto"/>
                      <w:kern w:val="0"/>
                      <w:sz w:val="21"/>
                      <w:szCs w:val="21"/>
                      <w:vertAlign w:val="superscript"/>
                      <w:lang w:val="en-US" w:eastAsia="zh-CN" w:bidi="ar-SA"/>
                      <w:highlight w:val="none"/>
                    </w:rPr>
                    <w:t>3</w:t>
                  </w:r>
                  <w:r>
                    <w:rPr>
                      <w:rFonts w:ascii="Times New Roman" w:eastAsia="宋体" w:cs="Times New Roman" w:hAnsi="Times New Roman"/>
                      <w:color w:val="auto"/>
                      <w:kern w:val="0"/>
                      <w:sz w:val="21"/>
                      <w:szCs w:val="21"/>
                      <w:lang w:val="en-US" w:eastAsia="zh-CN" w:bidi="ar-SA"/>
                      <w:highlight w:val="none"/>
                    </w:rPr>
                    <w:t>/a。土地利用上线：近期工业用地面积1169.31hm</w:t>
                  </w:r>
                  <w:r>
                    <w:rPr>
                      <w:rFonts w:ascii="Times New Roman" w:eastAsia="宋体" w:cs="Times New Roman" w:hAnsi="Times New Roman"/>
                      <w:color w:val="auto"/>
                      <w:kern w:val="0"/>
                      <w:sz w:val="21"/>
                      <w:szCs w:val="21"/>
                      <w:vertAlign w:val="super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，远期：2048.96hm</w:t>
                  </w:r>
                  <w:r>
                    <w:rPr>
                      <w:rFonts w:ascii="Times New Roman" w:eastAsia="宋体" w:cs="Times New Roman" w:hAnsi="Times New Roman"/>
                      <w:color w:val="auto"/>
                      <w:kern w:val="0"/>
                      <w:sz w:val="21"/>
                      <w:szCs w:val="21"/>
                      <w:vertAlign w:val="superscript"/>
                      <w:lang w:val="en-US" w:eastAsia="zh-CN" w:bidi="ar-SA"/>
                      <w:highlight w:val="none"/>
                    </w:rPr>
                    <w:t>2</w:t>
                  </w:r>
                  <w:r>
                    <w:rPr>
                      <w:rFonts w:ascii="Times New Roman" w:eastAsia="宋体" w:cs="Times New Roman" w:hAnsi="Times New Roman"/>
                      <w:color w:val="auto"/>
                      <w:kern w:val="0"/>
                      <w:sz w:val="21"/>
                      <w:szCs w:val="21"/>
                      <w:lang w:val="en-US" w:eastAsia="zh-CN" w:bidi="ar-SA"/>
                      <w:highlight w:val="none"/>
                    </w:rPr>
                    <w:t>。</w:t>
                  </w:r>
                </w:p>
              </w:tc>
              <w:tc>
                <w:tcPr>
                  <w:tcW w:w="2152" w:type="pct"/>
                  <w:tcBorders>
                    <w:tl2br w:val="nil"/>
                    <w:tr2bl w:val="nil"/>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auto"/>
                      <w:szCs w:val="21"/>
                      <w:highlight w:val="none"/>
                    </w:rPr>
                  </w:pPr>
                  <w:r>
                    <w:rPr>
                      <w:rFonts w:ascii="Times New Roman" w:cs="Times New Roman" w:hAnsi="Times New Roman" w:hint="eastAsia"/>
                      <w:color w:val="auto"/>
                      <w:sz w:val="21"/>
                      <w:szCs w:val="21"/>
                      <w:lang w:val="en-US" w:eastAsia="zh-CN"/>
                      <w:highlight w:val="none"/>
                    </w:rPr>
                    <w:t>1.3.</w:t>
                  </w:r>
                  <w:r>
                    <w:rPr>
                      <w:rFonts w:cs="Times New Roman" w:hint="eastAsia"/>
                      <w:color w:val="auto"/>
                      <w:szCs w:val="21"/>
                      <w:lang w:val="en-US" w:eastAsia="zh-CN"/>
                      <w:highlight w:val="none"/>
                    </w:rPr>
                    <w:t>项目</w:t>
                  </w:r>
                  <w:r>
                    <w:rPr>
                      <w:rFonts w:ascii="Times New Roman" w:cs="Times New Roman" w:hAnsi="Times New Roman" w:hint="eastAsia"/>
                      <w:color w:val="auto"/>
                      <w:szCs w:val="21"/>
                      <w:lang w:val="en-US" w:eastAsia="zh-CN"/>
                      <w:highlight w:val="none"/>
                    </w:rPr>
                    <w:t>新鲜水</w:t>
                  </w:r>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w:t>
                  </w:r>
                  <w:r>
                    <w:rPr>
                      <w:rFonts w:ascii="Times New Roman" w:cs="Times New Roman" w:hAnsi="Times New Roman" w:hint="eastAsia"/>
                      <w:color w:val="auto"/>
                      <w:szCs w:val="21"/>
                      <w:highlight w:val="none"/>
                    </w:rPr>
                    <w:t>供水管网提供</w:t>
                  </w:r>
                  <w:r>
                    <w:rPr>
                      <w:rFonts w:ascii="Times New Roman" w:cs="Times New Roman" w:hAnsi="Times New Roman" w:hint="eastAsia"/>
                      <w:color w:val="auto"/>
                      <w:szCs w:val="21"/>
                      <w:lang w:eastAsia="zh-CN"/>
                      <w:highlight w:val="none"/>
                    </w:rPr>
                    <w:t>，</w:t>
                  </w:r>
                  <w:r>
                    <w:rPr>
                      <w:rFonts w:ascii="Times New Roman" w:cs="Times New Roman" w:hAnsi="Times New Roman" w:hint="eastAsia"/>
                      <w:color w:val="auto"/>
                      <w:szCs w:val="21"/>
                      <w:lang w:val="en-US" w:eastAsia="zh-CN"/>
                      <w:highlight w:val="none"/>
                    </w:rPr>
                    <w:t>不开采地下水；</w:t>
                  </w:r>
                </w:p>
                <w:p>
                  <w:pPr>
                    <w:rPr>
                      <w:rFonts w:cs="Times New Roman" w:hint="eastAsia"/>
                      <w:color w:val="auto"/>
                      <w:szCs w:val="21"/>
                      <w:lang w:val="en-US" w:eastAsia="zh-CN"/>
                      <w:highlight w:val="none"/>
                    </w:rPr>
                  </w:pPr>
                  <w:r>
                    <w:rPr>
                      <w:rFonts w:cs="Times New Roman" w:hint="eastAsia"/>
                      <w:color w:val="auto"/>
                      <w:szCs w:val="21"/>
                      <w:lang w:val="en-US" w:eastAsia="zh-CN"/>
                      <w:highlight w:val="none"/>
                    </w:rPr>
                    <w:t>2.项目不涉及燃料的使用；</w:t>
                  </w:r>
                </w:p>
                <w:p>
                  <w:pPr>
                    <w:rPr>
                      <w:rFonts w:eastAsia="宋体"/>
                      <w:color w:val="auto"/>
                      <w:lang w:val="en-US" w:eastAsia="zh-CN"/>
                      <w:highlight w:val="none"/>
                    </w:rPr>
                  </w:pPr>
                  <w:r>
                    <w:rPr>
                      <w:rFonts w:cs="Times New Roman" w:hint="eastAsia"/>
                      <w:color w:val="auto"/>
                      <w:szCs w:val="21"/>
                      <w:lang w:val="en-US" w:eastAsia="zh-CN"/>
                      <w:highlight w:val="none"/>
                    </w:rPr>
                    <w:t>4.</w:t>
                  </w:r>
                  <w:r>
                    <w:rPr>
                      <w:rFonts w:cs="Times New Roman"/>
                      <w:color w:val="auto"/>
                      <w:szCs w:val="21"/>
                      <w:lang w:val="en-US" w:eastAsia="zh-CN"/>
                      <w:highlight w:val="none"/>
                    </w:rPr>
                    <w:t>项目用电</w:t>
                  </w:r>
                  <w:r>
                    <w:rPr>
                      <w:rFonts w:cs="Times New Roman" w:hint="eastAsia"/>
                      <w:color w:val="auto"/>
                      <w:szCs w:val="21"/>
                      <w:lang w:val="en-US" w:eastAsia="zh-CN"/>
                      <w:highlight w:val="none"/>
                    </w:rPr>
                    <w:t>由园区供电管网提供</w:t>
                  </w:r>
                  <w:r>
                    <w:rPr>
                      <w:rFonts w:cs="Times New Roman"/>
                      <w:color w:val="auto"/>
                      <w:szCs w:val="21"/>
                      <w:lang w:val="en-US" w:eastAsia="zh-CN"/>
                      <w:highlight w:val="none"/>
                    </w:rPr>
                    <w:t>；项目占地为工业用地。项目所用原辅料、水、电等在生产过程中均尽可能做到合理利用和节约能耗，资源消耗均未超出区域负荷上限，符合资源利用上线要求。</w:t>
                  </w:r>
                </w:p>
              </w:tc>
            </w:tr>
          </w:tbl>
          <w:p>
            <w:pPr>
              <w:pStyle w:val="56"/>
              <w:rPr>
                <w:rFonts w:ascii="Times New Roman" w:cs="Times New Roman" w:hAnsi="Times New Roman"/>
                <w:color w:val="auto"/>
                <w:highlight w:val="none"/>
              </w:rPr>
            </w:pPr>
          </w:p>
        </w:tc>
      </w:tr>
      <w:tr>
        <w:trPr>
          <w:trHeight w:val="90"/>
        </w:trPr>
        <w:tc>
          <w:tcPr>
            <w:tcW w:w="931" w:type="pct"/>
            <w:tcMar>
              <w:left w:w="108" w:type="dxa"/>
            </w:tcMar>
            <w:vAlign w:val="center"/>
          </w:tcPr>
          <w:p>
            <w:pPr>
              <w:autoSpaceDE w:val="0"/>
              <w:autoSpaceDN w:val="0"/>
              <w:adjustRightInd w:val="0"/>
              <w:snapToGrid w:val="0"/>
              <w:jc w:val="center"/>
              <w:rPr>
                <w:rFonts w:ascii="Times New Roman" w:cs="Times New Roman" w:hAnsi="Times New Roman"/>
                <w:color w:val="auto"/>
                <w:kern w:val="0"/>
                <w:sz w:val="24"/>
                <w:highlight w:val="none"/>
              </w:rPr>
            </w:pPr>
            <w:r>
              <w:rPr>
                <w:rFonts w:ascii="Times New Roman" w:cs="Times New Roman" w:hAnsi="Times New Roman"/>
                <w:color w:val="auto"/>
                <w:kern w:val="0"/>
                <w:sz w:val="24"/>
                <w:highlight w:val="none"/>
              </w:rPr>
              <w:t>其他符合性分析</w:t>
            </w:r>
          </w:p>
        </w:tc>
        <w:tc>
          <w:tcPr>
            <w:tcW w:w="4068" w:type="pct"/>
            <w:gridSpan w:val="4"/>
            <w:tcBorders>
              <w:left w:val="single" w:sz="4" w:space="0" w:color="auto"/>
            </w:tcBorders>
            <w:tcMar>
              <w:left w:w="108" w:type="dxa"/>
            </w:tcMar>
            <w:vAlign w:val="center"/>
          </w:tcPr>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1、产业政策符合性分析</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（1）对照《产业结构调整指导目录（2024年本）》中相关规定，项目不属于其规定的限制类与淘汰类项目，</w:t>
            </w:r>
            <w:r>
              <w:rPr>
                <w:rFonts w:ascii="Times New Roman" w:cs="Times New Roman" w:hAnsi="Times New Roman"/>
                <w:color w:val="auto"/>
                <w:kern w:val="0"/>
                <w:sz w:val="24"/>
                <w:highlight w:val="none"/>
              </w:rPr>
              <w:t>不涉及限制类及淘汰类设备，</w:t>
            </w:r>
            <w:r>
              <w:rPr>
                <w:rFonts w:ascii="Times New Roman" w:cs="Times New Roman" w:hAnsi="Times New Roman"/>
                <w:color w:val="auto"/>
                <w:sz w:val="24"/>
                <w:highlight w:val="none"/>
              </w:rPr>
              <w:t>符合产业结构调整指导目录的要求；</w:t>
            </w:r>
          </w:p>
          <w:p>
            <w:pPr>
              <w:widowControl/>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（2）对照《市场准入负面清单（202</w:t>
            </w:r>
            <w:r>
              <w:rPr>
                <w:rFonts w:cs="Times New Roman" w:hint="eastAsia"/>
                <w:color w:val="auto"/>
                <w:sz w:val="24"/>
                <w:lang w:val="en-US" w:eastAsia="zh-CN"/>
                <w:highlight w:val="none"/>
              </w:rPr>
              <w:t>5</w:t>
            </w:r>
            <w:r>
              <w:rPr>
                <w:rFonts w:ascii="Times New Roman" w:cs="Times New Roman" w:hAnsi="Times New Roman"/>
                <w:color w:val="auto"/>
                <w:sz w:val="24"/>
                <w:highlight w:val="none"/>
              </w:rPr>
              <w:t>年版）》中相关规定，项目不属于负面清单中的禁止类项目，符合市场准入要求；</w:t>
            </w:r>
          </w:p>
          <w:p>
            <w:pPr>
              <w:widowControl/>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cs="Times New Roman" w:hint="eastAsia"/>
                <w:color w:val="auto"/>
                <w:sz w:val="24"/>
                <w:lang w:val="en-US" w:eastAsia="zh-CN"/>
                <w:highlight w:val="none"/>
              </w:rPr>
              <w:t>3</w:t>
            </w:r>
            <w:r>
              <w:rPr>
                <w:rFonts w:ascii="Times New Roman" w:cs="Times New Roman" w:hAnsi="Times New Roman"/>
                <w:color w:val="auto"/>
                <w:sz w:val="24"/>
                <w:highlight w:val="none"/>
              </w:rPr>
              <w:t>）对照《环境保护综合名录（2021年版）》中相关规定，项目</w:t>
            </w:r>
            <w:r>
              <w:rPr>
                <w:rFonts w:cs="Times New Roman" w:hint="eastAsia"/>
                <w:color w:val="auto"/>
                <w:sz w:val="24"/>
                <w:lang w:eastAsia="zh-CN"/>
                <w:highlight w:val="none"/>
              </w:rPr>
              <w:t>未列入“高污染、高环境风险”产品名录</w:t>
            </w:r>
            <w:r>
              <w:rPr>
                <w:rFonts w:ascii="Times New Roman" w:cs="Times New Roman" w:hAnsi="Times New Roman"/>
                <w:color w:val="auto"/>
                <w:sz w:val="24"/>
                <w:highlight w:val="none"/>
              </w:rPr>
              <w:t>，符合</w:t>
            </w:r>
            <w:r>
              <w:rPr>
                <w:rFonts w:cs="Times New Roman" w:hint="eastAsia"/>
                <w:color w:val="auto"/>
                <w:sz w:val="24"/>
                <w:lang w:eastAsia="zh-CN"/>
                <w:highlight w:val="none"/>
              </w:rPr>
              <w:t>发展</w:t>
            </w:r>
            <w:r>
              <w:rPr>
                <w:rFonts w:ascii="Times New Roman" w:cs="Times New Roman" w:hAnsi="Times New Roman"/>
                <w:color w:val="auto"/>
                <w:sz w:val="24"/>
                <w:highlight w:val="none"/>
              </w:rPr>
              <w:t>要求；</w:t>
            </w:r>
          </w:p>
          <w:p>
            <w:pPr>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w:t>
            </w:r>
            <w:r>
              <w:rPr>
                <w:rFonts w:cs="Times New Roman" w:hint="eastAsia"/>
                <w:color w:val="auto"/>
                <w:sz w:val="24"/>
                <w:lang w:val="en-US" w:eastAsia="zh-CN"/>
                <w:highlight w:val="none"/>
              </w:rPr>
              <w:t>4</w:t>
            </w:r>
            <w:r>
              <w:rPr>
                <w:rFonts w:ascii="Times New Roman" w:cs="Times New Roman" w:hAnsi="Times New Roman"/>
                <w:color w:val="auto"/>
                <w:sz w:val="24"/>
                <w:highlight w:val="none"/>
              </w:rPr>
              <w:t>）项目已在</w:t>
            </w:r>
            <w:r>
              <w:rPr>
                <w:rFonts w:cs="Times New Roman" w:hint="eastAsia"/>
                <w:color w:val="auto"/>
                <w:sz w:val="24"/>
                <w:lang w:val="en-US" w:eastAsia="zh-CN"/>
                <w:highlight w:val="none"/>
              </w:rPr>
              <w:t>河北石家庄装备制造产业园管理委员会</w:t>
            </w:r>
            <w:r>
              <w:rPr>
                <w:rFonts w:ascii="Times New Roman" w:cs="Times New Roman" w:hAnsi="Times New Roman"/>
                <w:color w:val="auto"/>
                <w:sz w:val="24"/>
                <w:highlight w:val="none"/>
              </w:rPr>
              <w:t>备案，备案编号：</w:t>
            </w:r>
            <w:r>
              <w:rPr>
                <w:rFonts w:hint="eastAsia"/>
                <w:color w:val="auto"/>
                <w:sz w:val="24"/>
                <w:szCs w:val="24"/>
                <w:lang w:eastAsia="zh-CN"/>
              </w:rPr>
              <w:t>装管委投资备字〔2026〕58号</w:t>
            </w:r>
            <w:r>
              <w:rPr>
                <w:rFonts w:ascii="Times New Roman" w:cs="Times New Roman" w:hAnsi="Times New Roman"/>
                <w:color w:val="auto"/>
                <w:sz w:val="24"/>
                <w:highlight w:val="none"/>
              </w:rPr>
              <w:t>，项目代码为：</w:t>
            </w:r>
            <w:r>
              <w:rPr>
                <w:rFonts w:ascii="Times New Roman" w:eastAsia="宋体" w:cs="Times New Roman" w:hAnsi="Times New Roman"/>
                <w:color w:val="auto"/>
                <w:sz w:val="24"/>
                <w:szCs w:val="24"/>
                <w:lang w:val="en-US" w:eastAsia="zh-CN"/>
              </w:rPr>
              <w:t>2605-130168-89-01-978873</w:t>
            </w:r>
            <w:r>
              <w:rPr>
                <w:rFonts w:ascii="Times New Roman" w:cs="Times New Roman" w:hAnsi="Times New Roman"/>
                <w:color w:val="auto"/>
                <w:sz w:val="24"/>
                <w:highlight w:val="none"/>
              </w:rPr>
              <w:t>。</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综上所述，项目建设符合国家和地方相关产业政策的要求。</w:t>
            </w:r>
          </w:p>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2、选址合理性分析</w:t>
            </w:r>
          </w:p>
          <w:p>
            <w:pPr>
              <w:keepNext w:val="0"/>
              <w:keepLines w:val="0"/>
              <w:pageBreakBefore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w:t>
            </w:r>
            <w:r>
              <w:rPr>
                <w:rFonts w:hint="eastAsia"/>
                <w:color w:val="auto"/>
                <w:sz w:val="24"/>
                <w:highlight w:val="none"/>
              </w:rPr>
              <w:t>项目位于</w:t>
            </w:r>
            <w:r>
              <w:rPr>
                <w:rFonts w:cs="Times New Roman" w:hint="eastAsia"/>
                <w:color w:val="auto"/>
                <w:sz w:val="24"/>
                <w:lang w:eastAsia="zh-CN"/>
                <w:highlight w:val="none"/>
              </w:rPr>
              <w:t>石家庄市栾城区装备制造基地楼底镇段家营村裕翔街168号103厂房（南）</w:t>
            </w:r>
            <w:r>
              <w:rPr>
                <w:rFonts w:hint="eastAsia"/>
                <w:color w:val="auto"/>
                <w:sz w:val="24"/>
                <w:highlight w:val="none"/>
              </w:rPr>
              <w:t>，项目租赁河北泽豪环保新材料科技有限公司闲置库房和两间办公室，根据中华人民共和国不动产权证书（冀（2016）栾城区不动产权第0000959号），占地为工业用地，符合用地规划</w:t>
            </w:r>
            <w:r>
              <w:rPr>
                <w:rFonts w:ascii="Times New Roman" w:eastAsia="宋体" w:cs="Times New Roman" w:hAnsi="Times New Roman"/>
                <w:color w:val="auto"/>
                <w:sz w:val="24"/>
                <w:highlight w:val="none"/>
              </w:rPr>
              <w:t>。</w:t>
            </w:r>
          </w:p>
          <w:p>
            <w:pPr>
              <w:adjustRightInd w:val="0"/>
              <w:snapToGrid w:val="0"/>
              <w:spacing w:line="460" w:lineRule="exact"/>
              <w:ind w:firstLineChars="200" w:firstLine="480"/>
              <w:rPr>
                <w:rFonts w:ascii="Times New Roman" w:cs="Times New Roman" w:hAnsi="Times New Roman"/>
                <w:color w:val="auto"/>
                <w:kern w:val="0"/>
                <w:sz w:val="24"/>
                <w:highlight w:val="none"/>
              </w:rPr>
            </w:pPr>
            <w:r>
              <w:rPr>
                <w:rFonts w:ascii="Times New Roman" w:cs="Times New Roman" w:hAnsi="Times New Roman"/>
                <w:color w:val="auto"/>
                <w:sz w:val="24"/>
                <w:highlight w:val="none"/>
              </w:rPr>
              <w:t>（2）项目所在区域附近无国家、省、市规定的自然保护区、风景名胜区等环境敏感区</w:t>
            </w:r>
            <w:r>
              <w:rPr>
                <w:rFonts w:ascii="Times New Roman" w:cs="Times New Roman" w:hAnsi="Times New Roman"/>
                <w:color w:val="auto"/>
                <w:kern w:val="0"/>
                <w:sz w:val="24"/>
                <w:highlight w:val="none"/>
              </w:rPr>
              <w:t>，不在</w:t>
            </w:r>
            <w:r>
              <w:rPr>
                <w:rFonts w:ascii="Times New Roman" w:cs="Times New Roman" w:hAnsi="Times New Roman"/>
                <w:color w:val="auto"/>
                <w:sz w:val="24"/>
                <w:highlight w:val="none"/>
              </w:rPr>
              <w:t>生态保护红线</w:t>
            </w:r>
            <w:r>
              <w:rPr>
                <w:rFonts w:ascii="Times New Roman" w:cs="Times New Roman" w:hAnsi="Times New Roman"/>
                <w:color w:val="auto"/>
                <w:kern w:val="0"/>
                <w:sz w:val="24"/>
                <w:highlight w:val="none"/>
              </w:rPr>
              <w:t>范围内，不存在明显环境制约因素，与周边环境相容。</w:t>
            </w:r>
          </w:p>
          <w:p>
            <w:pPr>
              <w:adjustRightInd w:val="0"/>
              <w:snapToGrid w:val="0"/>
              <w:spacing w:line="460" w:lineRule="exact"/>
              <w:ind w:firstLineChars="200" w:firstLine="480"/>
              <w:rPr>
                <w:rFonts w:ascii="Times New Roman" w:eastAsia="宋体" w:cs="Times New Roman" w:hAnsi="Times New Roman" w:hint="eastAsia"/>
                <w:color w:val="auto"/>
                <w:kern w:val="0"/>
                <w:sz w:val="24"/>
                <w:lang w:eastAsia="zh-CN"/>
                <w:highlight w:val="none"/>
              </w:rPr>
            </w:pPr>
            <w:r>
              <w:rPr>
                <w:rFonts w:cs="Times New Roman" w:hint="eastAsia"/>
                <w:color w:val="auto"/>
                <w:kern w:val="0"/>
                <w:sz w:val="24"/>
                <w:lang w:eastAsia="zh-CN"/>
                <w:highlight w:val="none"/>
              </w:rPr>
              <w:t>（</w:t>
            </w:r>
            <w:r>
              <w:rPr>
                <w:rFonts w:cs="Times New Roman" w:hint="eastAsia"/>
                <w:color w:val="auto"/>
                <w:kern w:val="0"/>
                <w:sz w:val="24"/>
                <w:lang w:val="en-US" w:eastAsia="zh-CN"/>
                <w:highlight w:val="none"/>
              </w:rPr>
              <w:t>3</w:t>
            </w:r>
            <w:r>
              <w:rPr>
                <w:rFonts w:cs="Times New Roman" w:hint="eastAsia"/>
                <w:color w:val="auto"/>
                <w:kern w:val="0"/>
                <w:sz w:val="24"/>
                <w:lang w:eastAsia="zh-CN"/>
                <w:highlight w:val="none"/>
              </w:rPr>
              <w:t>）项目选址符合《危险废物贮存污染控制标准》（GB 18597-2023）《废旧电池回收技术规范》（</w:t>
            </w:r>
            <w:r>
              <w:rPr>
                <w:rFonts w:cs="Times New Roman" w:hint="eastAsia"/>
                <w:color w:val="auto"/>
                <w:kern w:val="0"/>
                <w:sz w:val="24"/>
                <w:lang w:val="en-US" w:eastAsia="zh-CN"/>
                <w:highlight w:val="none"/>
              </w:rPr>
              <w:t>GB/T 39224-2020</w:t>
            </w:r>
            <w:r>
              <w:rPr>
                <w:rFonts w:cs="Times New Roman" w:hint="eastAsia"/>
                <w:color w:val="auto"/>
                <w:kern w:val="0"/>
                <w:sz w:val="24"/>
                <w:lang w:eastAsia="zh-CN"/>
                <w:highlight w:val="none"/>
              </w:rPr>
              <w:t>）等相关要求。</w:t>
            </w:r>
          </w:p>
          <w:p>
            <w:pPr>
              <w:pStyle w:val="16"/>
              <w:spacing w:line="460" w:lineRule="exact"/>
              <w:rPr>
                <w:rFonts w:ascii="Times New Roman" w:cs="Times New Roman" w:hAnsi="Times New Roman"/>
                <w:color w:val="auto"/>
                <w:sz w:val="24"/>
                <w:highlight w:val="none"/>
              </w:rPr>
            </w:pPr>
            <w:r>
              <w:rPr>
                <w:rFonts w:ascii="Times New Roman" w:cs="Times New Roman" w:hAnsi="Times New Roman"/>
                <w:color w:val="auto"/>
                <w:sz w:val="24"/>
                <w:highlight w:val="none"/>
              </w:rPr>
              <w:t>综上所述，项目选址合理。</w:t>
            </w:r>
          </w:p>
          <w:p>
            <w:pPr>
              <w:adjustRightInd w:val="0"/>
              <w:snapToGrid w:val="0"/>
              <w:spacing w:line="460" w:lineRule="exact"/>
              <w:ind w:firstLineChars="200" w:firstLine="480"/>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3、</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三线一单</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符合性分析</w:t>
            </w:r>
          </w:p>
          <w:p>
            <w:pPr>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（1）</w:t>
            </w:r>
            <w:r>
              <w:rPr>
                <w:rFonts w:ascii="Times New Roman" w:cs="Times New Roman" w:hAnsi="Times New Roman"/>
                <w:caps w:val="0"/>
                <w:smallCaps w:val="0"/>
                <w:color w:val="auto"/>
                <w:spacing w:val="0"/>
                <w:sz w:val="24"/>
                <w:szCs w:val="20"/>
                <w:highlight w:val="none"/>
              </w:rPr>
              <w:t>根据《关于以改善环境质量为核心加强环境影响评价管理的通知》（环环评[2016]150号），</w:t>
            </w:r>
            <w:r>
              <w:rPr>
                <w:rFonts w:ascii="Times New Roman" w:cs="Times New Roman" w:hAnsi="Times New Roman"/>
                <w:color w:val="auto"/>
                <w:sz w:val="24"/>
                <w:highlight w:val="none"/>
              </w:rPr>
              <w:t>项目与</w:t>
            </w:r>
            <w:r>
              <w:rPr>
                <w:rFonts w:cs="Times New Roman" w:hint="eastAsia"/>
                <w:color w:val="auto"/>
                <w:sz w:val="24"/>
                <w:lang w:eastAsia="zh-CN"/>
                <w:highlight w:val="none"/>
              </w:rPr>
              <w:t>“</w:t>
            </w:r>
            <w:r>
              <w:rPr>
                <w:rFonts w:ascii="Times New Roman" w:cs="Times New Roman" w:hAnsi="Times New Roman"/>
                <w:color w:val="auto"/>
                <w:sz w:val="24"/>
                <w:highlight w:val="none"/>
              </w:rPr>
              <w:t>三线一单</w:t>
            </w:r>
            <w:r>
              <w:rPr>
                <w:rFonts w:cs="Times New Roman" w:hint="eastAsia"/>
                <w:color w:val="auto"/>
                <w:sz w:val="24"/>
                <w:lang w:eastAsia="zh-CN"/>
                <w:highlight w:val="none"/>
              </w:rPr>
              <w:t>”</w:t>
            </w:r>
            <w:r>
              <w:rPr>
                <w:rFonts w:ascii="Times New Roman" w:cs="Times New Roman" w:hAnsi="Times New Roman"/>
                <w:color w:val="auto"/>
                <w:sz w:val="24"/>
                <w:highlight w:val="none"/>
              </w:rPr>
              <w:t>符合性见下：</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7</w:t>
            </w:r>
            <w:r>
              <w:rPr>
                <w:rFonts w:ascii="Times New Roman" w:cs="Times New Roman" w:hAnsi="Times New Roman"/>
                <w:b/>
                <w:bCs/>
                <w:color w:val="auto"/>
                <w:sz w:val="24"/>
                <w:highlight w:val="none"/>
              </w:rPr>
              <w:t xml:space="preserve">  项目</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三线一单</w:t>
            </w:r>
            <w:r>
              <w:rPr>
                <w:rFonts w:cs="Times New Roman" w:hint="eastAsia"/>
                <w:b/>
                <w:bCs/>
                <w:color w:val="auto"/>
                <w:sz w:val="24"/>
                <w:lang w:eastAsia="zh-CN"/>
                <w:highlight w:val="none"/>
              </w:rPr>
              <w:t>”</w:t>
            </w:r>
            <w:r>
              <w:rPr>
                <w:rFonts w:ascii="Times New Roman" w:cs="Times New Roman" w:hAnsi="Times New Roman"/>
                <w:b/>
                <w:bCs/>
                <w:color w:val="auto"/>
                <w:sz w:val="24"/>
                <w:highlight w:val="none"/>
              </w:rPr>
              <w:t>情况分析表</w:t>
            </w:r>
          </w:p>
          <w:tbl>
            <w:tblPr>
              <w:jc w:val="left"/>
              <w:tblInd w:w="5" w:type="dxa"/>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0"/>
              <w:gridCol w:w="3096"/>
              <w:gridCol w:w="2742"/>
              <w:gridCol w:w="1090"/>
            </w:tblGrid>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内容</w:t>
                  </w:r>
                </w:p>
              </w:tc>
              <w:tc>
                <w:tcPr>
                  <w:tcW w:w="203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cs="Times New Roman" w:hint="eastAsia"/>
                      <w:color w:val="auto"/>
                      <w:szCs w:val="21"/>
                      <w:lang w:eastAsia="zh-CN"/>
                      <w:highlight w:val="none"/>
                    </w:rPr>
                    <w:t>“</w:t>
                  </w:r>
                  <w:r>
                    <w:rPr>
                      <w:rFonts w:ascii="Times New Roman" w:cs="Times New Roman" w:hAnsi="Times New Roman"/>
                      <w:color w:val="auto"/>
                      <w:szCs w:val="21"/>
                      <w:highlight w:val="none"/>
                    </w:rPr>
                    <w:t>三线一单</w:t>
                  </w:r>
                  <w:r>
                    <w:rPr>
                      <w:rFonts w:cs="Times New Roman" w:hint="eastAsia"/>
                      <w:color w:val="auto"/>
                      <w:szCs w:val="21"/>
                      <w:lang w:eastAsia="zh-CN"/>
                      <w:highlight w:val="none"/>
                    </w:rPr>
                    <w:t>”</w:t>
                  </w:r>
                  <w:r>
                    <w:rPr>
                      <w:rFonts w:ascii="Times New Roman" w:cs="Times New Roman" w:hAnsi="Times New Roman"/>
                      <w:color w:val="auto"/>
                      <w:szCs w:val="21"/>
                      <w:highlight w:val="none"/>
                    </w:rPr>
                    <w:t>要求</w:t>
                  </w:r>
                </w:p>
              </w:tc>
              <w:tc>
                <w:tcPr>
                  <w:tcW w:w="1804"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项目情况</w:t>
                  </w:r>
                </w:p>
              </w:tc>
              <w:tc>
                <w:tcPr>
                  <w:tcW w:w="71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是否符合相关要求</w:t>
                  </w:r>
                </w:p>
              </w:tc>
            </w:tr>
            <w:tr>
              <w:trPr>
                <w:trHeight w:val="96"/>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生态保护红线</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804" w:type="pct"/>
                  <w:tcBorders>
                    <w:tl2br w:val="nil"/>
                    <w:tr2bl w:val="nil"/>
                  </w:tcBorders>
                  <w:vAlign w:val="center"/>
                </w:tcPr>
                <w:p>
                  <w:pPr>
                    <w:adjustRightInd w:val="0"/>
                    <w:snapToGrid w:val="0"/>
                    <w:rPr>
                      <w:rFonts w:ascii="Times New Roman" w:eastAsia="宋体" w:cs="Times New Roman" w:hAnsi="Times New Roman"/>
                      <w:color w:val="auto"/>
                      <w:szCs w:val="21"/>
                      <w:highlight w:val="none"/>
                    </w:rPr>
                  </w:pPr>
                  <w:r>
                    <w:rPr>
                      <w:rFonts w:ascii="Times New Roman" w:eastAsia="宋体" w:cs="Times New Roman" w:hAnsi="Times New Roman"/>
                      <w:color w:val="auto"/>
                      <w:szCs w:val="21"/>
                      <w:highlight w:val="none"/>
                    </w:rPr>
                    <w:t>项目位于河北省</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color w:val="auto"/>
                      <w:szCs w:val="21"/>
                      <w:highlight w:val="none"/>
                    </w:rPr>
                    <w:t>，项目不在石家庄市生态保护红线区范围内。</w:t>
                  </w:r>
                </w:p>
              </w:tc>
              <w:tc>
                <w:tcPr>
                  <w:tcW w:w="717" w:type="pct"/>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eastAsia="zh-CN"/>
                      <w:highlight w:val="none"/>
                    </w:rPr>
                  </w:pPr>
                  <w:r>
                    <w:rPr>
                      <w:rFonts w:ascii="Times New Roman" w:eastAsia="宋体" w:cs="Times New Roman" w:hAnsi="Times New Roman" w:hint="eastAsia"/>
                      <w:color w:val="auto"/>
                      <w:szCs w:val="21"/>
                      <w:lang w:val="en-US" w:eastAsia="zh-CN"/>
                      <w:highlight w:val="none"/>
                    </w:rPr>
                    <w:t>是</w:t>
                  </w:r>
                </w:p>
              </w:tc>
            </w:tr>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环境质量底线</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1804" w:type="pct"/>
                  <w:tcBorders>
                    <w:tl2br w:val="nil"/>
                    <w:tr2bl w:val="nil"/>
                  </w:tcBorders>
                  <w:vAlign w:val="center"/>
                </w:tcPr>
                <w:p>
                  <w:pPr>
                    <w:adjustRightInd w:val="0"/>
                    <w:snapToGrid w:val="0"/>
                    <w:rPr>
                      <w:rFonts w:ascii="Times New Roman" w:eastAsia="宋体" w:cs="Times New Roman" w:hAnsi="Times New Roman" w:hint="eastAsia"/>
                      <w:color w:val="auto"/>
                      <w:szCs w:val="21"/>
                      <w:lang w:eastAsia="zh-CN"/>
                      <w:highlight w:val="none"/>
                    </w:rPr>
                  </w:pPr>
                  <w:r>
                    <w:rPr>
                      <w:rFonts w:ascii="Times New Roman" w:eastAsia="宋体" w:cs="Times New Roman" w:hAnsi="Times New Roman" w:hint="eastAsia"/>
                      <w:color w:val="auto"/>
                      <w:szCs w:val="21"/>
                      <w:highlight w:val="none"/>
                    </w:rPr>
                    <w:t>①环境空气：项目所在区域环境空气为二类功能区，执行《环境空气质量标准》（GB 3095-2026）二级标准及修改单要求</w:t>
                  </w:r>
                  <w:r>
                    <w:rPr>
                      <w:rFonts w:ascii="Times New Roman" w:eastAsia="宋体" w:cs="Times New Roman" w:hAnsi="Times New Roman" w:hint="eastAsia"/>
                      <w:color w:val="auto"/>
                      <w:szCs w:val="21"/>
                      <w:lang w:eastAsia="zh-CN"/>
                      <w:highlight w:val="none"/>
                    </w:rPr>
                    <w:t>。</w:t>
                  </w:r>
                </w:p>
                <w:p>
                  <w:pPr>
                    <w:adjustRightInd w:val="0"/>
                    <w:snapToGrid w:val="0"/>
                    <w:rPr>
                      <w:rFonts w:ascii="Times New Roman" w:eastAsia="宋体" w:cs="Times New Roman" w:hAnsi="Times New Roman" w:hint="eastAsia"/>
                      <w:color w:val="auto"/>
                      <w:szCs w:val="21"/>
                      <w:highlight w:val="none"/>
                    </w:rPr>
                  </w:pPr>
                  <w:r>
                    <w:rPr>
                      <w:rFonts w:ascii="Times New Roman" w:eastAsia="宋体" w:cs="Times New Roman" w:hAnsi="Times New Roman" w:hint="eastAsia"/>
                      <w:color w:val="auto"/>
                      <w:szCs w:val="21"/>
                      <w:highlight w:val="none"/>
                    </w:rPr>
                    <w:t>②水环境：项目所在区域附近无地表水体，</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ascii="Times New Roman" w:eastAsia="宋体" w:cs="Times New Roman" w:hAnsi="Times New Roman" w:hint="eastAsia"/>
                      <w:color w:val="auto"/>
                      <w:szCs w:val="21"/>
                      <w:highlight w:val="none"/>
                    </w:rPr>
                    <w:t>，根据石家庄市生态环境局202</w:t>
                  </w:r>
                  <w:r>
                    <w:rPr>
                      <w:rFonts w:ascii="Times New Roman" w:eastAsia="宋体" w:cs="Times New Roman" w:hAnsi="Times New Roman" w:hint="eastAsia"/>
                      <w:color w:val="auto"/>
                      <w:szCs w:val="21"/>
                      <w:lang w:val="en-US" w:eastAsia="zh-CN"/>
                      <w:highlight w:val="none"/>
                    </w:rPr>
                    <w:t>5</w:t>
                  </w:r>
                  <w:r>
                    <w:rPr>
                      <w:rFonts w:ascii="Times New Roman" w:eastAsia="宋体" w:cs="Times New Roman" w:hAnsi="Times New Roman" w:hint="eastAsia"/>
                      <w:color w:val="auto"/>
                      <w:szCs w:val="21"/>
                      <w:highlight w:val="none"/>
                    </w:rPr>
                    <w:t>年6月发布的《202</w:t>
                  </w:r>
                  <w:r>
                    <w:rPr>
                      <w:rFonts w:ascii="Times New Roman" w:eastAsia="宋体" w:cs="Times New Roman" w:hAnsi="Times New Roman" w:hint="eastAsia"/>
                      <w:color w:val="auto"/>
                      <w:szCs w:val="21"/>
                      <w:lang w:val="en-US" w:eastAsia="zh-CN"/>
                      <w:highlight w:val="none"/>
                    </w:rPr>
                    <w:t>4</w:t>
                  </w:r>
                  <w:r>
                    <w:rPr>
                      <w:rFonts w:ascii="Times New Roman" w:eastAsia="宋体" w:cs="Times New Roman" w:hAnsi="Times New Roman" w:hint="eastAsia"/>
                      <w:color w:val="auto"/>
                      <w:szCs w:val="21"/>
                      <w:highlight w:val="none"/>
                    </w:rPr>
                    <w:t>年石家庄市生态环境状况公报》洨河水质状况轻度污染。</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i w:val="0"/>
                      <w:iCs w:val="0"/>
                      <w:caps w:val="0"/>
                      <w:smallCaps w:val="0"/>
                      <w:color w:val="auto"/>
                      <w:spacing w:val="0"/>
                      <w:sz w:val="21"/>
                      <w:szCs w:val="21"/>
                      <w:shd w:val="clear" w:color="auto" w:fill="FFFFFF"/>
                      <w:lang w:val="en-US" w:eastAsia="zh-CN"/>
                      <w:highlight w:val="none"/>
                    </w:rPr>
                    <w:t>。</w:t>
                  </w:r>
                </w:p>
                <w:p>
                  <w:pPr>
                    <w:adjustRightInd w:val="0"/>
                    <w:snapToGrid w:val="0"/>
                    <w:rPr>
                      <w:rFonts w:ascii="Times New Roman" w:eastAsia="宋体" w:cs="Times New Roman" w:hAnsi="Times New Roman" w:hint="eastAsia"/>
                      <w:color w:val="auto"/>
                      <w:szCs w:val="21"/>
                      <w:highlight w:val="none"/>
                    </w:rPr>
                  </w:pPr>
                  <w:r>
                    <w:rPr>
                      <w:rFonts w:ascii="Times New Roman" w:eastAsia="宋体" w:cs="Times New Roman" w:hAnsi="Times New Roman" w:hint="eastAsia"/>
                      <w:color w:val="auto"/>
                      <w:szCs w:val="21"/>
                      <w:highlight w:val="none"/>
                    </w:rPr>
                    <w:t>③声环境：项目所在区域为</w:t>
                  </w:r>
                  <w:r>
                    <w:rPr>
                      <w:rFonts w:ascii="Times New Roman" w:eastAsia="宋体" w:cs="Times New Roman" w:hAnsi="Times New Roman" w:hint="eastAsia"/>
                      <w:color w:val="auto"/>
                      <w:szCs w:val="21"/>
                      <w:lang w:val="en-US" w:eastAsia="zh-CN"/>
                      <w:highlight w:val="none"/>
                    </w:rPr>
                    <w:t>3</w:t>
                  </w:r>
                  <w:r>
                    <w:rPr>
                      <w:rFonts w:ascii="Times New Roman" w:eastAsia="宋体" w:cs="Times New Roman" w:hAnsi="Times New Roman" w:hint="eastAsia"/>
                      <w:color w:val="auto"/>
                      <w:szCs w:val="21"/>
                      <w:highlight w:val="none"/>
                    </w:rPr>
                    <w:t>类声环境功能区。声环境质量现状执行《声环境质量标准》（GB3096-2008）中相关标准要求。根据预测，项目噪声采取措施后，达标排放。</w:t>
                  </w:r>
                </w:p>
                <w:p>
                  <w:pPr>
                    <w:adjustRightInd w:val="0"/>
                    <w:snapToGrid w:val="0"/>
                    <w:rPr>
                      <w:rFonts w:ascii="Times New Roman" w:eastAsia="宋体" w:cs="Times New Roman" w:hAnsi="Times New Roman"/>
                      <w:color w:val="auto"/>
                      <w:szCs w:val="21"/>
                      <w:highlight w:val="none"/>
                    </w:rPr>
                  </w:pPr>
                  <w:r>
                    <w:rPr>
                      <w:rFonts w:ascii="Times New Roman" w:eastAsia="宋体" w:cs="Times New Roman" w:hAnsi="Times New Roman" w:hint="eastAsia"/>
                      <w:color w:val="auto"/>
                      <w:szCs w:val="21"/>
                      <w:highlight w:val="none"/>
                    </w:rPr>
                    <w:t>④土壤环境：项目</w:t>
                  </w:r>
                  <w:r>
                    <w:rPr>
                      <w:rFonts w:ascii="Times New Roman" w:eastAsia="宋体" w:cs="Times New Roman" w:hAnsi="Times New Roman" w:hint="eastAsia"/>
                      <w:color w:val="auto"/>
                      <w:szCs w:val="21"/>
                      <w:lang w:val="en-US" w:eastAsia="zh-CN"/>
                      <w:highlight w:val="none"/>
                    </w:rPr>
                    <w:t>租赁现有厂房进行生产</w:t>
                  </w:r>
                  <w:r>
                    <w:rPr>
                      <w:rFonts w:ascii="Times New Roman" w:eastAsia="宋体" w:cs="Times New Roman" w:hAnsi="Times New Roman" w:hint="eastAsia"/>
                      <w:color w:val="auto"/>
                      <w:szCs w:val="21"/>
                      <w:highlight w:val="none"/>
                    </w:rPr>
                    <w:t>，</w:t>
                  </w:r>
                  <w:r>
                    <w:rPr>
                      <w:rFonts w:ascii="Times New Roman" w:eastAsia="宋体" w:cs="Times New Roman" w:hAnsi="Times New Roman" w:hint="eastAsia"/>
                      <w:color w:val="auto"/>
                      <w:szCs w:val="21"/>
                      <w:lang w:val="en-US" w:eastAsia="zh-CN"/>
                      <w:highlight w:val="none"/>
                    </w:rPr>
                    <w:t>厂房</w:t>
                  </w:r>
                  <w:r>
                    <w:rPr>
                      <w:rFonts w:ascii="Times New Roman" w:eastAsia="宋体" w:cs="Times New Roman" w:hAnsi="Times New Roman" w:hint="eastAsia"/>
                      <w:color w:val="auto"/>
                      <w:szCs w:val="21"/>
                      <w:highlight w:val="none"/>
                    </w:rPr>
                    <w:t>采取分区防渗措施，不存在地表漫流和垂直入渗的污染途径。项目固废均得到合理处置，不会突破土壤环境质量底线。</w:t>
                  </w:r>
                </w:p>
              </w:tc>
              <w:tc>
                <w:tcPr>
                  <w:tcW w:w="717" w:type="pct"/>
                  <w:tcBorders>
                    <w:tl2br w:val="nil"/>
                    <w:tr2bl w:val="nil"/>
                  </w:tcBorders>
                  <w:vAlign w:val="center"/>
                </w:tcPr>
                <w:p>
                  <w:pPr>
                    <w:adjustRightInd w:val="0"/>
                    <w:snapToGrid w:val="0"/>
                    <w:jc w:val="center"/>
                    <w:rPr>
                      <w:rFonts w:ascii="Times New Roman" w:eastAsia="宋体" w:cs="Times New Roman" w:hAnsi="Times New Roman"/>
                      <w:color w:val="auto"/>
                      <w:szCs w:val="21"/>
                      <w:highlight w:val="none"/>
                    </w:rPr>
                  </w:pPr>
                  <w:r>
                    <w:rPr>
                      <w:rFonts w:ascii="Times New Roman" w:eastAsia="宋体" w:cs="Times New Roman" w:hAnsi="Times New Roman"/>
                      <w:color w:val="auto"/>
                      <w:szCs w:val="21"/>
                      <w:highlight w:val="none"/>
                    </w:rPr>
                    <w:t>符合</w:t>
                  </w:r>
                </w:p>
              </w:tc>
            </w:tr>
            <w:tr>
              <w:trPr>
                <w:trHeight w:val="1041"/>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bookmarkStart w:id="14" w:name="_Hlk161668570"/>
                  <w:r>
                    <w:rPr>
                      <w:rFonts w:ascii="Times New Roman" w:cs="Times New Roman" w:hAnsi="Times New Roman"/>
                      <w:color w:val="auto"/>
                      <w:szCs w:val="21"/>
                      <w:highlight w:val="none"/>
                    </w:rPr>
                    <w:t>资源利用上线</w:t>
                  </w:r>
                  <w:bookmarkEnd w:id="14"/>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资源利用上线是各地区能源、水、土地等资源消耗不得突破的</w:t>
                  </w:r>
                  <w:r>
                    <w:rPr>
                      <w:rFonts w:cs="Times New Roman" w:hint="eastAsia"/>
                      <w:color w:val="auto"/>
                      <w:szCs w:val="21"/>
                      <w:lang w:eastAsia="zh-CN"/>
                      <w:highlight w:val="none"/>
                    </w:rPr>
                    <w:t>“</w:t>
                  </w:r>
                  <w:r>
                    <w:rPr>
                      <w:rFonts w:ascii="Times New Roman" w:cs="Times New Roman" w:hAnsi="Times New Roman"/>
                      <w:color w:val="auto"/>
                      <w:szCs w:val="21"/>
                      <w:highlight w:val="none"/>
                    </w:rPr>
                    <w:t>天花板</w:t>
                  </w:r>
                  <w:r>
                    <w:rPr>
                      <w:rFonts w:cs="Times New Roman" w:hint="eastAsia"/>
                      <w:color w:val="auto"/>
                      <w:szCs w:val="21"/>
                      <w:lang w:eastAsia="zh-CN"/>
                      <w:highlight w:val="none"/>
                    </w:rPr>
                    <w:t>”</w:t>
                  </w:r>
                  <w:r>
                    <w:rPr>
                      <w:rFonts w:ascii="Times New Roman" w:cs="Times New Roman" w:hAnsi="Times New Roman"/>
                      <w:color w:val="auto"/>
                      <w:szCs w:val="21"/>
                      <w:highlight w:val="none"/>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804"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项目用电</w:t>
                  </w:r>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园区供电</w:t>
                  </w:r>
                  <w:r>
                    <w:rPr>
                      <w:rFonts w:ascii="Times New Roman" w:cs="Times New Roman" w:hAnsi="Times New Roman" w:hint="eastAsia"/>
                      <w:color w:val="auto"/>
                      <w:szCs w:val="21"/>
                      <w:highlight w:val="none"/>
                    </w:rPr>
                    <w:t>管网提供</w:t>
                  </w:r>
                  <w:r>
                    <w:rPr>
                      <w:rFonts w:ascii="Times New Roman" w:cs="Times New Roman" w:hAnsi="Times New Roman"/>
                      <w:color w:val="auto"/>
                      <w:szCs w:val="21"/>
                      <w:highlight w:val="none"/>
                    </w:rPr>
                    <w:t>；</w:t>
                  </w:r>
                  <w:bookmarkStart w:id="15" w:name="_Hlk161668598"/>
                  <w:r>
                    <w:rPr>
                      <w:rFonts w:ascii="Times New Roman" w:cs="Times New Roman" w:hAnsi="Times New Roman"/>
                      <w:color w:val="auto"/>
                      <w:szCs w:val="21"/>
                      <w:highlight w:val="none"/>
                    </w:rPr>
                    <w:t>项目</w:t>
                  </w:r>
                  <w:r>
                    <w:rPr>
                      <w:rFonts w:ascii="Times New Roman" w:cs="Times New Roman" w:hAnsi="Times New Roman" w:hint="eastAsia"/>
                      <w:color w:val="auto"/>
                      <w:szCs w:val="21"/>
                      <w:lang w:val="en-US" w:eastAsia="zh-CN"/>
                      <w:highlight w:val="none"/>
                    </w:rPr>
                    <w:t>新鲜水</w:t>
                  </w:r>
                  <w:bookmarkEnd w:id="15"/>
                  <w:r>
                    <w:rPr>
                      <w:rFonts w:ascii="Times New Roman" w:cs="Times New Roman" w:hAnsi="Times New Roman" w:hint="eastAsia"/>
                      <w:color w:val="auto"/>
                      <w:szCs w:val="21"/>
                      <w:highlight w:val="none"/>
                    </w:rPr>
                    <w:t>由</w:t>
                  </w:r>
                  <w:r>
                    <w:rPr>
                      <w:rFonts w:ascii="Times New Roman" w:cs="Times New Roman" w:hAnsi="Times New Roman" w:hint="eastAsia"/>
                      <w:color w:val="auto"/>
                      <w:szCs w:val="21"/>
                      <w:lang w:val="en-US" w:eastAsia="zh-CN"/>
                      <w:highlight w:val="none"/>
                    </w:rPr>
                    <w:t>园区</w:t>
                  </w:r>
                  <w:r>
                    <w:rPr>
                      <w:rFonts w:ascii="Times New Roman" w:cs="Times New Roman" w:hAnsi="Times New Roman" w:hint="eastAsia"/>
                      <w:color w:val="auto"/>
                      <w:szCs w:val="21"/>
                      <w:highlight w:val="none"/>
                    </w:rPr>
                    <w:t>供水管网提供</w:t>
                  </w:r>
                  <w:r>
                    <w:rPr>
                      <w:rFonts w:ascii="Times New Roman" w:cs="Times New Roman" w:hAnsi="Times New Roman"/>
                      <w:color w:val="auto"/>
                      <w:szCs w:val="21"/>
                      <w:highlight w:val="none"/>
                    </w:rPr>
                    <w:t>；项目占地为工业用地。项目所用原辅料、水、电等在生产过程中均尽可能做到合理利用和节约能耗，资源消耗均未超出区域负荷上限，符合资源利用上线要求。</w:t>
                  </w:r>
                </w:p>
              </w:tc>
              <w:tc>
                <w:tcPr>
                  <w:tcW w:w="717" w:type="pct"/>
                  <w:tcBorders>
                    <w:tl2br w:val="nil"/>
                    <w:tr2bl w:val="nil"/>
                  </w:tcBorders>
                  <w:vAlign w:val="center"/>
                </w:tcPr>
                <w:p>
                  <w:pPr>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97"/>
              </w:trPr>
              <w:tc>
                <w:tcPr>
                  <w:tcW w:w="441"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环境准入负面清单</w:t>
                  </w:r>
                </w:p>
              </w:tc>
              <w:tc>
                <w:tcPr>
                  <w:tcW w:w="2037"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804" w:type="pct"/>
                  <w:tcBorders>
                    <w:tl2br w:val="nil"/>
                    <w:tr2bl w:val="nil"/>
                  </w:tcBorders>
                  <w:vAlign w:val="center"/>
                </w:tcPr>
                <w:p>
                  <w:pPr>
                    <w:adjustRightInd w:val="0"/>
                    <w:snapToGrid w:val="0"/>
                    <w:rPr>
                      <w:rFonts w:ascii="Times New Roman" w:cs="Times New Roman" w:hAnsi="Times New Roman"/>
                      <w:color w:val="auto"/>
                      <w:szCs w:val="21"/>
                      <w:highlight w:val="none"/>
                    </w:rPr>
                  </w:pPr>
                  <w:r>
                    <w:rPr>
                      <w:rFonts w:ascii="Times New Roman" w:cs="Times New Roman" w:hAnsi="Times New Roman"/>
                      <w:color w:val="auto"/>
                      <w:szCs w:val="21"/>
                      <w:highlight w:val="none"/>
                    </w:rPr>
                    <w:t>项目符合国家及地方相关产业政策要求，未被列入国家环境准入负面清单，不在有关环境政策规定的准入负面清单内。</w:t>
                  </w:r>
                </w:p>
              </w:tc>
              <w:tc>
                <w:tcPr>
                  <w:tcW w:w="717" w:type="pc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bl>
          <w:p>
            <w:pPr>
              <w:adjustRightInd w:val="0"/>
              <w:snapToGrid w:val="0"/>
              <w:spacing w:line="500" w:lineRule="exact"/>
              <w:ind w:firstLineChars="200" w:firstLine="480"/>
              <w:rPr>
                <w:rFonts w:hint="eastAsia"/>
                <w:color w:val="auto"/>
                <w:sz w:val="24"/>
                <w:highlight w:val="none"/>
              </w:rPr>
            </w:pPr>
            <w:r>
              <w:rPr>
                <w:color w:val="auto"/>
                <w:sz w:val="24"/>
                <w:highlight w:val="none"/>
              </w:rPr>
              <w:t>综上所述，项目符合</w:t>
            </w:r>
            <w:r>
              <w:rPr>
                <w:rFonts w:hint="eastAsia"/>
                <w:color w:val="auto"/>
                <w:sz w:val="24"/>
                <w:lang w:eastAsia="zh-CN"/>
                <w:highlight w:val="none"/>
              </w:rPr>
              <w:t>“</w:t>
            </w:r>
            <w:r>
              <w:rPr>
                <w:color w:val="auto"/>
                <w:sz w:val="24"/>
                <w:highlight w:val="none"/>
              </w:rPr>
              <w:t>三线一单</w:t>
            </w:r>
            <w:r>
              <w:rPr>
                <w:rFonts w:hint="eastAsia"/>
                <w:color w:val="auto"/>
                <w:sz w:val="24"/>
                <w:lang w:eastAsia="zh-CN"/>
                <w:highlight w:val="none"/>
              </w:rPr>
              <w:t>”</w:t>
            </w:r>
            <w:r>
              <w:rPr>
                <w:color w:val="auto"/>
                <w:sz w:val="24"/>
                <w:highlight w:val="none"/>
              </w:rPr>
              <w:t>的相关要求。</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
                <w:bCs/>
                <w:color w:val="auto"/>
                <w:sz w:val="24"/>
                <w:highlight w:val="none"/>
              </w:rPr>
            </w:pPr>
            <w:r>
              <w:rPr>
                <w:rFonts w:hint="eastAsia"/>
                <w:b/>
                <w:bCs/>
                <w:color w:val="auto"/>
                <w:sz w:val="24"/>
                <w:lang w:val="en-US" w:eastAsia="zh-CN"/>
                <w:highlight w:val="none"/>
              </w:rPr>
              <w:t>4</w:t>
            </w:r>
            <w:r>
              <w:rPr>
                <w:rFonts w:hint="eastAsia"/>
                <w:b/>
                <w:bCs/>
                <w:color w:val="auto"/>
                <w:sz w:val="24"/>
                <w:highlight w:val="none"/>
              </w:rPr>
              <w:t>、项目与《石家庄市生态环境准入清单（2023年版）》符合性分析</w:t>
            </w:r>
          </w:p>
          <w:p>
            <w:pPr>
              <w:keepNext w:val="0"/>
              <w:keepLines w:val="0"/>
              <w:suppressLineNumbers w:val="0"/>
              <w:adjustRightInd w:val="0"/>
              <w:snapToGrid w:val="0"/>
              <w:spacing w:before="0" w:beforeAutospacing="0" w:after="0" w:afterAutospacing="0" w:line="500" w:lineRule="exact"/>
              <w:ind w:left="0" w:right="0" w:firstLineChars="200" w:firstLine="480"/>
              <w:rPr>
                <w:rFonts w:hint="eastAsia"/>
                <w:color w:val="auto"/>
                <w:sz w:val="24"/>
                <w:szCs w:val="20"/>
                <w:highlight w:val="none"/>
              </w:rPr>
            </w:pPr>
            <w:r>
              <w:rPr>
                <w:rFonts w:hint="eastAsia"/>
                <w:color w:val="auto"/>
                <w:sz w:val="24"/>
                <w:highlight w:val="none"/>
              </w:rPr>
              <w:t>项目位于河北省</w:t>
            </w:r>
            <w:r>
              <w:rPr>
                <w:rFonts w:hint="eastAsia"/>
                <w:color w:val="auto"/>
                <w:sz w:val="24"/>
                <w:lang w:eastAsia="zh-CN"/>
                <w:highlight w:val="none"/>
              </w:rPr>
              <w:t>石家庄市栾城区装备制造基地楼底镇段家营村裕翔街168号103厂房（南）</w:t>
            </w:r>
            <w:r>
              <w:rPr>
                <w:rFonts w:hint="eastAsia"/>
                <w:color w:val="auto"/>
                <w:sz w:val="24"/>
                <w:highlight w:val="none"/>
              </w:rPr>
              <w:t>，</w:t>
            </w:r>
            <w:r>
              <w:rPr>
                <w:rFonts w:hint="eastAsia"/>
                <w:color w:val="auto"/>
                <w:sz w:val="24"/>
                <w:szCs w:val="20"/>
                <w:highlight w:val="none"/>
              </w:rPr>
              <w:t>根据</w:t>
            </w:r>
            <w:r>
              <w:rPr>
                <w:rFonts w:hint="eastAsia"/>
                <w:color w:val="auto"/>
                <w:sz w:val="24"/>
                <w:szCs w:val="20"/>
                <w:lang w:val="en-US" w:eastAsia="zh-CN"/>
                <w:highlight w:val="none"/>
              </w:rPr>
              <w:t>2024年4月28日更新的</w:t>
            </w:r>
            <w:r>
              <w:rPr>
                <w:rFonts w:hint="eastAsia"/>
                <w:color w:val="auto"/>
                <w:sz w:val="24"/>
                <w:szCs w:val="20"/>
                <w:highlight w:val="none"/>
              </w:rPr>
              <w:t>《石家庄市生态环境准入清单（2023年版）》及河北省环评预约挂号服务平台-</w:t>
            </w:r>
            <w:r>
              <w:rPr>
                <w:color w:val="auto"/>
                <w:sz w:val="24"/>
                <w:szCs w:val="20"/>
                <w:highlight w:val="none"/>
              </w:rPr>
              <w:t>三线一单</w:t>
            </w:r>
            <w:r>
              <w:rPr>
                <w:rFonts w:hint="eastAsia"/>
                <w:color w:val="auto"/>
                <w:sz w:val="24"/>
                <w:szCs w:val="20"/>
                <w:highlight w:val="none"/>
              </w:rPr>
              <w:t>查询，石家庄市、栾城区重点管控单元生态环境准入清单如下：</w:t>
            </w:r>
          </w:p>
          <w:p>
            <w:pPr>
              <w:pStyle w:val="16"/>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hint="eastAsia"/>
                <w:b/>
                <w:bCs/>
                <w:color w:val="auto"/>
                <w:kern w:val="2"/>
                <w:sz w:val="24"/>
                <w:szCs w:val="24"/>
                <w:lang w:val="en-US" w:eastAsia="zh-CN" w:bidi="ar-SA"/>
                <w:highlight w:val="none"/>
              </w:rPr>
              <w:t>表1-</w:t>
            </w:r>
            <w:r>
              <w:rPr>
                <w:rFonts w:ascii="Times New Roman" w:cs="Times New Roman" w:hAnsi="Times New Roman" w:hint="eastAsia"/>
                <w:b/>
                <w:bCs/>
                <w:color w:val="auto"/>
                <w:kern w:val="2"/>
                <w:sz w:val="24"/>
                <w:szCs w:val="24"/>
                <w:lang w:val="en-US" w:eastAsia="zh-CN" w:bidi="ar-SA"/>
                <w:highlight w:val="none"/>
              </w:rPr>
              <w:t>8</w:t>
            </w:r>
            <w:r>
              <w:rPr>
                <w:rFonts w:ascii="Times New Roman" w:eastAsia="宋体" w:cs="Times New Roman" w:hAnsi="Times New Roman" w:hint="eastAsia"/>
                <w:b/>
                <w:bCs/>
                <w:color w:val="auto"/>
                <w:kern w:val="2"/>
                <w:sz w:val="24"/>
                <w:szCs w:val="24"/>
                <w:lang w:val="en-US" w:eastAsia="zh-CN" w:bidi="ar-SA"/>
                <w:highlight w:val="none"/>
              </w:rPr>
              <w:t xml:space="preserve">  </w:t>
            </w:r>
            <w:r>
              <w:rPr>
                <w:rFonts w:ascii="Times New Roman" w:cs="Times New Roman" w:hAnsi="Times New Roman" w:hint="eastAsia"/>
                <w:b/>
                <w:bCs/>
                <w:color w:val="auto"/>
                <w:kern w:val="2"/>
                <w:sz w:val="24"/>
                <w:szCs w:val="24"/>
                <w:lang w:val="en-US" w:eastAsia="zh-CN" w:bidi="ar-SA"/>
                <w:highlight w:val="none"/>
              </w:rPr>
              <w:t>项目与</w:t>
            </w:r>
            <w:r>
              <w:rPr>
                <w:rFonts w:hint="eastAsia"/>
                <w:b/>
                <w:bCs/>
                <w:color w:val="auto"/>
                <w:sz w:val="24"/>
                <w:highlight w:val="none"/>
              </w:rPr>
              <w:t>石家庄市生态环境准入清单</w:t>
            </w:r>
            <w:r>
              <w:rPr>
                <w:rFonts w:hint="eastAsia"/>
                <w:b/>
                <w:bCs/>
                <w:color w:val="auto"/>
                <w:sz w:val="24"/>
                <w:lang w:val="en-US" w:eastAsia="zh-CN"/>
                <w:highlight w:val="none"/>
              </w:rPr>
              <w:t>符合性分析一览表</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12"/>
              <w:gridCol w:w="158"/>
              <w:gridCol w:w="710"/>
              <w:gridCol w:w="2573"/>
              <w:gridCol w:w="2462"/>
              <w:gridCol w:w="988"/>
            </w:tblGrid>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全市生态环境准入综合管控要求</w:t>
                  </w:r>
                </w:p>
              </w:tc>
            </w:tr>
            <w:tr>
              <w:trPr>
                <w:trHeight w:val="397"/>
              </w:trPr>
              <w:tc>
                <w:tcPr>
                  <w:tcW w:w="572"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重点区域</w:t>
                  </w:r>
                </w:p>
              </w:tc>
              <w:tc>
                <w:tcPr>
                  <w:tcW w:w="2159"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管控策略</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全市域</w:t>
                  </w:r>
                </w:p>
              </w:tc>
              <w:tc>
                <w:tcPr>
                  <w:tcW w:w="2159" w:type="pct"/>
                  <w:gridSpan w:val="2"/>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1、优化产业结构。落实国家、省、市产业政策，严格</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项目环评审批，落实区域削减要求，推进减污降碳协同控制。</w:t>
                  </w:r>
                </w:p>
                <w:p>
                  <w:pPr>
                    <w:adjustRightInd w:val="0"/>
                    <w:snapToGrid w:val="0"/>
                    <w:rPr>
                      <w:rFonts w:hint="eastAsia"/>
                      <w:color w:val="auto"/>
                      <w:szCs w:val="21"/>
                      <w:highlight w:val="none"/>
                    </w:rPr>
                  </w:pPr>
                  <w:r>
                    <w:rPr>
                      <w:rFonts w:hint="eastAsia"/>
                      <w:color w:val="auto"/>
                      <w:szCs w:val="21"/>
                      <w:highlight w:val="none"/>
                    </w:rPr>
                    <w:t>2、强化产业入园。优化园区布局，提升园区规划、环评实效性，提升园区资源利用效率和绿色低碳水平，加强新建项目入园，严格现有分散企业污染管控。</w:t>
                  </w:r>
                </w:p>
              </w:tc>
              <w:tc>
                <w:tcPr>
                  <w:tcW w:w="1619"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1、项目不属于</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项目，属于《产业结构调整指导目录（2024年本）》中的允许类项目，项目已在河北石家庄装备制造产业园管理委员会备案，符合国家、地方产业政策；</w:t>
                  </w:r>
                </w:p>
                <w:p>
                  <w:pPr>
                    <w:adjustRightInd w:val="0"/>
                    <w:snapToGrid w:val="0"/>
                    <w:rPr>
                      <w:rFonts w:hint="eastAsia"/>
                      <w:color w:val="auto"/>
                      <w:szCs w:val="21"/>
                      <w:highlight w:val="none"/>
                    </w:rPr>
                  </w:pPr>
                  <w:r>
                    <w:rPr>
                      <w:rFonts w:hint="eastAsia"/>
                      <w:color w:val="auto"/>
                      <w:szCs w:val="21"/>
                      <w:highlight w:val="none"/>
                    </w:rPr>
                    <w:t>2、</w:t>
                  </w:r>
                  <w:r>
                    <w:rPr>
                      <w:rFonts w:ascii="Times New Roman" w:cs="Times New Roman" w:hAnsi="Times New Roman"/>
                      <w:b w:val="0"/>
                      <w:bCs w:val="0"/>
                      <w:color w:val="auto"/>
                      <w:highlight w:val="none"/>
                    </w:rPr>
                    <w:t>项目位于</w:t>
                  </w:r>
                  <w:r>
                    <w:rPr>
                      <w:rFonts w:cs="Times New Roman" w:hint="eastAsia"/>
                      <w:color w:val="auto"/>
                      <w:szCs w:val="21"/>
                      <w:lang w:val="en-US" w:eastAsia="zh-CN"/>
                      <w:highlight w:val="none"/>
                    </w:rPr>
                    <w:t>石家庄市栾城区装备制造基地楼底镇段家营村裕翔街168号103厂房（南）</w:t>
                  </w:r>
                  <w:r>
                    <w:rPr>
                      <w:rFonts w:ascii="Times New Roman" w:cs="Times New Roman" w:hAnsi="Times New Roman"/>
                      <w:b w:val="0"/>
                      <w:bCs w:val="0"/>
                      <w:color w:val="auto"/>
                      <w:highlight w:val="none"/>
                    </w:rPr>
                    <w:t>，位于</w:t>
                  </w:r>
                  <w:r>
                    <w:rPr>
                      <w:rFonts w:ascii="Times New Roman" w:cs="Times New Roman" w:hAnsi="Times New Roman"/>
                      <w:color w:val="auto"/>
                      <w:highlight w:val="none"/>
                    </w:rPr>
                    <w:t>河北石家庄装备制造产业园西部片区</w:t>
                  </w:r>
                  <w:r>
                    <w:rPr>
                      <w:rFonts w:ascii="Times New Roman" w:cs="Times New Roman" w:hAnsi="Times New Roman"/>
                      <w:b w:val="0"/>
                      <w:bCs w:val="0"/>
                      <w:color w:val="auto"/>
                      <w:highlight w:val="none"/>
                    </w:rPr>
                    <w:t>规划范围内</w:t>
                  </w:r>
                  <w:r>
                    <w:rPr>
                      <w:rFonts w:hint="eastAsia"/>
                      <w:color w:val="auto"/>
                      <w:szCs w:val="21"/>
                      <w:highlight w:val="none"/>
                    </w:rPr>
                    <w:t>。</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地下水重点管控区</w:t>
                  </w:r>
                </w:p>
              </w:tc>
              <w:tc>
                <w:tcPr>
                  <w:tcW w:w="2159" w:type="pct"/>
                  <w:gridSpan w:val="2"/>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1619" w:type="pct"/>
                  <w:tcBorders>
                    <w:tl2br w:val="nil"/>
                    <w:tr2bl w:val="nil"/>
                  </w:tcBorders>
                  <w:vAlign w:val="center"/>
                </w:tcPr>
                <w:p>
                  <w:pPr>
                    <w:widowControl/>
                    <w:adjustRightInd w:val="0"/>
                    <w:snapToGrid w:val="0"/>
                    <w:jc w:val="center"/>
                    <w:rPr>
                      <w:rFonts w:hint="eastAsia"/>
                      <w:color w:val="auto"/>
                      <w:szCs w:val="21"/>
                      <w:highlight w:val="none"/>
                    </w:rPr>
                  </w:pPr>
                  <w:r>
                    <w:rPr>
                      <w:rFonts w:hint="eastAsia"/>
                      <w:color w:val="auto"/>
                      <w:szCs w:val="21"/>
                      <w:highlight w:val="none"/>
                    </w:rPr>
                    <w:t>项目用水</w:t>
                  </w:r>
                  <w:r>
                    <w:rPr>
                      <w:rFonts w:hint="eastAsia"/>
                      <w:color w:val="auto"/>
                      <w:szCs w:val="21"/>
                      <w:lang w:eastAsia="zh-CN"/>
                      <w:highlight w:val="none"/>
                    </w:rPr>
                    <w:t>由园区供水管网提供</w:t>
                  </w:r>
                  <w:r>
                    <w:rPr>
                      <w:rFonts w:hint="eastAsia"/>
                      <w:color w:val="auto"/>
                      <w:szCs w:val="21"/>
                      <w:highlight w:val="none"/>
                    </w:rPr>
                    <w:t>，不开采地下水。</w:t>
                  </w:r>
                </w:p>
              </w:tc>
              <w:tc>
                <w:tcPr>
                  <w:tcW w:w="648" w:type="pct"/>
                  <w:tcBorders>
                    <w:tl2br w:val="nil"/>
                    <w:tr2bl w:val="nil"/>
                  </w:tcBorders>
                  <w:vAlign w:val="center"/>
                </w:tcPr>
                <w:p>
                  <w:pPr>
                    <w:widowControl/>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全市水环境总体管控要求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分类</w:t>
                  </w:r>
                </w:p>
              </w:tc>
              <w:tc>
                <w:tcPr>
                  <w:tcW w:w="466"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管控类型</w:t>
                  </w:r>
                </w:p>
              </w:tc>
              <w:tc>
                <w:tcPr>
                  <w:tcW w:w="1692"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vMerge w:val="restar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水环境其他重点管控区</w:t>
                  </w:r>
                </w:p>
              </w:tc>
              <w:tc>
                <w:tcPr>
                  <w:tcW w:w="466"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空间布局约束</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1、针对断流河道优先保障水生态流量和生态安全。</w:t>
                  </w:r>
                </w:p>
                <w:p>
                  <w:pPr>
                    <w:adjustRightInd w:val="0"/>
                    <w:snapToGrid w:val="0"/>
                    <w:rPr>
                      <w:rFonts w:hint="eastAsia"/>
                      <w:color w:val="auto"/>
                      <w:szCs w:val="21"/>
                      <w:highlight w:val="none"/>
                    </w:rPr>
                  </w:pPr>
                  <w:r>
                    <w:rPr>
                      <w:rFonts w:hint="eastAsia"/>
                      <w:color w:val="auto"/>
                      <w:szCs w:val="21"/>
                      <w:highlight w:val="none"/>
                    </w:rPr>
                    <w:t>2、调整和优化产业结构，严格按照区域环境承载能力，合理规划居住区与工业功能区。</w:t>
                  </w:r>
                </w:p>
              </w:tc>
              <w:tc>
                <w:tcPr>
                  <w:tcW w:w="1619" w:type="pct"/>
                  <w:tcBorders>
                    <w:tl2br w:val="nil"/>
                    <w:tr2bl w:val="nil"/>
                  </w:tcBorders>
                  <w:vAlign w:val="center"/>
                </w:tcPr>
                <w:p>
                  <w:pPr>
                    <w:adjustRightInd w:val="0"/>
                    <w:snapToGrid w:val="0"/>
                    <w:jc w:val="both"/>
                    <w:rPr>
                      <w:color w:val="auto"/>
                      <w:szCs w:val="21"/>
                      <w:highlight w:val="none"/>
                    </w:rPr>
                  </w:pPr>
                  <w:r>
                    <w:rPr>
                      <w:rFonts w:hint="eastAsia"/>
                      <w:color w:val="auto"/>
                      <w:szCs w:val="21"/>
                      <w:highlight w:val="none"/>
                    </w:rPr>
                    <w:t>项目所在区域附近无地表水体，</w:t>
                  </w:r>
                  <w:r>
                    <w:rPr>
                      <w:rFonts w:hint="eastAsia"/>
                      <w:color w:val="auto"/>
                      <w:sz w:val="21"/>
                      <w:szCs w:val="21"/>
                      <w:highlight w:val="none"/>
                    </w:rPr>
                    <w:t>距离项目最近的水体为</w:t>
                  </w:r>
                  <w:r>
                    <w:rPr>
                      <w:rFonts w:hint="eastAsia"/>
                      <w:color w:val="auto"/>
                      <w:sz w:val="21"/>
                      <w:szCs w:val="21"/>
                      <w:lang w:val="en-US" w:eastAsia="zh-CN"/>
                      <w:highlight w:val="none"/>
                    </w:rPr>
                    <w:t>东侧370m的</w:t>
                  </w:r>
                  <w:r>
                    <w:rPr>
                      <w:rFonts w:hint="eastAsia"/>
                      <w:color w:val="auto"/>
                      <w:sz w:val="21"/>
                      <w:szCs w:val="21"/>
                      <w:lang w:eastAsia="zh-CN"/>
                      <w:highlight w:val="none"/>
                    </w:rPr>
                    <w:t>总退水渠</w:t>
                  </w:r>
                  <w:r>
                    <w:rPr>
                      <w:rFonts w:hint="eastAsia"/>
                      <w:color w:val="auto"/>
                      <w:sz w:val="21"/>
                      <w:szCs w:val="21"/>
                      <w:lang w:val="en-US" w:eastAsia="zh-CN"/>
                      <w:highlight w:val="none"/>
                    </w:rPr>
                    <w:t>及西南侧350m的</w:t>
                  </w:r>
                  <w:r>
                    <w:rPr>
                      <w:rFonts w:hint="eastAsia"/>
                      <w:color w:val="auto"/>
                      <w:sz w:val="21"/>
                      <w:szCs w:val="21"/>
                      <w:highlight w:val="none"/>
                    </w:rPr>
                    <w:t>洨河</w:t>
                  </w:r>
                  <w:r>
                    <w:rPr>
                      <w:rFonts w:hint="eastAsia"/>
                      <w:color w:val="auto"/>
                      <w:szCs w:val="21"/>
                      <w:highlight w:val="none"/>
                    </w:rPr>
                    <w:t>，用地属于工业用地未在居民区，满足居住区与工业功能区分离要求。</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vMerge/>
                  <w:tcBorders>
                    <w:tl2br w:val="nil"/>
                    <w:tr2bl w:val="nil"/>
                  </w:tcBorders>
                  <w:vAlign w:val="center"/>
                </w:tcPr>
                <w:p/>
              </w:tc>
              <w:tc>
                <w:tcPr>
                  <w:tcW w:w="466"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污染物排放管控</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1、执行《子牙河流域水污染物排放标准》（DB13/2796-2018）或《大清河流域水污染物排放标准》（DB13/2795-2018）水污染物排放标准，实施区域污染物总量控制，减少新建高污染项目，整改治理污染项目。</w:t>
                  </w:r>
                </w:p>
                <w:p>
                  <w:pPr>
                    <w:adjustRightInd w:val="0"/>
                    <w:snapToGrid w:val="0"/>
                    <w:rPr>
                      <w:rFonts w:hint="eastAsia"/>
                      <w:color w:val="auto"/>
                      <w:szCs w:val="21"/>
                      <w:highlight w:val="none"/>
                    </w:rPr>
                  </w:pPr>
                  <w:r>
                    <w:rPr>
                      <w:rFonts w:hint="eastAsia"/>
                      <w:color w:val="auto"/>
                      <w:szCs w:val="21"/>
                      <w:highlight w:val="none"/>
                    </w:rPr>
                    <w:t>2、加强农业农村和工业企业污染防治，有效控制入河污染物排放。</w:t>
                  </w:r>
                </w:p>
              </w:tc>
              <w:tc>
                <w:tcPr>
                  <w:tcW w:w="1619" w:type="pct"/>
                  <w:tcBorders>
                    <w:tl2br w:val="nil"/>
                    <w:tr2bl w:val="nil"/>
                  </w:tcBorders>
                  <w:vAlign w:val="center"/>
                </w:tcPr>
                <w:p>
                  <w:pPr>
                    <w:adjustRightInd w:val="0"/>
                    <w:snapToGrid w:val="0"/>
                    <w:jc w:val="both"/>
                    <w:rPr>
                      <w:rFonts w:eastAsia="宋体" w:hint="eastAsia"/>
                      <w:color w:val="auto"/>
                      <w:szCs w:val="21"/>
                      <w:lang w:eastAsia="zh-CN"/>
                      <w:highlight w:val="none"/>
                    </w:rPr>
                  </w:pPr>
                  <w:r>
                    <w:rPr>
                      <w:rFonts w:hint="eastAsia"/>
                      <w:color w:val="auto"/>
                      <w:szCs w:val="21"/>
                      <w:highlight w:val="none"/>
                    </w:rPr>
                    <w:t>项目不属于高污染项目</w:t>
                  </w:r>
                  <w:r>
                    <w:rPr>
                      <w:rFonts w:hint="eastAsia"/>
                      <w:color w:val="auto"/>
                      <w:szCs w:val="21"/>
                      <w:lang w:eastAsia="zh-CN"/>
                      <w:highlight w:val="none"/>
                    </w:rPr>
                    <w:t>，</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t>。</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大气环境总体准入要求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管控类型</w:t>
                  </w:r>
                </w:p>
              </w:tc>
              <w:tc>
                <w:tcPr>
                  <w:tcW w:w="2159"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准入要求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空间布局约束</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1、加大钢铁、焦化等行业结构调整力度，推进化工、石化企业治理改造，优先发展战略</w:t>
                  </w:r>
                  <w:r>
                    <w:rPr>
                      <w:color w:val="auto"/>
                      <w:szCs w:val="21"/>
                      <w:highlight w:val="none"/>
                    </w:rPr>
                    <w:t>性</w:t>
                  </w:r>
                  <w:r>
                    <w:rPr>
                      <w:rFonts w:hint="eastAsia"/>
                      <w:color w:val="auto"/>
                      <w:szCs w:val="21"/>
                      <w:highlight w:val="none"/>
                    </w:rPr>
                    <w:t>新兴产业和先进制造业，坚决遏制高耗能高排放低水平项目盲目发展。</w:t>
                  </w:r>
                </w:p>
                <w:p>
                  <w:pPr>
                    <w:rPr>
                      <w:rFonts w:hint="eastAsia"/>
                      <w:color w:val="auto"/>
                      <w:szCs w:val="21"/>
                      <w:highlight w:val="none"/>
                    </w:rPr>
                  </w:pPr>
                  <w:r>
                    <w:rPr>
                      <w:rFonts w:hint="eastAsia"/>
                      <w:color w:val="auto"/>
                      <w:szCs w:val="21"/>
                      <w:highlight w:val="none"/>
                    </w:rPr>
                    <w:t>2、引导重点行业向环境容量充足、扩散条件较好区域布局。</w:t>
                  </w:r>
                </w:p>
                <w:p>
                  <w:pPr>
                    <w:rPr>
                      <w:rFonts w:hint="eastAsia"/>
                      <w:color w:val="auto"/>
                      <w:szCs w:val="21"/>
                      <w:highlight w:val="none"/>
                    </w:rPr>
                  </w:pPr>
                  <w:r>
                    <w:rPr>
                      <w:rFonts w:hint="eastAsia"/>
                      <w:color w:val="auto"/>
                      <w:szCs w:val="21"/>
                      <w:highlight w:val="none"/>
                    </w:rPr>
                    <w:t>3、大气环境受体敏感重点管控区、大气环境布局敏感重点管控区、大气环境弱扩散重点管控区严格控制高耗能、高排放项目建设。严禁新增钢铁、焦化、水泥、平板玻璃、电解铝等产能。</w:t>
                  </w:r>
                </w:p>
                <w:p>
                  <w:pPr>
                    <w:rPr>
                      <w:rFonts w:hint="eastAsia"/>
                      <w:color w:val="auto"/>
                      <w:szCs w:val="21"/>
                      <w:highlight w:val="none"/>
                    </w:rPr>
                  </w:pPr>
                  <w:r>
                    <w:rPr>
                      <w:rFonts w:hint="eastAsia"/>
                      <w:color w:val="auto"/>
                      <w:szCs w:val="21"/>
                      <w:highlight w:val="none"/>
                    </w:rPr>
                    <w:t>4、大气环境受体敏感重点管控区中重点涉气行业企业，除必须依托城市或直接服务于城市的企业外，均应规划退城搬迁。</w:t>
                  </w:r>
                </w:p>
                <w:p>
                  <w:pPr>
                    <w:rPr>
                      <w:rFonts w:hint="eastAsia"/>
                      <w:color w:val="auto"/>
                      <w:szCs w:val="21"/>
                      <w:highlight w:val="none"/>
                    </w:rPr>
                  </w:pPr>
                  <w:r>
                    <w:rPr>
                      <w:rFonts w:hint="eastAsia"/>
                      <w:color w:val="auto"/>
                      <w:szCs w:val="21"/>
                      <w:highlight w:val="none"/>
                    </w:rPr>
                    <w:t>5、大气环境弱扩散重点管控区内严格控制新建、扩建燃煤火电、钢铁，以及除国家、省、市规划外的石化等高污染高排放项目。</w:t>
                  </w:r>
                </w:p>
                <w:p>
                  <w:pPr>
                    <w:rPr>
                      <w:rFonts w:hint="eastAsia"/>
                      <w:color w:val="auto"/>
                      <w:szCs w:val="21"/>
                      <w:highlight w:val="none"/>
                    </w:rPr>
                  </w:pPr>
                  <w:r>
                    <w:rPr>
                      <w:rFonts w:hint="eastAsia"/>
                      <w:color w:val="auto"/>
                      <w:szCs w:val="21"/>
                      <w:highlight w:val="none"/>
                    </w:rPr>
                    <w:t>6、对热效率低下、敞开未封闭，装备简易落后、自动化程度低，布局分散、规模小、无组织排放突出，以及无治理设施或治理设施工艺落后的工业炉窑，依法责令停业关闭。</w:t>
                  </w:r>
                </w:p>
                <w:p>
                  <w:pPr>
                    <w:rPr>
                      <w:rFonts w:hint="eastAsia"/>
                      <w:color w:val="auto"/>
                      <w:szCs w:val="21"/>
                      <w:highlight w:val="none"/>
                    </w:rPr>
                  </w:pPr>
                  <w:r>
                    <w:rPr>
                      <w:rFonts w:hint="eastAsia"/>
                      <w:color w:val="auto"/>
                      <w:szCs w:val="21"/>
                      <w:highlight w:val="none"/>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pPr>
                    <w:rPr>
                      <w:rFonts w:hint="eastAsia"/>
                      <w:color w:val="auto"/>
                      <w:szCs w:val="21"/>
                      <w:highlight w:val="none"/>
                    </w:rPr>
                  </w:pPr>
                  <w:r>
                    <w:rPr>
                      <w:rFonts w:hint="eastAsia"/>
                      <w:color w:val="auto"/>
                      <w:szCs w:val="21"/>
                      <w:highlight w:val="none"/>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1.项目不属于钢铁、焦化等行业，不属于高耗能高排放低水平项目；</w:t>
                  </w:r>
                </w:p>
                <w:p>
                  <w:pPr>
                    <w:rPr>
                      <w:rFonts w:hint="eastAsia"/>
                      <w:color w:val="auto"/>
                      <w:szCs w:val="21"/>
                      <w:highlight w:val="none"/>
                    </w:rPr>
                  </w:pPr>
                  <w:r>
                    <w:rPr>
                      <w:rFonts w:hint="eastAsia"/>
                      <w:color w:val="auto"/>
                      <w:szCs w:val="21"/>
                      <w:highlight w:val="none"/>
                    </w:rPr>
                    <w:t>2.项目不属于重点行业。</w:t>
                  </w:r>
                </w:p>
                <w:p>
                  <w:pPr>
                    <w:rPr>
                      <w:rFonts w:hint="eastAsia"/>
                      <w:color w:val="auto"/>
                      <w:szCs w:val="21"/>
                      <w:highlight w:val="none"/>
                    </w:rPr>
                  </w:pPr>
                  <w:r>
                    <w:rPr>
                      <w:rFonts w:hint="eastAsia"/>
                      <w:color w:val="auto"/>
                      <w:szCs w:val="21"/>
                      <w:highlight w:val="none"/>
                    </w:rPr>
                    <w:t>3.项目不属于高耗能、高排放项目，不属于钢铁、焦化、水泥、平板玻璃、电解铝等新增产能项目。</w:t>
                  </w:r>
                </w:p>
                <w:p>
                  <w:pPr>
                    <w:rPr>
                      <w:rFonts w:hint="eastAsia"/>
                      <w:color w:val="auto"/>
                      <w:szCs w:val="21"/>
                      <w:highlight w:val="none"/>
                    </w:rPr>
                  </w:pPr>
                  <w:r>
                    <w:rPr>
                      <w:rFonts w:hint="eastAsia"/>
                      <w:color w:val="auto"/>
                      <w:szCs w:val="21"/>
                      <w:highlight w:val="none"/>
                    </w:rPr>
                    <w:t>4.项</w:t>
                  </w:r>
                  <w:r>
                    <w:rPr>
                      <w:rFonts w:ascii="Times New Roman" w:eastAsia="宋体" w:cs="Times New Roman" w:hAnsi="Times New Roman" w:hint="eastAsia"/>
                      <w:color w:val="auto"/>
                      <w:szCs w:val="21"/>
                      <w:highlight w:val="none"/>
                    </w:rPr>
                    <w:t>目位于</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hint="eastAsia"/>
                      <w:color w:val="auto"/>
                      <w:szCs w:val="21"/>
                      <w:highlight w:val="none"/>
                    </w:rPr>
                    <w:t>，不在城区范围内。</w:t>
                  </w:r>
                </w:p>
                <w:p>
                  <w:pPr>
                    <w:rPr>
                      <w:rFonts w:hint="eastAsia"/>
                      <w:color w:val="auto"/>
                      <w:szCs w:val="21"/>
                      <w:highlight w:val="none"/>
                    </w:rPr>
                  </w:pPr>
                  <w:r>
                    <w:rPr>
                      <w:rFonts w:hint="eastAsia"/>
                      <w:color w:val="auto"/>
                      <w:szCs w:val="21"/>
                      <w:highlight w:val="none"/>
                    </w:rPr>
                    <w:t>5.项目不属于新建、扩建燃煤火电、钢铁，以及除国家、省、市规划外的石化等高污染高排放项目。</w:t>
                  </w:r>
                </w:p>
                <w:p>
                  <w:pPr>
                    <w:rPr>
                      <w:rFonts w:hint="eastAsia"/>
                      <w:color w:val="auto"/>
                      <w:szCs w:val="21"/>
                      <w:highlight w:val="none"/>
                    </w:rPr>
                  </w:pPr>
                  <w:r>
                    <w:rPr>
                      <w:rFonts w:hint="eastAsia"/>
                      <w:color w:val="auto"/>
                      <w:szCs w:val="21"/>
                      <w:highlight w:val="none"/>
                    </w:rPr>
                    <w:t>6.项目不涉及工业炉窑。</w:t>
                  </w:r>
                </w:p>
                <w:p>
                  <w:pPr>
                    <w:rPr>
                      <w:rFonts w:hint="eastAsia"/>
                      <w:color w:val="auto"/>
                      <w:szCs w:val="21"/>
                      <w:highlight w:val="none"/>
                    </w:rPr>
                  </w:pPr>
                  <w:r>
                    <w:rPr>
                      <w:rFonts w:hint="eastAsia"/>
                      <w:color w:val="auto"/>
                      <w:szCs w:val="21"/>
                      <w:highlight w:val="none"/>
                    </w:rPr>
                    <w:t>7.项目不涉及锅炉使用。</w:t>
                  </w:r>
                </w:p>
                <w:p>
                  <w:pPr>
                    <w:rPr>
                      <w:color w:val="auto"/>
                      <w:highlight w:val="none"/>
                    </w:rPr>
                  </w:pPr>
                  <w:r>
                    <w:rPr>
                      <w:rFonts w:hint="eastAsia"/>
                      <w:color w:val="auto"/>
                      <w:szCs w:val="21"/>
                      <w:highlight w:val="none"/>
                    </w:rPr>
                    <w:t>8.项目不涉及煤炭、重油、渣油等高污染燃料的使用，项目生产均采用电能，不涉及二氧化硫、氮氧化物的排放。</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jc w:val="center"/>
                    <w:rPr>
                      <w:rFonts w:hint="eastAsia"/>
                      <w:color w:val="auto"/>
                      <w:szCs w:val="21"/>
                      <w:highlight w:val="none"/>
                    </w:rPr>
                  </w:pPr>
                  <w:r>
                    <w:rPr>
                      <w:rFonts w:hint="eastAsia"/>
                      <w:color w:val="auto"/>
                      <w:szCs w:val="21"/>
                      <w:highlight w:val="none"/>
                    </w:rPr>
                    <w:t>污染物排放管控</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1、严格区域削减要求。严格执行《生态环境部办公厅关于加强重点行业建设项目区域削减措施监督管理的通知》（环办环评〔2020〕36号）相关要求。</w:t>
                  </w:r>
                </w:p>
                <w:p>
                  <w:pPr>
                    <w:rPr>
                      <w:rFonts w:hint="eastAsia"/>
                      <w:color w:val="auto"/>
                      <w:szCs w:val="21"/>
                      <w:highlight w:val="none"/>
                    </w:rPr>
                  </w:pPr>
                  <w:r>
                    <w:rPr>
                      <w:rFonts w:hint="eastAsia"/>
                      <w:color w:val="auto"/>
                      <w:szCs w:val="21"/>
                      <w:highlight w:val="none"/>
                    </w:rPr>
                    <w:t>2、对保留的工业炉窑开展环保提标改造，配套建设高效脱硫脱硝除尘设施，确保稳定达标排放，按照《河北省工业炉窑综合治理实施方案》执行。</w:t>
                  </w:r>
                </w:p>
                <w:p>
                  <w:pPr>
                    <w:rPr>
                      <w:rFonts w:hint="eastAsia"/>
                      <w:color w:val="auto"/>
                      <w:szCs w:val="21"/>
                      <w:highlight w:val="none"/>
                    </w:rPr>
                  </w:pPr>
                  <w:r>
                    <w:rPr>
                      <w:rFonts w:hint="eastAsia"/>
                      <w:color w:val="auto"/>
                      <w:szCs w:val="21"/>
                      <w:highlight w:val="none"/>
                    </w:rPr>
                    <w:t>3、按照《低挥发性有机化合物含量涂料产品技术要求》</w:t>
                  </w:r>
                  <w:r>
                    <w:rPr>
                      <w:rFonts w:hint="eastAsia"/>
                      <w:color w:val="auto"/>
                      <w:szCs w:val="21"/>
                      <w:lang w:eastAsia="zh-CN"/>
                      <w:highlight w:val="none"/>
                    </w:rPr>
                    <w:t>（</w:t>
                  </w:r>
                  <w:r>
                    <w:rPr>
                      <w:rFonts w:hint="eastAsia"/>
                      <w:color w:val="auto"/>
                      <w:szCs w:val="21"/>
                      <w:highlight w:val="none"/>
                    </w:rPr>
                    <w:t>GB/T 38597-2020），开展低挥发性有机物含量涂料推广替代试点工作，加快推进党政机关单位定点印刷企业率先使用水性油墨、大豆油墨等低挥发性有机物含量油墨和胶粘剂。</w:t>
                  </w:r>
                </w:p>
                <w:p>
                  <w:pPr>
                    <w:rPr>
                      <w:rFonts w:hint="eastAsia"/>
                      <w:color w:val="auto"/>
                      <w:szCs w:val="21"/>
                      <w:highlight w:val="none"/>
                    </w:rPr>
                  </w:pPr>
                  <w:r>
                    <w:rPr>
                      <w:rFonts w:hint="eastAsia"/>
                      <w:color w:val="auto"/>
                      <w:szCs w:val="21"/>
                      <w:highlight w:val="none"/>
                    </w:rPr>
                    <w:t>4、加强无组织排放治理，开展钢铁、水泥、燃煤电厂、焦化平板玻璃、陶瓷等行业重点行业无组织排放检查工作，物料存储运输等全部采用密闭或封闭形式。</w:t>
                  </w:r>
                </w:p>
                <w:p>
                  <w:pPr>
                    <w:rPr>
                      <w:rFonts w:hint="eastAsia"/>
                      <w:color w:val="auto"/>
                      <w:szCs w:val="21"/>
                      <w:highlight w:val="none"/>
                    </w:rPr>
                  </w:pPr>
                  <w:r>
                    <w:rPr>
                      <w:rFonts w:hint="eastAsia"/>
                      <w:color w:val="auto"/>
                      <w:szCs w:val="21"/>
                      <w:highlight w:val="none"/>
                    </w:rPr>
                    <w:t>5、加快推进铁路专用线建设，大宗货物及产品年货运量150万吨以上的企业原则上全部修建铁路专用线，达不到的采用清洁能源汽车或国六排放标准汽车代替。</w:t>
                  </w:r>
                </w:p>
                <w:p>
                  <w:pPr>
                    <w:rPr>
                      <w:rFonts w:hint="eastAsia"/>
                      <w:color w:val="auto"/>
                      <w:szCs w:val="21"/>
                      <w:highlight w:val="none"/>
                    </w:rPr>
                  </w:pPr>
                  <w:r>
                    <w:rPr>
                      <w:rFonts w:hint="eastAsia"/>
                      <w:color w:val="auto"/>
                      <w:szCs w:val="21"/>
                      <w:highlight w:val="none"/>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pPr>
                    <w:rPr>
                      <w:rFonts w:hint="eastAsia"/>
                      <w:color w:val="auto"/>
                      <w:szCs w:val="21"/>
                      <w:highlight w:val="none"/>
                    </w:rPr>
                  </w:pPr>
                  <w:r>
                    <w:rPr>
                      <w:rFonts w:hint="eastAsia"/>
                      <w:color w:val="auto"/>
                      <w:szCs w:val="21"/>
                      <w:highlight w:val="none"/>
                    </w:rPr>
                    <w:t>7、严禁秸秆、垃圾露天焚烧，实施农村地区的散煤替代及清洁开发利用工程。</w:t>
                  </w:r>
                </w:p>
                <w:p>
                  <w:pPr>
                    <w:rPr>
                      <w:rFonts w:hint="eastAsia"/>
                      <w:color w:val="auto"/>
                      <w:szCs w:val="21"/>
                      <w:highlight w:val="none"/>
                    </w:rPr>
                  </w:pPr>
                  <w:r>
                    <w:rPr>
                      <w:rFonts w:hint="eastAsia"/>
                      <w:color w:val="auto"/>
                      <w:szCs w:val="21"/>
                      <w:highlight w:val="none"/>
                    </w:rPr>
                    <w:t>8、巩固钢铁、焦化、煤电、水泥、平板玻璃、陶瓷等行业超低排放成效，实施工艺全流程深度治理，全面加强无组织排放管控。</w:t>
                  </w:r>
                </w:p>
                <w:p>
                  <w:pPr>
                    <w:rPr>
                      <w:rFonts w:hint="eastAsia"/>
                      <w:color w:val="auto"/>
                      <w:szCs w:val="21"/>
                      <w:highlight w:val="none"/>
                    </w:rPr>
                  </w:pPr>
                  <w:r>
                    <w:rPr>
                      <w:rFonts w:hint="eastAsia"/>
                      <w:color w:val="auto"/>
                      <w:szCs w:val="21"/>
                      <w:highlight w:val="none"/>
                    </w:rPr>
                    <w:t>9、对以煤、石油焦、重油等为燃料的工业炉窑，加快使用清洁低碳能源以及利用工厂余热、电厂热力等进行替代，全市禁止掺烧高硫石油焦（硫含量大于3%）。玻璃行业全面禁止掺烧高硫石油焦。</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1.项目不涉及二氧化硫及氮氧化物的排放</w:t>
                  </w:r>
                  <w:r>
                    <w:rPr>
                      <w:rFonts w:ascii="Times New Roman" w:eastAsia="宋体" w:cs="Times New Roman" w:hAnsi="Times New Roman" w:hint="eastAsia"/>
                      <w:color w:val="auto"/>
                      <w:kern w:val="2"/>
                      <w:sz w:val="21"/>
                      <w:szCs w:val="21"/>
                      <w:lang w:val="en-US" w:eastAsia="zh-CN" w:bidi="ar-SA"/>
                      <w:highlight w:val="none"/>
                    </w:rPr>
                    <w:t>。</w:t>
                  </w:r>
                </w:p>
                <w:p>
                  <w:pPr>
                    <w:rPr>
                      <w:color w:val="auto"/>
                      <w:szCs w:val="21"/>
                      <w:highlight w:val="none"/>
                    </w:rPr>
                  </w:pPr>
                  <w:r>
                    <w:rPr>
                      <w:rFonts w:hint="eastAsia"/>
                      <w:color w:val="auto"/>
                      <w:szCs w:val="21"/>
                      <w:highlight w:val="none"/>
                    </w:rPr>
                    <w:t>2.项目不涉及工业炉窑使用。</w:t>
                  </w:r>
                </w:p>
                <w:p>
                  <w:pPr>
                    <w:rPr>
                      <w:rFonts w:hint="eastAsia"/>
                      <w:color w:val="auto"/>
                      <w:szCs w:val="21"/>
                      <w:highlight w:val="none"/>
                    </w:rPr>
                  </w:pPr>
                  <w:r>
                    <w:rPr>
                      <w:rFonts w:hint="eastAsia"/>
                      <w:color w:val="auto"/>
                      <w:szCs w:val="21"/>
                      <w:highlight w:val="none"/>
                    </w:rPr>
                    <w:t>3.</w:t>
                  </w:r>
                  <w:r>
                    <w:rPr>
                      <w:rFonts w:hint="eastAsia"/>
                      <w:color w:val="auto"/>
                      <w:szCs w:val="21"/>
                      <w:lang w:eastAsia="zh-CN"/>
                      <w:highlight w:val="none"/>
                    </w:rPr>
                    <w:t>不涉及</w:t>
                  </w:r>
                  <w:r>
                    <w:rPr>
                      <w:rFonts w:hint="eastAsia"/>
                      <w:color w:val="auto"/>
                      <w:szCs w:val="21"/>
                      <w:highlight w:val="none"/>
                    </w:rPr>
                    <w:t>。</w:t>
                  </w:r>
                </w:p>
                <w:p>
                  <w:pPr>
                    <w:rPr>
                      <w:rFonts w:hint="eastAsia"/>
                      <w:color w:val="auto"/>
                      <w:szCs w:val="21"/>
                      <w:highlight w:val="none"/>
                    </w:rPr>
                  </w:pPr>
                  <w:r>
                    <w:rPr>
                      <w:rFonts w:hint="eastAsia"/>
                      <w:color w:val="auto"/>
                      <w:szCs w:val="21"/>
                      <w:highlight w:val="none"/>
                    </w:rPr>
                    <w:t>5.项目物料均采用清洁能源汽车或国六汽车进行运输。</w:t>
                  </w:r>
                </w:p>
                <w:p>
                  <w:pPr>
                    <w:rPr>
                      <w:color w:val="auto"/>
                      <w:szCs w:val="21"/>
                      <w:highlight w:val="none"/>
                    </w:rPr>
                  </w:pPr>
                  <w:r>
                    <w:rPr>
                      <w:rFonts w:hint="eastAsia"/>
                      <w:color w:val="auto"/>
                      <w:szCs w:val="21"/>
                      <w:highlight w:val="none"/>
                    </w:rPr>
                    <w:t>6.</w:t>
                  </w:r>
                  <w:r>
                    <w:rPr>
                      <w:rFonts w:hint="eastAsia"/>
                      <w:color w:val="auto"/>
                      <w:szCs w:val="21"/>
                      <w:lang w:val="zh-CN"/>
                      <w:highlight w:val="none"/>
                    </w:rPr>
                    <w:t>项目</w:t>
                  </w:r>
                  <w:r>
                    <w:rPr>
                      <w:rFonts w:hint="eastAsia"/>
                      <w:color w:val="auto"/>
                      <w:szCs w:val="21"/>
                      <w:highlight w:val="none"/>
                    </w:rPr>
                    <w:t>在现有车间进行生</w:t>
                  </w:r>
                  <w:r>
                    <w:rPr>
                      <w:rFonts w:eastAsia="宋体" w:hint="eastAsia"/>
                      <w:color w:val="auto"/>
                      <w:szCs w:val="21"/>
                      <w:lang w:val="zh-CN"/>
                      <w:highlight w:val="none"/>
                    </w:rPr>
                    <w:t>产，</w:t>
                  </w:r>
                  <w:r>
                    <w:rPr>
                      <w:rFonts w:eastAsia="宋体" w:hint="eastAsia"/>
                      <w:color w:val="auto"/>
                      <w:szCs w:val="21"/>
                      <w:lang w:val="en-US" w:eastAsia="zh-CN"/>
                      <w:highlight w:val="none"/>
                    </w:rPr>
                    <w:t>施工废气</w:t>
                  </w:r>
                  <w:r>
                    <w:rPr>
                      <w:rFonts w:eastAsia="宋体" w:hint="eastAsia"/>
                      <w:color w:val="auto"/>
                      <w:szCs w:val="21"/>
                      <w:lang w:val="zh-CN" w:eastAsia="zh-CN"/>
                      <w:highlight w:val="none"/>
                    </w:rPr>
                    <w:t>通过采取措施可最大限度的降低施工扬尘对周围环境的影响，随着施工期的结束，施工扬尘影响也将结束</w:t>
                  </w:r>
                  <w:r>
                    <w:rPr>
                      <w:rFonts w:eastAsia="宋体" w:hint="eastAsia"/>
                      <w:color w:val="auto"/>
                      <w:szCs w:val="21"/>
                      <w:lang w:val="zh-CN"/>
                      <w:highlight w:val="none"/>
                    </w:rPr>
                    <w:t>。</w:t>
                  </w:r>
                </w:p>
                <w:p>
                  <w:pPr>
                    <w:rPr>
                      <w:rFonts w:hint="eastAsia"/>
                      <w:color w:val="auto"/>
                      <w:szCs w:val="21"/>
                      <w:highlight w:val="none"/>
                    </w:rPr>
                  </w:pPr>
                  <w:r>
                    <w:rPr>
                      <w:rFonts w:hint="eastAsia"/>
                      <w:color w:val="auto"/>
                      <w:szCs w:val="21"/>
                      <w:highlight w:val="none"/>
                    </w:rPr>
                    <w:t>7.项目不涉及散煤使用，不涉及秸秆、垃圾露天焚烧。</w:t>
                  </w:r>
                </w:p>
                <w:p>
                  <w:pPr>
                    <w:rPr>
                      <w:rFonts w:hint="eastAsia"/>
                      <w:color w:val="auto"/>
                      <w:szCs w:val="21"/>
                      <w:highlight w:val="none"/>
                    </w:rPr>
                  </w:pPr>
                  <w:r>
                    <w:rPr>
                      <w:rFonts w:hint="eastAsia"/>
                      <w:color w:val="auto"/>
                      <w:szCs w:val="21"/>
                      <w:highlight w:val="none"/>
                    </w:rPr>
                    <w:t>8.项目不属于钢铁、焦化、煤电、水泥、平板玻璃、陶瓷等行业，产生的污染物经采取措施后达标排放。</w:t>
                  </w:r>
                </w:p>
                <w:p>
                  <w:pPr>
                    <w:rPr>
                      <w:color w:val="auto"/>
                      <w:szCs w:val="21"/>
                      <w:highlight w:val="none"/>
                    </w:rPr>
                  </w:pPr>
                  <w:r>
                    <w:rPr>
                      <w:rFonts w:hint="eastAsia"/>
                      <w:color w:val="auto"/>
                      <w:szCs w:val="21"/>
                      <w:highlight w:val="none"/>
                    </w:rPr>
                    <w:t>9.项目不涉及煤、石油焦、重油等为燃料的使用，不涉及工业炉窑使用。</w:t>
                  </w:r>
                </w:p>
              </w:tc>
              <w:tc>
                <w:tcPr>
                  <w:tcW w:w="64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是</w:t>
                  </w:r>
                </w:p>
              </w:tc>
            </w:tr>
            <w:tr>
              <w:trPr>
                <w:trHeight w:val="397"/>
              </w:trPr>
              <w:tc>
                <w:tcPr>
                  <w:tcW w:w="572" w:type="pct"/>
                  <w:gridSpan w:val="2"/>
                  <w:tcBorders>
                    <w:tl2br w:val="nil"/>
                    <w:tr2bl w:val="nil"/>
                  </w:tcBorders>
                  <w:vAlign w:val="center"/>
                </w:tcPr>
                <w:p>
                  <w:pPr>
                    <w:jc w:val="center"/>
                    <w:rPr>
                      <w:rFonts w:hint="eastAsia"/>
                      <w:color w:val="auto"/>
                      <w:szCs w:val="21"/>
                      <w:highlight w:val="none"/>
                    </w:rPr>
                  </w:pPr>
                  <w:r>
                    <w:rPr>
                      <w:rFonts w:hint="eastAsia"/>
                      <w:color w:val="auto"/>
                      <w:szCs w:val="21"/>
                      <w:highlight w:val="none"/>
                    </w:rPr>
                    <w:t>环境风险防控</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项目不涉及有毒有害化学物质使用，不属于石油化工、涂料、纺织印染、橡胶、农药、医药等行业新污染物环境风险管控，项目要求待企业取得批复后，根据要求，成立应急组织机构，定期开展应急演练。</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全市土壤环境总体管控要求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属性</w:t>
                  </w:r>
                </w:p>
              </w:tc>
              <w:tc>
                <w:tcPr>
                  <w:tcW w:w="2159"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572"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建设用地风险管控和</w:t>
                  </w:r>
                </w:p>
                <w:p>
                  <w:pPr>
                    <w:adjustRightInd w:val="0"/>
                    <w:snapToGrid w:val="0"/>
                    <w:jc w:val="center"/>
                    <w:rPr>
                      <w:rFonts w:hint="eastAsia"/>
                      <w:color w:val="auto"/>
                      <w:szCs w:val="21"/>
                      <w:highlight w:val="none"/>
                    </w:rPr>
                  </w:pPr>
                  <w:r>
                    <w:rPr>
                      <w:rFonts w:hint="eastAsia"/>
                      <w:color w:val="auto"/>
                      <w:szCs w:val="21"/>
                      <w:highlight w:val="none"/>
                    </w:rPr>
                    <w:t>修复</w:t>
                  </w:r>
                </w:p>
              </w:tc>
              <w:tc>
                <w:tcPr>
                  <w:tcW w:w="2159" w:type="pct"/>
                  <w:gridSpan w:val="2"/>
                  <w:tcBorders>
                    <w:tl2br w:val="nil"/>
                    <w:tr2bl w:val="nil"/>
                  </w:tcBorders>
                  <w:vAlign w:val="center"/>
                </w:tcPr>
                <w:p>
                  <w:pPr>
                    <w:rPr>
                      <w:rFonts w:hint="eastAsia"/>
                      <w:color w:val="auto"/>
                      <w:szCs w:val="21"/>
                      <w:highlight w:val="none"/>
                    </w:rPr>
                  </w:pPr>
                  <w:r>
                    <w:rPr>
                      <w:rFonts w:hint="eastAsia"/>
                      <w:color w:val="auto"/>
                      <w:szCs w:val="21"/>
                      <w:highlight w:val="none"/>
                    </w:rPr>
                    <w:t>1、依法推进建设用地土壤状况调查评估。以用途变更为</w:t>
                  </w:r>
                  <w:r>
                    <w:rPr>
                      <w:rFonts w:hint="eastAsia"/>
                      <w:color w:val="auto"/>
                      <w:szCs w:val="21"/>
                      <w:lang w:eastAsia="zh-CN"/>
                      <w:highlight w:val="none"/>
                    </w:rPr>
                    <w:t>“</w:t>
                  </w:r>
                  <w:r>
                    <w:rPr>
                      <w:rFonts w:hint="eastAsia"/>
                      <w:color w:val="auto"/>
                      <w:szCs w:val="21"/>
                      <w:highlight w:val="none"/>
                    </w:rPr>
                    <w:t>一住两公</w:t>
                  </w:r>
                  <w:r>
                    <w:rPr>
                      <w:rFonts w:hint="eastAsia"/>
                      <w:color w:val="auto"/>
                      <w:szCs w:val="21"/>
                      <w:lang w:eastAsia="zh-CN"/>
                      <w:highlight w:val="none"/>
                    </w:rPr>
                    <w:t>”</w:t>
                  </w:r>
                  <w:r>
                    <w:rPr>
                      <w:rFonts w:hint="eastAsia"/>
                      <w:color w:val="auto"/>
                      <w:szCs w:val="21"/>
                      <w:highlight w:val="none"/>
                    </w:rPr>
                    <w:t>地块，以及腾退工矿企业用地为重点，依法开展土壤污染状况调查和风险评估。</w:t>
                  </w:r>
                </w:p>
                <w:p>
                  <w:pPr>
                    <w:rPr>
                      <w:rFonts w:hint="eastAsia"/>
                      <w:color w:val="auto"/>
                      <w:szCs w:val="21"/>
                      <w:highlight w:val="none"/>
                    </w:rPr>
                  </w:pPr>
                  <w:r>
                    <w:rPr>
                      <w:rFonts w:hint="eastAsia"/>
                      <w:color w:val="auto"/>
                      <w:szCs w:val="21"/>
                      <w:highlight w:val="none"/>
                    </w:rPr>
                    <w:t>2、对土壤污染状况调查报告评审表明污染物含量超过土壤污染风险管控标准的建设用地地块，土壤污染责任人、土地使用权人应当按照国务院生态环境主管部门的规定进行土壤污染风险评估。</w:t>
                  </w:r>
                </w:p>
                <w:p>
                  <w:pPr>
                    <w:rPr>
                      <w:rFonts w:hint="eastAsia"/>
                      <w:color w:val="auto"/>
                      <w:szCs w:val="21"/>
                      <w:highlight w:val="none"/>
                    </w:rPr>
                  </w:pPr>
                  <w:r>
                    <w:rPr>
                      <w:rFonts w:hint="eastAsia"/>
                      <w:color w:val="auto"/>
                      <w:szCs w:val="21"/>
                      <w:highlight w:val="none"/>
                    </w:rPr>
                    <w:t>3、对建设用地土壤污染风险管控和修复名录中需要实施修复的地块，土壤污染责任人应当结合土地利用总体规划和城乡规划编制修复方案，报地方人民政府生态环境主管部门备案并实施。</w:t>
                  </w:r>
                </w:p>
                <w:p>
                  <w:pPr>
                    <w:rPr>
                      <w:rFonts w:hint="eastAsia"/>
                      <w:color w:val="auto"/>
                      <w:szCs w:val="21"/>
                      <w:highlight w:val="none"/>
                    </w:rPr>
                  </w:pPr>
                  <w:r>
                    <w:rPr>
                      <w:rFonts w:hint="eastAsia"/>
                      <w:color w:val="auto"/>
                      <w:szCs w:val="21"/>
                      <w:highlight w:val="none"/>
                    </w:rPr>
                    <w:t>4、风险管控、修复活动完成后，需要实施后期管理的，土壤污染责任人应当按照要求实施后期管理。</w:t>
                  </w:r>
                </w:p>
                <w:p>
                  <w:pPr>
                    <w:rPr>
                      <w:rFonts w:hint="eastAsia"/>
                      <w:color w:val="auto"/>
                      <w:szCs w:val="21"/>
                      <w:highlight w:val="none"/>
                    </w:rPr>
                  </w:pPr>
                  <w:r>
                    <w:rPr>
                      <w:rFonts w:hint="eastAsia"/>
                      <w:color w:val="auto"/>
                      <w:szCs w:val="21"/>
                      <w:highlight w:val="none"/>
                    </w:rPr>
                    <w:t xml:space="preserve">5、各县（市、区）在编制国土空间等相关规划时，充分考虑建设用地土壤污染环境风险，合理确定土地用途。 </w:t>
                  </w:r>
                </w:p>
                <w:p>
                  <w:pPr>
                    <w:rPr>
                      <w:rFonts w:hint="eastAsia"/>
                      <w:color w:val="auto"/>
                      <w:szCs w:val="21"/>
                      <w:highlight w:val="none"/>
                    </w:rPr>
                  </w:pPr>
                  <w:r>
                    <w:rPr>
                      <w:rFonts w:hint="eastAsia"/>
                      <w:color w:val="auto"/>
                      <w:szCs w:val="21"/>
                      <w:highlight w:val="none"/>
                    </w:rPr>
                    <w:t>6、严格落实建设用地土壤污染风险管控和修复名录制度。未达到土壤污染风险评估报告确定的风险管控、修复目标的地块，不得开工建设与风险管控和修复无关的项目。</w:t>
                  </w:r>
                </w:p>
              </w:tc>
              <w:tc>
                <w:tcPr>
                  <w:tcW w:w="1619" w:type="pct"/>
                  <w:tcBorders>
                    <w:tl2br w:val="nil"/>
                    <w:tr2bl w:val="nil"/>
                  </w:tcBorders>
                  <w:vAlign w:val="center"/>
                </w:tcPr>
                <w:p>
                  <w:pPr>
                    <w:rPr>
                      <w:rFonts w:hint="eastAsia"/>
                      <w:color w:val="auto"/>
                      <w:szCs w:val="21"/>
                      <w:highlight w:val="none"/>
                    </w:rPr>
                  </w:pPr>
                  <w:r>
                    <w:rPr>
                      <w:rFonts w:hint="eastAsia"/>
                      <w:color w:val="auto"/>
                      <w:szCs w:val="21"/>
                      <w:highlight w:val="none"/>
                    </w:rPr>
                    <w:t>1.项目</w:t>
                  </w:r>
                  <w:r>
                    <w:rPr>
                      <w:rFonts w:ascii="Times New Roman" w:eastAsia="宋体" w:cs="Times New Roman" w:hAnsi="Times New Roman" w:hint="eastAsia"/>
                      <w:color w:val="auto"/>
                      <w:szCs w:val="21"/>
                      <w:highlight w:val="none"/>
                    </w:rPr>
                    <w:t>位于</w:t>
                  </w:r>
                  <w:r>
                    <w:rPr>
                      <w:rFonts w:cs="Times New Roman" w:hint="eastAsia"/>
                      <w:color w:val="auto"/>
                      <w:szCs w:val="21"/>
                      <w:lang w:eastAsia="zh-CN"/>
                      <w:highlight w:val="none"/>
                    </w:rPr>
                    <w:t>石家庄市栾城区装备制造基地楼底镇段家营村裕翔街168号103厂房（南）</w:t>
                  </w:r>
                  <w:r>
                    <w:rPr>
                      <w:rFonts w:ascii="Times New Roman" w:eastAsia="宋体" w:cs="Times New Roman" w:hAnsi="Times New Roman" w:hint="eastAsia"/>
                      <w:color w:val="auto"/>
                      <w:szCs w:val="21"/>
                      <w:highlight w:val="none"/>
                    </w:rPr>
                    <w:t>，不涉及土地用途变更</w:t>
                  </w:r>
                  <w:r>
                    <w:rPr>
                      <w:rFonts w:hint="eastAsia"/>
                      <w:color w:val="auto"/>
                      <w:szCs w:val="21"/>
                      <w:highlight w:val="none"/>
                    </w:rPr>
                    <w:t>情况，不涉及土壤环境状况调查评估。同时，项目采取分区防渗措施，厂区道路硬化，项目固废合理处置，正常生产情况下，项目对厂区及附近土壤环境的影响较小。</w:t>
                  </w:r>
                </w:p>
                <w:p>
                  <w:pPr>
                    <w:rPr>
                      <w:rFonts w:hint="eastAsia"/>
                      <w:color w:val="auto"/>
                      <w:szCs w:val="21"/>
                      <w:highlight w:val="none"/>
                    </w:rPr>
                  </w:pPr>
                  <w:r>
                    <w:rPr>
                      <w:rFonts w:hint="eastAsia"/>
                      <w:color w:val="auto"/>
                      <w:szCs w:val="21"/>
                      <w:highlight w:val="none"/>
                    </w:rPr>
                    <w:t>2.项目不涉及土地用途变更情况，不涉及土壤环境状况调查评估。</w:t>
                  </w:r>
                </w:p>
                <w:p>
                  <w:pPr>
                    <w:rPr>
                      <w:rFonts w:hint="eastAsia"/>
                      <w:color w:val="auto"/>
                      <w:szCs w:val="21"/>
                      <w:highlight w:val="none"/>
                    </w:rPr>
                  </w:pPr>
                  <w:r>
                    <w:rPr>
                      <w:rFonts w:hint="eastAsia"/>
                      <w:color w:val="auto"/>
                      <w:szCs w:val="21"/>
                      <w:highlight w:val="none"/>
                    </w:rPr>
                    <w:t>3.项目不涉及土壤环境状况调查评估，不涉及土壤污染风险管控和修复名录中需要实施修复的地块。</w:t>
                  </w:r>
                </w:p>
                <w:p>
                  <w:pPr>
                    <w:rPr>
                      <w:rFonts w:hint="eastAsia"/>
                      <w:color w:val="auto"/>
                      <w:szCs w:val="21"/>
                      <w:highlight w:val="none"/>
                    </w:rPr>
                  </w:pPr>
                  <w:r>
                    <w:rPr>
                      <w:rFonts w:hint="eastAsia"/>
                      <w:color w:val="auto"/>
                      <w:szCs w:val="21"/>
                      <w:highlight w:val="none"/>
                    </w:rPr>
                    <w:t>4.项目不涉及需要实施修复的地块。</w:t>
                  </w:r>
                </w:p>
                <w:p>
                  <w:pPr>
                    <w:rPr>
                      <w:rFonts w:hint="eastAsia"/>
                      <w:color w:val="auto"/>
                      <w:szCs w:val="21"/>
                      <w:highlight w:val="none"/>
                    </w:rPr>
                  </w:pPr>
                  <w:r>
                    <w:rPr>
                      <w:rFonts w:hint="eastAsia"/>
                      <w:color w:val="auto"/>
                      <w:szCs w:val="21"/>
                      <w:highlight w:val="none"/>
                    </w:rPr>
                    <w:t>5.项目在现有车间内建设，不属于非法占地。</w:t>
                  </w:r>
                </w:p>
                <w:p>
                  <w:pPr>
                    <w:rPr>
                      <w:rFonts w:hint="eastAsia"/>
                      <w:color w:val="auto"/>
                      <w:szCs w:val="21"/>
                      <w:highlight w:val="none"/>
                    </w:rPr>
                  </w:pPr>
                  <w:r>
                    <w:rPr>
                      <w:rFonts w:hint="eastAsia"/>
                      <w:color w:val="auto"/>
                      <w:szCs w:val="21"/>
                      <w:highlight w:val="none"/>
                    </w:rPr>
                    <w:t>6.项目不涉及需要实施修复的地块。</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全市自然资源总体管控要求</w:t>
                  </w:r>
                </w:p>
              </w:tc>
            </w:tr>
            <w:tr>
              <w:trPr>
                <w:trHeight w:val="397"/>
              </w:trPr>
              <w:tc>
                <w:tcPr>
                  <w:tcW w:w="46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要素</w:t>
                  </w:r>
                </w:p>
              </w:tc>
              <w:tc>
                <w:tcPr>
                  <w:tcW w:w="570" w:type="pct"/>
                  <w:gridSpan w:val="2"/>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管控类型</w:t>
                  </w:r>
                </w:p>
              </w:tc>
              <w:tc>
                <w:tcPr>
                  <w:tcW w:w="1692"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46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水资源</w:t>
                  </w:r>
                </w:p>
              </w:tc>
              <w:tc>
                <w:tcPr>
                  <w:tcW w:w="570" w:type="pct"/>
                  <w:gridSpan w:val="2"/>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一般管控区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1、严格执行</w:t>
                  </w:r>
                  <w:r>
                    <w:rPr>
                      <w:rFonts w:hint="eastAsia"/>
                      <w:color w:val="auto"/>
                      <w:szCs w:val="21"/>
                      <w:lang w:eastAsia="zh-CN"/>
                      <w:highlight w:val="none"/>
                    </w:rPr>
                    <w:t>“</w:t>
                  </w:r>
                  <w:r>
                    <w:rPr>
                      <w:rFonts w:hint="eastAsia"/>
                      <w:color w:val="auto"/>
                      <w:szCs w:val="21"/>
                      <w:highlight w:val="none"/>
                    </w:rPr>
                    <w:t>最严格水资源管理制度</w:t>
                  </w:r>
                  <w:r>
                    <w:rPr>
                      <w:rFonts w:hint="eastAsia"/>
                      <w:color w:val="auto"/>
                      <w:szCs w:val="21"/>
                      <w:lang w:eastAsia="zh-CN"/>
                      <w:highlight w:val="none"/>
                    </w:rPr>
                    <w:t>”</w:t>
                  </w:r>
                  <w:r>
                    <w:rPr>
                      <w:rFonts w:hint="eastAsia"/>
                      <w:color w:val="auto"/>
                      <w:szCs w:val="21"/>
                      <w:highlight w:val="none"/>
                    </w:rPr>
                    <w:t>确定的用水总量控制指标，加强水资源取水论证，严格水资源总量考核管理，同时全面推进节水型社会建设，提高用水效率。</w:t>
                  </w:r>
                </w:p>
                <w:p>
                  <w:pPr>
                    <w:adjustRightInd w:val="0"/>
                    <w:snapToGrid w:val="0"/>
                    <w:rPr>
                      <w:rFonts w:hint="eastAsia"/>
                      <w:color w:val="auto"/>
                      <w:szCs w:val="21"/>
                      <w:highlight w:val="none"/>
                    </w:rPr>
                  </w:pPr>
                  <w:r>
                    <w:rPr>
                      <w:rFonts w:hint="eastAsia"/>
                      <w:color w:val="auto"/>
                      <w:szCs w:val="21"/>
                      <w:highlight w:val="none"/>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项目用水</w:t>
                  </w:r>
                  <w:r>
                    <w:rPr>
                      <w:rFonts w:ascii="Times New Roman" w:cs="Times New Roman" w:hAnsi="Times New Roman"/>
                      <w:b w:val="0"/>
                      <w:bCs w:val="0"/>
                      <w:color w:val="auto"/>
                      <w:highlight w:val="none"/>
                    </w:rPr>
                    <w:t>由园区供水管网供给</w:t>
                  </w:r>
                  <w:r>
                    <w:rPr>
                      <w:rFonts w:hint="eastAsia"/>
                      <w:color w:val="auto"/>
                      <w:szCs w:val="21"/>
                      <w:highlight w:val="none"/>
                    </w:rPr>
                    <w:t>，不开采地下水。</w:t>
                  </w:r>
                </w:p>
              </w:tc>
              <w:tc>
                <w:tcPr>
                  <w:tcW w:w="648"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是</w:t>
                  </w:r>
                </w:p>
              </w:tc>
            </w:tr>
            <w:tr>
              <w:trPr>
                <w:trHeight w:val="397"/>
              </w:trPr>
              <w:tc>
                <w:tcPr>
                  <w:tcW w:w="468" w:type="pct"/>
                  <w:vMerge w:val="restar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能源</w:t>
                  </w:r>
                </w:p>
              </w:tc>
              <w:tc>
                <w:tcPr>
                  <w:tcW w:w="570" w:type="pct"/>
                  <w:gridSpan w:val="2"/>
                  <w:tcBorders>
                    <w:tl2br w:val="nil"/>
                    <w:tr2bl w:val="nil"/>
                  </w:tcBorders>
                  <w:vAlign w:val="center"/>
                </w:tcPr>
                <w:p>
                  <w:pPr>
                    <w:widowControl/>
                    <w:jc w:val="center"/>
                    <w:rPr>
                      <w:rFonts w:hint="eastAsia"/>
                      <w:color w:val="auto"/>
                      <w:szCs w:val="21"/>
                      <w:highlight w:val="none"/>
                    </w:rPr>
                  </w:pPr>
                  <w:r>
                    <w:rPr>
                      <w:rFonts w:hint="eastAsia"/>
                      <w:color w:val="auto"/>
                      <w:szCs w:val="21"/>
                      <w:highlight w:val="none"/>
                    </w:rPr>
                    <w:t>高污染燃料禁燃区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1、禁燃区内不得新建、改建、扩建燃烧煤炭、重油、渣油等高污染燃料的设施；现有燃烧高污染燃料的设施，应当限期改用清洁能源；未改用清洁能源替代的高污染燃料设施，应当配套建设先进工艺的脱硫、</w:t>
                  </w:r>
                </w:p>
                <w:p>
                  <w:pPr>
                    <w:adjustRightInd w:val="0"/>
                    <w:snapToGrid w:val="0"/>
                    <w:rPr>
                      <w:rFonts w:hint="eastAsia"/>
                      <w:color w:val="auto"/>
                      <w:szCs w:val="21"/>
                      <w:highlight w:val="none"/>
                    </w:rPr>
                  </w:pPr>
                  <w:r>
                    <w:rPr>
                      <w:rFonts w:hint="eastAsia"/>
                      <w:color w:val="auto"/>
                      <w:szCs w:val="21"/>
                      <w:highlight w:val="none"/>
                    </w:rPr>
                    <w:t>脱硝、除尘装置或者采取其他措施，控制二氧化硫、氮氧化物和烟尘等排放；仍未达到大气污染物排放标准的，应当停止使用。</w:t>
                  </w:r>
                </w:p>
                <w:p>
                  <w:pPr>
                    <w:adjustRightInd w:val="0"/>
                    <w:snapToGrid w:val="0"/>
                    <w:rPr>
                      <w:rFonts w:hint="eastAsia"/>
                      <w:color w:val="auto"/>
                      <w:szCs w:val="21"/>
                      <w:highlight w:val="none"/>
                    </w:rPr>
                  </w:pPr>
                  <w:r>
                    <w:rPr>
                      <w:rFonts w:hint="eastAsia"/>
                      <w:color w:val="auto"/>
                      <w:szCs w:val="21"/>
                      <w:highlight w:val="none"/>
                    </w:rPr>
                    <w:t>2、禁燃区内禁止销售、使用高污染燃料。</w:t>
                  </w:r>
                </w:p>
                <w:p>
                  <w:pPr>
                    <w:adjustRightInd w:val="0"/>
                    <w:snapToGrid w:val="0"/>
                    <w:rPr>
                      <w:rFonts w:hint="eastAsia"/>
                      <w:color w:val="auto"/>
                      <w:szCs w:val="21"/>
                      <w:highlight w:val="none"/>
                    </w:rPr>
                  </w:pPr>
                  <w:r>
                    <w:rPr>
                      <w:rFonts w:hint="eastAsia"/>
                      <w:color w:val="auto"/>
                      <w:szCs w:val="21"/>
                      <w:highlight w:val="none"/>
                    </w:rPr>
                    <w:t>3、禁燃区内禁止原煤散烧。</w:t>
                  </w:r>
                </w:p>
                <w:p>
                  <w:pPr>
                    <w:adjustRightInd w:val="0"/>
                    <w:snapToGrid w:val="0"/>
                    <w:rPr>
                      <w:rFonts w:hint="eastAsia"/>
                      <w:color w:val="auto"/>
                      <w:szCs w:val="21"/>
                      <w:highlight w:val="none"/>
                    </w:rPr>
                  </w:pPr>
                  <w:r>
                    <w:rPr>
                      <w:rFonts w:hint="eastAsia"/>
                      <w:color w:val="auto"/>
                      <w:szCs w:val="21"/>
                      <w:highlight w:val="none"/>
                    </w:rPr>
                    <w:t>4、其他平原县和山区县执行县级政府确定的禁燃区范围和管理要求。</w:t>
                  </w:r>
                </w:p>
              </w:tc>
              <w:tc>
                <w:tcPr>
                  <w:tcW w:w="1619" w:type="pct"/>
                  <w:tcBorders>
                    <w:tl2br w:val="nil"/>
                    <w:tr2bl w:val="nil"/>
                  </w:tcBorders>
                  <w:vAlign w:val="center"/>
                </w:tcPr>
                <w:p>
                  <w:pPr>
                    <w:adjustRightInd w:val="0"/>
                    <w:snapToGrid w:val="0"/>
                    <w:rPr>
                      <w:color w:val="auto"/>
                      <w:szCs w:val="21"/>
                      <w:highlight w:val="none"/>
                    </w:rPr>
                  </w:pPr>
                  <w:r>
                    <w:rPr>
                      <w:rFonts w:hint="eastAsia"/>
                      <w:color w:val="auto"/>
                      <w:szCs w:val="21"/>
                      <w:highlight w:val="none"/>
                    </w:rPr>
                    <w:t>1.项目采用电能，不涉及煤炭、重油、渣油等高污染燃料的使用。2.项目不涉及高污染燃料销售、使用；3.项目不涉及原煤散烧；4.项目采用电能，满足禁燃区范围和管理要求。</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468" w:type="pct"/>
                  <w:vMerge/>
                  <w:tcBorders>
                    <w:tl2br w:val="nil"/>
                    <w:tr2bl w:val="nil"/>
                  </w:tcBorders>
                  <w:vAlign w:val="center"/>
                </w:tcPr>
                <w:p/>
              </w:tc>
              <w:tc>
                <w:tcPr>
                  <w:tcW w:w="570" w:type="pct"/>
                  <w:gridSpan w:val="2"/>
                  <w:tcBorders>
                    <w:tl2br w:val="nil"/>
                    <w:tr2bl w:val="nil"/>
                  </w:tcBorders>
                  <w:vAlign w:val="center"/>
                </w:tcPr>
                <w:p>
                  <w:pPr>
                    <w:widowControl/>
                    <w:jc w:val="center"/>
                    <w:rPr>
                      <w:rFonts w:hint="eastAsia"/>
                      <w:color w:val="auto"/>
                      <w:szCs w:val="21"/>
                      <w:highlight w:val="none"/>
                    </w:rPr>
                  </w:pPr>
                  <w:r>
                    <w:rPr>
                      <w:rFonts w:hint="eastAsia"/>
                      <w:color w:val="auto"/>
                      <w:szCs w:val="21"/>
                      <w:highlight w:val="none"/>
                    </w:rPr>
                    <w:t>一般管控区</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1、强化能源消费约束，严格实施能源消费总量和强度</w:t>
                  </w:r>
                  <w:r>
                    <w:rPr>
                      <w:rFonts w:hint="eastAsia"/>
                      <w:color w:val="auto"/>
                      <w:szCs w:val="21"/>
                      <w:lang w:eastAsia="zh-CN"/>
                      <w:highlight w:val="none"/>
                    </w:rPr>
                    <w:t>“</w:t>
                  </w:r>
                  <w:r>
                    <w:rPr>
                      <w:rFonts w:hint="eastAsia"/>
                      <w:color w:val="auto"/>
                      <w:szCs w:val="21"/>
                      <w:highlight w:val="none"/>
                    </w:rPr>
                    <w:t>双控</w:t>
                  </w:r>
                  <w:r>
                    <w:rPr>
                      <w:rFonts w:hint="eastAsia"/>
                      <w:color w:val="auto"/>
                      <w:szCs w:val="21"/>
                      <w:lang w:eastAsia="zh-CN"/>
                      <w:highlight w:val="none"/>
                    </w:rPr>
                    <w:t>”</w:t>
                  </w:r>
                  <w:r>
                    <w:rPr>
                      <w:rFonts w:hint="eastAsia"/>
                      <w:color w:val="auto"/>
                      <w:szCs w:val="21"/>
                      <w:highlight w:val="none"/>
                    </w:rPr>
                    <w:t>。从工艺技术、主要用能设备、节能措施等方面切实加强项目单耗先进性审查，新建高能耗项目单位产品（产值）能耗达到国际先进水平，用能设备达到国家一级能效标准。</w:t>
                  </w:r>
                </w:p>
                <w:p>
                  <w:pPr>
                    <w:adjustRightInd w:val="0"/>
                    <w:snapToGrid w:val="0"/>
                    <w:rPr>
                      <w:rFonts w:hint="eastAsia"/>
                      <w:color w:val="auto"/>
                      <w:szCs w:val="21"/>
                      <w:highlight w:val="none"/>
                    </w:rPr>
                  </w:pPr>
                  <w:r>
                    <w:rPr>
                      <w:rFonts w:hint="eastAsia"/>
                      <w:color w:val="auto"/>
                      <w:szCs w:val="21"/>
                      <w:highlight w:val="none"/>
                    </w:rPr>
                    <w:t>2、以工业、建筑和交通运输领域为重点，深入推进技术节能和管理节能。推进农业和农村节能，强化商用和民用节能，实施公共机构节能。完善节能措施引导，完善峰谷电价、阶梯气价等价格政策等。</w:t>
                  </w:r>
                </w:p>
                <w:p>
                  <w:pPr>
                    <w:adjustRightInd w:val="0"/>
                    <w:snapToGrid w:val="0"/>
                    <w:rPr>
                      <w:rFonts w:hint="eastAsia"/>
                      <w:color w:val="auto"/>
                      <w:szCs w:val="21"/>
                      <w:highlight w:val="none"/>
                    </w:rPr>
                  </w:pPr>
                  <w:r>
                    <w:rPr>
                      <w:rFonts w:hint="eastAsia"/>
                      <w:color w:val="auto"/>
                      <w:szCs w:val="21"/>
                      <w:highlight w:val="none"/>
                    </w:rPr>
                    <w:t>3、控制煤炭消费总量，加快产业结构向高新高端产业转变，推进钢铁、水泥等重点行业去产能。大力实施散煤替代。</w:t>
                  </w:r>
                </w:p>
                <w:p>
                  <w:pPr>
                    <w:adjustRightInd w:val="0"/>
                    <w:snapToGrid w:val="0"/>
                    <w:rPr>
                      <w:rFonts w:hint="eastAsia"/>
                      <w:color w:val="auto"/>
                      <w:szCs w:val="21"/>
                      <w:highlight w:val="none"/>
                    </w:rPr>
                  </w:pPr>
                  <w:r>
                    <w:rPr>
                      <w:rFonts w:hint="eastAsia"/>
                      <w:color w:val="auto"/>
                      <w:szCs w:val="21"/>
                      <w:highlight w:val="none"/>
                    </w:rPr>
                    <w:t>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1619"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项目生产采用电</w:t>
                  </w:r>
                  <w:r>
                    <w:rPr>
                      <w:rFonts w:hint="eastAsia"/>
                      <w:color w:val="auto"/>
                      <w:szCs w:val="21"/>
                      <w:lang w:val="en-US" w:eastAsia="zh-CN"/>
                      <w:highlight w:val="none"/>
                    </w:rPr>
                    <w:t>能</w:t>
                  </w:r>
                  <w:r>
                    <w:rPr>
                      <w:rFonts w:hint="eastAsia"/>
                      <w:color w:val="auto"/>
                      <w:szCs w:val="21"/>
                      <w:highlight w:val="none"/>
                    </w:rPr>
                    <w:t>，职工日常办公供暖由空调提供，不涉及</w:t>
                  </w:r>
                  <w:r>
                    <w:rPr>
                      <w:color w:val="auto"/>
                      <w:szCs w:val="21"/>
                      <w:highlight w:val="none"/>
                    </w:rPr>
                    <w:t>煤炭使用情况</w:t>
                  </w:r>
                  <w:r>
                    <w:rPr>
                      <w:rStyle w:val="82"/>
                      <w:rFonts w:ascii="Times New Roman" w:hAnsi="Times New Roman"/>
                      <w:color w:val="auto"/>
                      <w:sz w:val="21"/>
                      <w:szCs w:val="21"/>
                      <w:highlight w:val="none"/>
                    </w:rPr>
                    <w:t>。</w:t>
                  </w:r>
                </w:p>
              </w:tc>
              <w:tc>
                <w:tcPr>
                  <w:tcW w:w="648" w:type="pct"/>
                  <w:tcBorders>
                    <w:tl2br w:val="nil"/>
                    <w:tr2bl w:val="nil"/>
                  </w:tcBorders>
                  <w:vAlign w:val="center"/>
                </w:tcPr>
                <w:p>
                  <w:pPr>
                    <w:jc w:val="center"/>
                    <w:rPr>
                      <w:rFonts w:hint="eastAsia"/>
                      <w:color w:val="auto"/>
                      <w:szCs w:val="21"/>
                      <w:highlight w:val="none"/>
                    </w:rPr>
                  </w:pPr>
                  <w:r>
                    <w:rPr>
                      <w:rFonts w:hint="eastAsia"/>
                      <w:color w:val="auto"/>
                      <w:szCs w:val="21"/>
                      <w:highlight w:val="none"/>
                    </w:rPr>
                    <w:t>是</w:t>
                  </w:r>
                </w:p>
              </w:tc>
            </w:tr>
            <w:tr>
              <w:trPr>
                <w:trHeight w:val="397"/>
              </w:trPr>
              <w:tc>
                <w:tcPr>
                  <w:tcW w:w="5000" w:type="pct"/>
                  <w:gridSpan w:val="6"/>
                  <w:tcBorders>
                    <w:tl2br w:val="nil"/>
                    <w:tr2bl w:val="nil"/>
                  </w:tcBorders>
                  <w:vAlign w:val="center"/>
                </w:tcPr>
                <w:p>
                  <w:pPr>
                    <w:adjustRightInd w:val="0"/>
                    <w:snapToGrid w:val="0"/>
                    <w:jc w:val="center"/>
                    <w:rPr>
                      <w:rFonts w:hint="eastAsia"/>
                      <w:color w:val="auto"/>
                      <w:szCs w:val="21"/>
                      <w:highlight w:val="none"/>
                    </w:rPr>
                  </w:pPr>
                  <w:r>
                    <w:rPr>
                      <w:rFonts w:hint="eastAsia"/>
                      <w:b/>
                      <w:bCs/>
                      <w:color w:val="auto"/>
                      <w:szCs w:val="21"/>
                      <w:highlight w:val="none"/>
                    </w:rPr>
                    <w:t>全市产业布局总体管控要求</w:t>
                  </w:r>
                </w:p>
              </w:tc>
            </w:tr>
            <w:tr>
              <w:trPr>
                <w:trHeight w:val="397"/>
              </w:trPr>
              <w:tc>
                <w:tcPr>
                  <w:tcW w:w="1039" w:type="pct"/>
                  <w:gridSpan w:val="3"/>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分类</w:t>
                  </w:r>
                </w:p>
              </w:tc>
              <w:tc>
                <w:tcPr>
                  <w:tcW w:w="1692" w:type="pct"/>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管控要求</w:t>
                  </w:r>
                </w:p>
              </w:tc>
              <w:tc>
                <w:tcPr>
                  <w:tcW w:w="1619"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项目情况</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是否符合相关要求</w:t>
                  </w:r>
                </w:p>
              </w:tc>
            </w:tr>
            <w:tr>
              <w:trPr>
                <w:trHeight w:val="397"/>
              </w:trPr>
              <w:tc>
                <w:tcPr>
                  <w:tcW w:w="1039" w:type="pct"/>
                  <w:gridSpan w:val="3"/>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产业总体布局要求</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1、严格建设项目环境准入，新、改、扩建项目的环境影响评价应满足区域、规划环评要求。</w:t>
                  </w:r>
                </w:p>
                <w:p>
                  <w:pPr>
                    <w:adjustRightInd w:val="0"/>
                    <w:snapToGrid w:val="0"/>
                    <w:rPr>
                      <w:rFonts w:hint="eastAsia"/>
                      <w:color w:val="auto"/>
                      <w:szCs w:val="21"/>
                      <w:highlight w:val="none"/>
                    </w:rPr>
                  </w:pPr>
                  <w:r>
                    <w:rPr>
                      <w:rFonts w:hint="eastAsia"/>
                      <w:color w:val="auto"/>
                      <w:szCs w:val="21"/>
                      <w:highlight w:val="none"/>
                    </w:rPr>
                    <w:t>2、新建、改建、扩建用煤项目，应当实行煤炭的等量或者减量替代。</w:t>
                  </w:r>
                </w:p>
                <w:p>
                  <w:pPr>
                    <w:adjustRightInd w:val="0"/>
                    <w:snapToGrid w:val="0"/>
                    <w:rPr>
                      <w:rFonts w:hint="eastAsia"/>
                      <w:color w:val="auto"/>
                      <w:szCs w:val="21"/>
                      <w:highlight w:val="none"/>
                    </w:rPr>
                  </w:pPr>
                  <w:r>
                    <w:rPr>
                      <w:rFonts w:hint="eastAsia"/>
                      <w:color w:val="auto"/>
                      <w:szCs w:val="21"/>
                      <w:highlight w:val="none"/>
                    </w:rPr>
                    <w:t>3、严格执行国家《产业结构调整指导目录》、《市场准入负面清单》以及《河北省禁止投资的产业目录》中准入要求。</w:t>
                  </w:r>
                </w:p>
                <w:p>
                  <w:pPr>
                    <w:adjustRightInd w:val="0"/>
                    <w:snapToGrid w:val="0"/>
                    <w:rPr>
                      <w:rFonts w:hint="eastAsia"/>
                      <w:color w:val="auto"/>
                      <w:szCs w:val="21"/>
                      <w:highlight w:val="none"/>
                    </w:rPr>
                  </w:pPr>
                  <w:r>
                    <w:rPr>
                      <w:rFonts w:hint="eastAsia"/>
                      <w:color w:val="auto"/>
                      <w:szCs w:val="21"/>
                      <w:highlight w:val="none"/>
                    </w:rPr>
                    <w:t>4、严格控制《环境保护综合名录》中</w:t>
                  </w:r>
                  <w:r>
                    <w:rPr>
                      <w:rFonts w:hint="eastAsia"/>
                      <w:color w:val="auto"/>
                      <w:szCs w:val="21"/>
                      <w:lang w:eastAsia="zh-CN"/>
                      <w:highlight w:val="none"/>
                    </w:rPr>
                    <w:t>“</w:t>
                  </w:r>
                  <w:r>
                    <w:rPr>
                      <w:rFonts w:hint="eastAsia"/>
                      <w:color w:val="auto"/>
                      <w:szCs w:val="21"/>
                      <w:highlight w:val="none"/>
                    </w:rPr>
                    <w:t>高污染、高环境风险</w:t>
                  </w:r>
                  <w:r>
                    <w:rPr>
                      <w:rFonts w:hint="eastAsia"/>
                      <w:color w:val="auto"/>
                      <w:szCs w:val="21"/>
                      <w:lang w:eastAsia="zh-CN"/>
                      <w:highlight w:val="none"/>
                    </w:rPr>
                    <w:t>”</w:t>
                  </w:r>
                  <w:r>
                    <w:rPr>
                      <w:rFonts w:hint="eastAsia"/>
                      <w:color w:val="auto"/>
                      <w:szCs w:val="21"/>
                      <w:highlight w:val="none"/>
                    </w:rPr>
                    <w:t>产品加工项目，城市工业企业退城搬迁改造及产能置换项目除外。</w:t>
                  </w:r>
                </w:p>
                <w:p>
                  <w:pPr>
                    <w:adjustRightInd w:val="0"/>
                    <w:snapToGrid w:val="0"/>
                    <w:rPr>
                      <w:rFonts w:hint="eastAsia"/>
                      <w:color w:val="auto"/>
                      <w:szCs w:val="21"/>
                      <w:highlight w:val="none"/>
                    </w:rPr>
                  </w:pPr>
                  <w:r>
                    <w:rPr>
                      <w:rFonts w:hint="eastAsia"/>
                      <w:color w:val="auto"/>
                      <w:szCs w:val="21"/>
                      <w:highlight w:val="none"/>
                    </w:rPr>
                    <w:t>5、新建项目一律不得违规占用河库管理范围。</w:t>
                  </w:r>
                </w:p>
                <w:p>
                  <w:pPr>
                    <w:adjustRightInd w:val="0"/>
                    <w:snapToGrid w:val="0"/>
                    <w:rPr>
                      <w:rFonts w:hint="eastAsia"/>
                      <w:color w:val="auto"/>
                      <w:szCs w:val="21"/>
                      <w:highlight w:val="none"/>
                    </w:rPr>
                  </w:pPr>
                  <w:r>
                    <w:rPr>
                      <w:rFonts w:hint="eastAsia"/>
                      <w:color w:val="auto"/>
                      <w:szCs w:val="21"/>
                      <w:highlight w:val="none"/>
                    </w:rPr>
                    <w:t>6、以石化、化工、涂装、医药、包装印刷、油品储运销等行业领域为重点，安全高效推进挥发性有机物</w:t>
                  </w:r>
                  <w:r>
                    <w:rPr>
                      <w:rFonts w:hint="eastAsia"/>
                      <w:color w:val="auto"/>
                      <w:szCs w:val="21"/>
                      <w:lang w:eastAsia="zh-CN"/>
                      <w:highlight w:val="none"/>
                    </w:rPr>
                    <w:t>（</w:t>
                  </w:r>
                  <w:r>
                    <w:rPr>
                      <w:rFonts w:hint="eastAsia"/>
                      <w:color w:val="auto"/>
                      <w:szCs w:val="21"/>
                      <w:highlight w:val="none"/>
                    </w:rPr>
                    <w:t>VOCs</w:t>
                  </w:r>
                  <w:r>
                    <w:rPr>
                      <w:rFonts w:hint="eastAsia"/>
                      <w:color w:val="auto"/>
                      <w:szCs w:val="21"/>
                      <w:lang w:eastAsia="zh-CN"/>
                      <w:highlight w:val="none"/>
                    </w:rPr>
                    <w:t>）</w:t>
                  </w:r>
                  <w:r>
                    <w:rPr>
                      <w:rFonts w:hint="eastAsia"/>
                      <w:color w:val="auto"/>
                      <w:szCs w:val="21"/>
                      <w:highlight w:val="none"/>
                    </w:rPr>
                    <w:t>综合治理，实施原辅材料和产品源头替代、无组织排放和末端深度治理等提升改造工程。</w:t>
                  </w:r>
                </w:p>
                <w:p>
                  <w:pPr>
                    <w:adjustRightInd w:val="0"/>
                    <w:snapToGrid w:val="0"/>
                    <w:rPr>
                      <w:rFonts w:hint="eastAsia"/>
                      <w:color w:val="auto"/>
                      <w:szCs w:val="21"/>
                      <w:highlight w:val="none"/>
                    </w:rPr>
                  </w:pPr>
                  <w:r>
                    <w:rPr>
                      <w:rFonts w:hint="eastAsia"/>
                      <w:color w:val="auto"/>
                      <w:szCs w:val="21"/>
                      <w:highlight w:val="none"/>
                    </w:rPr>
                    <w:t xml:space="preserve">7、锅炉大气污染物排放控制要求、污染物监测要求、达标判定要求按照河北省地标《锅炉大气污染物排放标准》（DB13/5161-2020）执行。 </w:t>
                  </w:r>
                </w:p>
                <w:p>
                  <w:pPr>
                    <w:adjustRightInd w:val="0"/>
                    <w:snapToGrid w:val="0"/>
                    <w:rPr>
                      <w:rFonts w:hint="eastAsia"/>
                      <w:color w:val="auto"/>
                      <w:szCs w:val="21"/>
                      <w:highlight w:val="none"/>
                    </w:rPr>
                  </w:pPr>
                  <w:r>
                    <w:rPr>
                      <w:rFonts w:hint="eastAsia"/>
                      <w:color w:val="auto"/>
                      <w:szCs w:val="21"/>
                      <w:highlight w:val="none"/>
                    </w:rPr>
                    <w:t xml:space="preserve">8、禁止在居民区和学校、医院、疗养院、养老院等单位周边新建、改建、扩建有色金属冶炼、石油加工、焦化、化工、电镀、制革等可能造成土壤污染的建设项目。 </w:t>
                  </w:r>
                </w:p>
                <w:p>
                  <w:pPr>
                    <w:adjustRightInd w:val="0"/>
                    <w:snapToGrid w:val="0"/>
                    <w:rPr>
                      <w:rFonts w:hint="eastAsia"/>
                      <w:color w:val="auto"/>
                      <w:szCs w:val="21"/>
                      <w:highlight w:val="none"/>
                    </w:rPr>
                  </w:pPr>
                  <w:r>
                    <w:rPr>
                      <w:rFonts w:hint="eastAsia"/>
                      <w:color w:val="auto"/>
                      <w:szCs w:val="21"/>
                      <w:highlight w:val="none"/>
                    </w:rPr>
                    <w:t xml:space="preserve">9、在地下水超采区控制高耗水产业发展。 </w:t>
                  </w:r>
                </w:p>
                <w:p>
                  <w:pPr>
                    <w:adjustRightInd w:val="0"/>
                    <w:snapToGrid w:val="0"/>
                    <w:rPr>
                      <w:rFonts w:hint="eastAsia"/>
                      <w:color w:val="auto"/>
                      <w:szCs w:val="21"/>
                      <w:highlight w:val="none"/>
                    </w:rPr>
                  </w:pPr>
                  <w:r>
                    <w:rPr>
                      <w:rFonts w:hint="eastAsia"/>
                      <w:color w:val="auto"/>
                      <w:szCs w:val="21"/>
                      <w:highlight w:val="none"/>
                    </w:rPr>
                    <w:t>10、涉重金属重点行业企业</w:t>
                  </w:r>
                  <w:r>
                    <w:rPr>
                      <w:rFonts w:hint="eastAsia"/>
                      <w:color w:val="auto"/>
                      <w:szCs w:val="21"/>
                      <w:lang w:eastAsia="zh-CN"/>
                      <w:highlight w:val="none"/>
                    </w:rPr>
                    <w:t>“</w:t>
                  </w:r>
                  <w:r>
                    <w:rPr>
                      <w:rFonts w:hint="eastAsia"/>
                      <w:color w:val="auto"/>
                      <w:szCs w:val="21"/>
                      <w:highlight w:val="none"/>
                    </w:rPr>
                    <w:t>十四五</w:t>
                  </w:r>
                  <w:r>
                    <w:rPr>
                      <w:rFonts w:hint="eastAsia"/>
                      <w:color w:val="auto"/>
                      <w:szCs w:val="21"/>
                      <w:lang w:eastAsia="zh-CN"/>
                      <w:highlight w:val="none"/>
                    </w:rPr>
                    <w:t>”</w:t>
                  </w:r>
                  <w:r>
                    <w:rPr>
                      <w:rFonts w:hint="eastAsia"/>
                      <w:color w:val="auto"/>
                      <w:szCs w:val="21"/>
                      <w:highlight w:val="none"/>
                    </w:rPr>
                    <w:t xml:space="preserve">期间依法依规至少开展一轮强制性清洁生产审核，到2025年底，涉重金属重点行业企业基本达到国内清洁生产先进水平。 </w:t>
                  </w:r>
                </w:p>
                <w:p>
                  <w:pPr>
                    <w:adjustRightInd w:val="0"/>
                    <w:snapToGrid w:val="0"/>
                    <w:rPr>
                      <w:rFonts w:hint="eastAsia"/>
                      <w:color w:val="auto"/>
                      <w:szCs w:val="21"/>
                      <w:highlight w:val="none"/>
                    </w:rPr>
                  </w:pPr>
                  <w:r>
                    <w:rPr>
                      <w:rFonts w:hint="eastAsia"/>
                      <w:color w:val="auto"/>
                      <w:szCs w:val="21"/>
                      <w:highlight w:val="none"/>
                    </w:rPr>
                    <w:t xml:space="preserve">11、按照《关于进一步加强塑料污染治理的实施方案》要求，石家庄城市建成区和重点领域禁止、限制部分塑料制品的生产、销售和使用。 </w:t>
                  </w:r>
                </w:p>
                <w:p>
                  <w:pPr>
                    <w:adjustRightInd w:val="0"/>
                    <w:snapToGrid w:val="0"/>
                    <w:rPr>
                      <w:rFonts w:hint="eastAsia"/>
                      <w:color w:val="auto"/>
                      <w:szCs w:val="21"/>
                      <w:highlight w:val="none"/>
                    </w:rPr>
                  </w:pPr>
                  <w:r>
                    <w:rPr>
                      <w:rFonts w:hint="eastAsia"/>
                      <w:color w:val="auto"/>
                      <w:szCs w:val="21"/>
                      <w:highlight w:val="none"/>
                    </w:rPr>
                    <w:t>12、实施制造业绿色改造重点专项，开展制造业绿色发展示范工程，推进生物医药、化工、钢铁等行业工艺技术装备绿色化改造。鼓励企业实施绿色战略、绿色标准、绿色管理和绿色生产，推行</w:t>
                  </w:r>
                  <w:r>
                    <w:rPr>
                      <w:rFonts w:hint="eastAsia"/>
                      <w:color w:val="auto"/>
                      <w:szCs w:val="21"/>
                      <w:lang w:eastAsia="zh-CN"/>
                      <w:highlight w:val="none"/>
                    </w:rPr>
                    <w:t>“</w:t>
                  </w:r>
                  <w:r>
                    <w:rPr>
                      <w:rFonts w:hint="eastAsia"/>
                      <w:color w:val="auto"/>
                      <w:szCs w:val="21"/>
                      <w:highlight w:val="none"/>
                    </w:rPr>
                    <w:t>互联网+绿色制造</w:t>
                  </w:r>
                  <w:r>
                    <w:rPr>
                      <w:rFonts w:hint="eastAsia"/>
                      <w:color w:val="auto"/>
                      <w:szCs w:val="21"/>
                      <w:lang w:eastAsia="zh-CN"/>
                      <w:highlight w:val="none"/>
                    </w:rPr>
                    <w:t>”</w:t>
                  </w:r>
                  <w:r>
                    <w:rPr>
                      <w:rFonts w:hint="eastAsia"/>
                      <w:color w:val="auto"/>
                      <w:szCs w:val="21"/>
                      <w:highlight w:val="none"/>
                    </w:rPr>
                    <w:t xml:space="preserve">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色机场等示范工程。全面推行清洁生产，推进钢铁、石化、建材、纺织、食品等重点行业强制性清洁生产审核。 </w:t>
                  </w:r>
                </w:p>
                <w:p>
                  <w:pPr>
                    <w:adjustRightInd w:val="0"/>
                    <w:snapToGrid w:val="0"/>
                    <w:rPr>
                      <w:rFonts w:hint="eastAsia"/>
                      <w:color w:val="auto"/>
                      <w:szCs w:val="21"/>
                      <w:highlight w:val="none"/>
                    </w:rPr>
                  </w:pPr>
                  <w:r>
                    <w:rPr>
                      <w:rFonts w:hint="eastAsia"/>
                      <w:color w:val="auto"/>
                      <w:szCs w:val="21"/>
                      <w:highlight w:val="none"/>
                    </w:rPr>
                    <w:t>13、新建、改建、扩建</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项目须符合生态环境保护法律法规和相关法定规划，满足重点污染物排放总量控制、碳排放达峰目标、生态环境准入清单、相关规划环评和相应行业建设项目环境准入条件、环评文件审批原则要求。新增主要污染物排放量的</w:t>
                  </w:r>
                  <w:r>
                    <w:rPr>
                      <w:rFonts w:hint="eastAsia"/>
                      <w:color w:val="auto"/>
                      <w:szCs w:val="21"/>
                      <w:lang w:eastAsia="zh-CN"/>
                      <w:highlight w:val="none"/>
                    </w:rPr>
                    <w:t>“</w:t>
                  </w:r>
                  <w:r>
                    <w:rPr>
                      <w:rFonts w:hint="eastAsia"/>
                      <w:color w:val="auto"/>
                      <w:szCs w:val="21"/>
                      <w:highlight w:val="none"/>
                    </w:rPr>
                    <w:t>两高</w:t>
                  </w:r>
                  <w:r>
                    <w:rPr>
                      <w:rFonts w:hint="eastAsia"/>
                      <w:color w:val="auto"/>
                      <w:szCs w:val="21"/>
                      <w:lang w:eastAsia="zh-CN"/>
                      <w:highlight w:val="none"/>
                    </w:rPr>
                    <w:t>”</w:t>
                  </w:r>
                  <w:r>
                    <w:rPr>
                      <w:rFonts w:hint="eastAsia"/>
                      <w:color w:val="auto"/>
                      <w:szCs w:val="21"/>
                      <w:highlight w:val="none"/>
                    </w:rPr>
                    <w:t xml:space="preserve">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 </w:t>
                  </w:r>
                </w:p>
                <w:p>
                  <w:pPr>
                    <w:adjustRightInd w:val="0"/>
                    <w:snapToGrid w:val="0"/>
                    <w:rPr>
                      <w:rFonts w:hint="eastAsia"/>
                      <w:color w:val="auto"/>
                      <w:szCs w:val="21"/>
                      <w:highlight w:val="none"/>
                    </w:rPr>
                  </w:pPr>
                  <w:r>
                    <w:rPr>
                      <w:rFonts w:hint="eastAsia"/>
                      <w:color w:val="auto"/>
                      <w:szCs w:val="21"/>
                      <w:highlight w:val="none"/>
                    </w:rPr>
                    <w:t>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w:t>
                  </w:r>
                  <w:r>
                    <w:rPr>
                      <w:rFonts w:hint="eastAsia"/>
                      <w:color w:val="auto"/>
                      <w:szCs w:val="21"/>
                      <w:lang w:eastAsia="zh-CN"/>
                      <w:highlight w:val="none"/>
                    </w:rPr>
                    <w:t>“</w:t>
                  </w:r>
                  <w:r>
                    <w:rPr>
                      <w:rFonts w:hint="eastAsia"/>
                      <w:color w:val="auto"/>
                      <w:szCs w:val="21"/>
                      <w:highlight w:val="none"/>
                    </w:rPr>
                    <w:t>一区多园</w:t>
                  </w:r>
                  <w:r>
                    <w:rPr>
                      <w:rFonts w:hint="eastAsia"/>
                      <w:color w:val="auto"/>
                      <w:szCs w:val="21"/>
                      <w:lang w:eastAsia="zh-CN"/>
                      <w:highlight w:val="none"/>
                    </w:rPr>
                    <w:t>”</w:t>
                  </w:r>
                  <w:r>
                    <w:rPr>
                      <w:rFonts w:hint="eastAsia"/>
                      <w:color w:val="auto"/>
                      <w:szCs w:val="21"/>
                      <w:highlight w:val="none"/>
                    </w:rPr>
                    <w:t>的产业园区，应整体开展规划环境影响评价（跟踪评价）工作，实现规划环评</w:t>
                  </w:r>
                  <w:r>
                    <w:rPr>
                      <w:rFonts w:hint="eastAsia"/>
                      <w:color w:val="auto"/>
                      <w:szCs w:val="21"/>
                      <w:lang w:eastAsia="zh-CN"/>
                      <w:highlight w:val="none"/>
                    </w:rPr>
                    <w:t>“</w:t>
                  </w:r>
                  <w:r>
                    <w:rPr>
                      <w:rFonts w:hint="eastAsia"/>
                      <w:color w:val="auto"/>
                      <w:szCs w:val="21"/>
                      <w:highlight w:val="none"/>
                    </w:rPr>
                    <w:t>一本制</w:t>
                  </w:r>
                  <w:r>
                    <w:rPr>
                      <w:rFonts w:hint="eastAsia"/>
                      <w:color w:val="auto"/>
                      <w:szCs w:val="21"/>
                      <w:lang w:eastAsia="zh-CN"/>
                      <w:highlight w:val="none"/>
                    </w:rPr>
                    <w:t>”</w:t>
                  </w:r>
                  <w:r>
                    <w:rPr>
                      <w:rFonts w:hint="eastAsia"/>
                      <w:color w:val="auto"/>
                      <w:szCs w:val="21"/>
                      <w:highlight w:val="none"/>
                    </w:rPr>
                    <w:t>。</w:t>
                  </w:r>
                </w:p>
              </w:tc>
              <w:tc>
                <w:tcPr>
                  <w:tcW w:w="1619" w:type="pct"/>
                  <w:tcBorders>
                    <w:tl2br w:val="nil"/>
                    <w:tr2bl w:val="nil"/>
                  </w:tcBorders>
                  <w:vAlign w:val="center"/>
                </w:tcPr>
                <w:p>
                  <w:pPr>
                    <w:adjustRightInd w:val="0"/>
                    <w:snapToGrid w:val="0"/>
                    <w:rPr>
                      <w:color w:val="auto"/>
                      <w:szCs w:val="21"/>
                      <w:highlight w:val="none"/>
                    </w:rPr>
                  </w:pPr>
                  <w:r>
                    <w:rPr>
                      <w:rFonts w:hint="eastAsia"/>
                      <w:color w:val="auto"/>
                      <w:szCs w:val="21"/>
                      <w:highlight w:val="none"/>
                    </w:rPr>
                    <w:t>1.项目不属于《市场准入负面清单（2025年版）》中的禁止类项目</w:t>
                  </w:r>
                  <w:r>
                    <w:rPr>
                      <w:rFonts w:hint="eastAsia"/>
                      <w:color w:val="auto"/>
                      <w:highlight w:val="none"/>
                    </w:rPr>
                    <w:t>，</w:t>
                  </w:r>
                  <w:r>
                    <w:rPr>
                      <w:rFonts w:hint="eastAsia"/>
                      <w:color w:val="auto"/>
                      <w:szCs w:val="21"/>
                      <w:highlight w:val="none"/>
                    </w:rPr>
                    <w:t>为允许建设项目。</w:t>
                  </w:r>
                </w:p>
                <w:p>
                  <w:pPr>
                    <w:adjustRightInd w:val="0"/>
                    <w:snapToGrid w:val="0"/>
                    <w:rPr>
                      <w:rFonts w:hint="eastAsia"/>
                      <w:color w:val="auto"/>
                      <w:szCs w:val="21"/>
                      <w:highlight w:val="none"/>
                    </w:rPr>
                  </w:pPr>
                  <w:r>
                    <w:rPr>
                      <w:rFonts w:hint="eastAsia"/>
                      <w:color w:val="auto"/>
                      <w:szCs w:val="21"/>
                      <w:highlight w:val="none"/>
                    </w:rPr>
                    <w:t>2.项目不涉及煤炭的使用。</w:t>
                  </w:r>
                </w:p>
                <w:p>
                  <w:pPr>
                    <w:adjustRightInd w:val="0"/>
                    <w:snapToGrid w:val="0"/>
                    <w:rPr>
                      <w:color w:val="auto"/>
                      <w:szCs w:val="21"/>
                      <w:highlight w:val="none"/>
                    </w:rPr>
                  </w:pPr>
                  <w:r>
                    <w:rPr>
                      <w:rFonts w:hint="eastAsia"/>
                      <w:color w:val="auto"/>
                      <w:szCs w:val="21"/>
                      <w:highlight w:val="none"/>
                    </w:rPr>
                    <w:t>3.项目不属于《市场准入负面清单（2025年版）》中的禁止类项目，符合相关要求。</w:t>
                  </w:r>
                </w:p>
                <w:p>
                  <w:pPr>
                    <w:adjustRightInd w:val="0"/>
                    <w:snapToGrid w:val="0"/>
                    <w:rPr>
                      <w:rFonts w:hint="eastAsia"/>
                      <w:color w:val="auto"/>
                      <w:szCs w:val="21"/>
                      <w:highlight w:val="none"/>
                    </w:rPr>
                  </w:pPr>
                  <w:r>
                    <w:rPr>
                      <w:rFonts w:hint="eastAsia"/>
                      <w:color w:val="auto"/>
                      <w:szCs w:val="21"/>
                      <w:highlight w:val="none"/>
                    </w:rPr>
                    <w:t>4.项目不属于</w:t>
                  </w:r>
                  <w:r>
                    <w:rPr>
                      <w:rFonts w:hint="eastAsia"/>
                      <w:color w:val="auto"/>
                      <w:szCs w:val="21"/>
                      <w:lang w:eastAsia="zh-CN"/>
                      <w:highlight w:val="none"/>
                    </w:rPr>
                    <w:t>“</w:t>
                  </w:r>
                  <w:r>
                    <w:rPr>
                      <w:rFonts w:hint="eastAsia"/>
                      <w:color w:val="auto"/>
                      <w:szCs w:val="21"/>
                      <w:highlight w:val="none"/>
                    </w:rPr>
                    <w:t>高污染、高环境风险</w:t>
                  </w:r>
                  <w:r>
                    <w:rPr>
                      <w:rFonts w:hint="eastAsia"/>
                      <w:color w:val="auto"/>
                      <w:szCs w:val="21"/>
                      <w:lang w:eastAsia="zh-CN"/>
                      <w:highlight w:val="none"/>
                    </w:rPr>
                    <w:t>”</w:t>
                  </w:r>
                  <w:r>
                    <w:rPr>
                      <w:rFonts w:hint="eastAsia"/>
                      <w:color w:val="auto"/>
                      <w:szCs w:val="21"/>
                      <w:highlight w:val="none"/>
                    </w:rPr>
                    <w:t>产品加工项目，不属于城市工业企业。</w:t>
                  </w:r>
                </w:p>
                <w:p>
                  <w:pPr>
                    <w:adjustRightInd w:val="0"/>
                    <w:snapToGrid w:val="0"/>
                    <w:rPr>
                      <w:rFonts w:hint="eastAsia"/>
                      <w:color w:val="auto"/>
                      <w:szCs w:val="21"/>
                      <w:highlight w:val="none"/>
                    </w:rPr>
                  </w:pPr>
                  <w:r>
                    <w:rPr>
                      <w:rFonts w:hint="eastAsia"/>
                      <w:color w:val="auto"/>
                      <w:szCs w:val="21"/>
                      <w:highlight w:val="none"/>
                    </w:rPr>
                    <w:t>5.项目不占用河库管理范围。</w:t>
                  </w:r>
                </w:p>
                <w:p>
                  <w:pPr>
                    <w:adjustRightInd w:val="0"/>
                    <w:snapToGrid w:val="0"/>
                    <w:rPr>
                      <w:rFonts w:hint="eastAsia"/>
                      <w:color w:val="auto"/>
                      <w:szCs w:val="21"/>
                      <w:highlight w:val="none"/>
                    </w:rPr>
                  </w:pPr>
                  <w:r>
                    <w:rPr>
                      <w:rFonts w:hint="eastAsia"/>
                      <w:color w:val="auto"/>
                      <w:szCs w:val="21"/>
                      <w:highlight w:val="none"/>
                    </w:rPr>
                    <w:t>6.项目不属于石化、化工、涂装、医药、包装印刷、油品储运销等行业。</w:t>
                  </w:r>
                </w:p>
                <w:p>
                  <w:pPr>
                    <w:adjustRightInd w:val="0"/>
                    <w:snapToGrid w:val="0"/>
                    <w:rPr>
                      <w:rFonts w:hint="eastAsia"/>
                      <w:color w:val="auto"/>
                      <w:szCs w:val="21"/>
                      <w:highlight w:val="none"/>
                    </w:rPr>
                  </w:pPr>
                  <w:r>
                    <w:rPr>
                      <w:rFonts w:hint="eastAsia"/>
                      <w:color w:val="auto"/>
                      <w:szCs w:val="21"/>
                      <w:highlight w:val="none"/>
                    </w:rPr>
                    <w:t>7.项目不涉及锅炉使用。</w:t>
                  </w:r>
                </w:p>
                <w:p>
                  <w:pPr>
                    <w:adjustRightInd w:val="0"/>
                    <w:snapToGrid w:val="0"/>
                    <w:rPr>
                      <w:rFonts w:hint="eastAsia"/>
                      <w:color w:val="auto"/>
                      <w:szCs w:val="21"/>
                      <w:highlight w:val="none"/>
                    </w:rPr>
                  </w:pPr>
                  <w:r>
                    <w:rPr>
                      <w:rFonts w:hint="eastAsia"/>
                      <w:color w:val="auto"/>
                      <w:szCs w:val="21"/>
                      <w:highlight w:val="none"/>
                    </w:rPr>
                    <w:t>8.项目不属于有色金属冶炼、石油加工、焦化、化工、电镀、制革等可能造成土壤污染的建设项目。</w:t>
                  </w:r>
                </w:p>
                <w:p>
                  <w:pPr>
                    <w:adjustRightInd w:val="0"/>
                    <w:snapToGrid w:val="0"/>
                    <w:rPr>
                      <w:rFonts w:hint="eastAsia"/>
                      <w:color w:val="auto"/>
                      <w:szCs w:val="21"/>
                      <w:highlight w:val="none"/>
                    </w:rPr>
                  </w:pPr>
                  <w:r>
                    <w:rPr>
                      <w:rFonts w:hint="eastAsia"/>
                      <w:color w:val="auto"/>
                      <w:szCs w:val="21"/>
                      <w:highlight w:val="none"/>
                    </w:rPr>
                    <w:t>9.项目用水</w:t>
                  </w:r>
                  <w:r>
                    <w:rPr>
                      <w:rFonts w:ascii="Times New Roman" w:cs="Times New Roman" w:hAnsi="Times New Roman"/>
                      <w:b w:val="0"/>
                      <w:bCs w:val="0"/>
                      <w:color w:val="auto"/>
                      <w:highlight w:val="none"/>
                    </w:rPr>
                    <w:t>由园区供水管网供给</w:t>
                  </w:r>
                  <w:r>
                    <w:rPr>
                      <w:rFonts w:hint="eastAsia"/>
                      <w:color w:val="auto"/>
                      <w:szCs w:val="21"/>
                      <w:highlight w:val="none"/>
                    </w:rPr>
                    <w:t>，不开采地下水。</w:t>
                  </w:r>
                </w:p>
                <w:p>
                  <w:pPr>
                    <w:adjustRightInd w:val="0"/>
                    <w:snapToGrid w:val="0"/>
                    <w:rPr>
                      <w:rFonts w:hint="eastAsia"/>
                      <w:color w:val="auto"/>
                      <w:szCs w:val="21"/>
                      <w:highlight w:val="none"/>
                    </w:rPr>
                  </w:pPr>
                  <w:r>
                    <w:rPr>
                      <w:rFonts w:hint="eastAsia"/>
                      <w:color w:val="auto"/>
                      <w:szCs w:val="21"/>
                      <w:highlight w:val="none"/>
                    </w:rPr>
                    <w:t>10.项目不涉及重金属。</w:t>
                  </w:r>
                </w:p>
                <w:p>
                  <w:pPr>
                    <w:adjustRightInd w:val="0"/>
                    <w:snapToGrid w:val="0"/>
                    <w:rPr>
                      <w:rFonts w:hint="eastAsia"/>
                      <w:color w:val="auto"/>
                      <w:szCs w:val="21"/>
                      <w:highlight w:val="none"/>
                    </w:rPr>
                  </w:pPr>
                  <w:r>
                    <w:rPr>
                      <w:rFonts w:hint="eastAsia"/>
                      <w:color w:val="auto"/>
                      <w:szCs w:val="21"/>
                      <w:highlight w:val="none"/>
                    </w:rPr>
                    <w:t>11.项目不属于禁止、限制部分塑料制品的生产、销售和使用。</w:t>
                  </w:r>
                </w:p>
                <w:p>
                  <w:pPr>
                    <w:adjustRightInd w:val="0"/>
                    <w:snapToGrid w:val="0"/>
                    <w:rPr>
                      <w:rFonts w:hint="eastAsia"/>
                      <w:color w:val="auto"/>
                      <w:szCs w:val="21"/>
                      <w:highlight w:val="none"/>
                    </w:rPr>
                  </w:pPr>
                  <w:r>
                    <w:rPr>
                      <w:rFonts w:hint="eastAsia"/>
                      <w:color w:val="auto"/>
                      <w:szCs w:val="21"/>
                      <w:highlight w:val="none"/>
                    </w:rPr>
                    <w:t>12.项目生产均在密闭车间内，实现绿色管理和绿色生产。</w:t>
                  </w:r>
                </w:p>
                <w:p>
                  <w:pPr>
                    <w:adjustRightInd w:val="0"/>
                    <w:snapToGrid w:val="0"/>
                    <w:rPr>
                      <w:rFonts w:hint="eastAsia"/>
                      <w:color w:val="auto"/>
                      <w:szCs w:val="21"/>
                      <w:highlight w:val="none"/>
                    </w:rPr>
                  </w:pPr>
                  <w:r>
                    <w:rPr>
                      <w:rFonts w:hint="eastAsia"/>
                      <w:color w:val="auto"/>
                      <w:szCs w:val="21"/>
                      <w:highlight w:val="none"/>
                    </w:rPr>
                    <w:t>13.项目不属于两高项目。</w:t>
                  </w:r>
                </w:p>
                <w:p>
                  <w:pPr>
                    <w:adjustRightInd w:val="0"/>
                    <w:snapToGrid w:val="0"/>
                    <w:rPr>
                      <w:color w:val="auto"/>
                      <w:szCs w:val="21"/>
                      <w:highlight w:val="none"/>
                    </w:rPr>
                  </w:pPr>
                  <w:r>
                    <w:rPr>
                      <w:rFonts w:hint="eastAsia"/>
                      <w:color w:val="auto"/>
                      <w:szCs w:val="21"/>
                      <w:highlight w:val="none"/>
                    </w:rPr>
                    <w:t>14.项目不属于产业园区项目，根据要求，依法进行环评编制工作。</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r>
              <w:trPr>
                <w:trHeight w:val="397"/>
              </w:trPr>
              <w:tc>
                <w:tcPr>
                  <w:tcW w:w="1039" w:type="pct"/>
                  <w:gridSpan w:val="3"/>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项目入园准入要求</w:t>
                  </w:r>
                </w:p>
              </w:tc>
              <w:tc>
                <w:tcPr>
                  <w:tcW w:w="1692" w:type="pct"/>
                  <w:tcBorders>
                    <w:tl2br w:val="nil"/>
                    <w:tr2bl w:val="nil"/>
                  </w:tcBorders>
                  <w:vAlign w:val="center"/>
                </w:tcPr>
                <w:p>
                  <w:pPr>
                    <w:adjustRightInd w:val="0"/>
                    <w:snapToGrid w:val="0"/>
                    <w:rPr>
                      <w:rFonts w:hint="eastAsia"/>
                      <w:color w:val="auto"/>
                      <w:szCs w:val="21"/>
                      <w:highlight w:val="none"/>
                    </w:rPr>
                  </w:pPr>
                  <w:r>
                    <w:rPr>
                      <w:rFonts w:hint="eastAsia"/>
                      <w:color w:val="auto"/>
                      <w:szCs w:val="21"/>
                      <w:highlight w:val="none"/>
                    </w:rPr>
                    <w:t>1、县级以下原则不再建设新的园区，造纸、焦化、氮肥、有色金属、印染、原料药制造、皮革、农药、电镀、钢铁、石灰、平板玻璃、石化、化工等高污染工业项目必须入园进区。被认定为重点监控点的化工企业，可按照《河北省人民政府办公厅关于印发河北省化工重点监控点认定办法的通知》（冀政办字〔2021〕122号）相关要求执行。</w:t>
                  </w:r>
                </w:p>
                <w:p>
                  <w:pPr>
                    <w:adjustRightInd w:val="0"/>
                    <w:snapToGrid w:val="0"/>
                    <w:rPr>
                      <w:rFonts w:hint="eastAsia"/>
                      <w:color w:val="auto"/>
                      <w:szCs w:val="21"/>
                      <w:highlight w:val="none"/>
                    </w:rPr>
                  </w:pPr>
                  <w:r>
                    <w:rPr>
                      <w:rFonts w:hint="eastAsia"/>
                      <w:color w:val="auto"/>
                      <w:szCs w:val="21"/>
                      <w:highlight w:val="none"/>
                    </w:rPr>
                    <w:t>2、加强园区规划及环评时效性。现有县市级工业区在遵从规划、规划环评及跟踪评价的要求前提下，严格遵循全省、地市及对应单元生态环境准入要求。</w:t>
                  </w:r>
                </w:p>
                <w:p>
                  <w:pPr>
                    <w:adjustRightInd w:val="0"/>
                    <w:snapToGrid w:val="0"/>
                    <w:rPr>
                      <w:rFonts w:hint="eastAsia"/>
                      <w:color w:val="auto"/>
                      <w:szCs w:val="21"/>
                      <w:highlight w:val="none"/>
                    </w:rPr>
                  </w:pPr>
                  <w:r>
                    <w:rPr>
                      <w:rFonts w:hint="eastAsia"/>
                      <w:color w:val="auto"/>
                      <w:szCs w:val="21"/>
                      <w:highlight w:val="none"/>
                    </w:rPr>
                    <w:t>3、对新设立或扩区未开展规划环评的园区，规划定位、范围、布局、结构、规模等发生调整未开展规划环评调整的以及规划实施已超过5年未进行规划环境影响跟踪评价的园区，督促园区管委会抓紧整改。</w:t>
                  </w:r>
                </w:p>
                <w:p>
                  <w:pPr>
                    <w:adjustRightInd w:val="0"/>
                    <w:snapToGrid w:val="0"/>
                    <w:rPr>
                      <w:rFonts w:hint="eastAsia"/>
                      <w:color w:val="auto"/>
                      <w:szCs w:val="21"/>
                      <w:highlight w:val="none"/>
                    </w:rPr>
                  </w:pPr>
                  <w:r>
                    <w:rPr>
                      <w:rFonts w:hint="eastAsia"/>
                      <w:color w:val="auto"/>
                      <w:szCs w:val="21"/>
                      <w:highlight w:val="none"/>
                    </w:rPr>
                    <w:t>4、各级行政审批部门应把规划环评结论及审查意见的符合性作为入园建设项目环评审批的重要依据。严格落实产业园区规划环评对项目环评的指导要求，规划环评提出需要深入论证的，在项目环评审批阶段应重点把关。按要求可以简化内容的项目环评，不再增加相关环评内容要求。</w:t>
                  </w:r>
                </w:p>
              </w:tc>
              <w:tc>
                <w:tcPr>
                  <w:tcW w:w="1619" w:type="pct"/>
                  <w:tcBorders>
                    <w:tl2br w:val="nil"/>
                    <w:tr2bl w:val="nil"/>
                  </w:tcBorders>
                  <w:vAlign w:val="center"/>
                </w:tcPr>
                <w:p>
                  <w:pPr>
                    <w:adjustRightInd w:val="0"/>
                    <w:snapToGrid w:val="0"/>
                    <w:rPr>
                      <w:color w:val="auto"/>
                      <w:highlight w:val="none"/>
                    </w:rPr>
                  </w:pPr>
                  <w:r>
                    <w:rPr>
                      <w:rFonts w:hint="eastAsia"/>
                      <w:color w:val="auto"/>
                      <w:szCs w:val="21"/>
                      <w:highlight w:val="none"/>
                    </w:rPr>
                    <w:t>项目不属于高污染工业必须入园项目。</w:t>
                  </w:r>
                </w:p>
              </w:tc>
              <w:tc>
                <w:tcPr>
                  <w:tcW w:w="648" w:type="pct"/>
                  <w:tcBorders>
                    <w:tl2br w:val="nil"/>
                    <w:tr2bl w:val="nil"/>
                  </w:tcBorders>
                  <w:vAlign w:val="center"/>
                </w:tcPr>
                <w:p>
                  <w:pPr>
                    <w:adjustRightInd w:val="0"/>
                    <w:snapToGrid w:val="0"/>
                    <w:jc w:val="center"/>
                    <w:rPr>
                      <w:rFonts w:hint="eastAsia"/>
                      <w:color w:val="auto"/>
                      <w:szCs w:val="21"/>
                      <w:highlight w:val="none"/>
                    </w:rPr>
                  </w:pPr>
                  <w:r>
                    <w:rPr>
                      <w:rFonts w:hint="eastAsia"/>
                      <w:color w:val="auto"/>
                      <w:szCs w:val="21"/>
                      <w:highlight w:val="none"/>
                    </w:rPr>
                    <w:t>是</w:t>
                  </w:r>
                </w:p>
              </w:tc>
            </w:tr>
          </w:tbl>
          <w:p>
            <w:pPr>
              <w:ind w:firstLineChars="200" w:firstLine="480"/>
              <w:jc w:val="center"/>
              <w:rPr>
                <w:rFonts w:hint="eastAsia"/>
                <w:b/>
                <w:bCs/>
                <w:color w:val="auto"/>
                <w:sz w:val="24"/>
                <w:highlight w:val="none"/>
              </w:rPr>
            </w:pPr>
            <w:r>
              <w:rPr>
                <w:rFonts w:hint="eastAsia"/>
                <w:b/>
                <w:bCs/>
                <w:color w:val="auto"/>
                <w:sz w:val="24"/>
                <w:highlight w:val="none"/>
              </w:rPr>
              <w:t>表1-</w:t>
            </w:r>
            <w:r>
              <w:rPr>
                <w:rFonts w:hint="eastAsia"/>
                <w:b/>
                <w:bCs/>
                <w:color w:val="auto"/>
                <w:sz w:val="24"/>
                <w:lang w:val="en-US" w:eastAsia="zh-CN"/>
                <w:highlight w:val="none"/>
              </w:rPr>
              <w:t>9</w:t>
            </w:r>
            <w:r>
              <w:rPr>
                <w:rFonts w:hint="eastAsia"/>
                <w:b/>
                <w:bCs/>
                <w:color w:val="auto"/>
                <w:sz w:val="24"/>
                <w:highlight w:val="none"/>
              </w:rPr>
              <w:t xml:space="preserve">  栾城区生态环境准入清单</w:t>
            </w:r>
          </w:p>
          <w:tbl>
            <w:tblPr>
              <w:jc w:val="left"/>
              <w:tblInd w:w="5" w:type="dxa"/>
              <w:tblW w:w="7592"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08"/>
              <w:gridCol w:w="349"/>
              <w:gridCol w:w="740"/>
              <w:gridCol w:w="567"/>
              <w:gridCol w:w="2476"/>
              <w:gridCol w:w="2134"/>
              <w:gridCol w:w="618"/>
            </w:tblGrid>
            <w:tr>
              <w:trPr>
                <w:trHeight w:val="340"/>
              </w:trPr>
              <w:tc>
                <w:tcPr>
                  <w:tcW w:w="70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县（市、区）</w:t>
                  </w:r>
                </w:p>
              </w:tc>
              <w:tc>
                <w:tcPr>
                  <w:tcW w:w="349"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单元</w:t>
                  </w:r>
                </w:p>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类别</w:t>
                  </w:r>
                </w:p>
              </w:tc>
              <w:tc>
                <w:tcPr>
                  <w:tcW w:w="740"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环境要素要求</w:t>
                  </w: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维度</w:t>
                  </w:r>
                </w:p>
              </w:tc>
              <w:tc>
                <w:tcPr>
                  <w:tcW w:w="2476"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管控措施</w:t>
                  </w:r>
                </w:p>
              </w:tc>
              <w:tc>
                <w:tcPr>
                  <w:tcW w:w="2134"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项目情况</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是否符合相关要求</w:t>
                  </w:r>
                </w:p>
              </w:tc>
            </w:tr>
            <w:tr>
              <w:trPr>
                <w:trHeight w:val="340"/>
              </w:trPr>
              <w:tc>
                <w:tcPr>
                  <w:tcW w:w="708"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栾城区</w:t>
                  </w:r>
                </w:p>
              </w:tc>
              <w:tc>
                <w:tcPr>
                  <w:tcW w:w="349"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重点管控单元8</w:t>
                  </w:r>
                </w:p>
              </w:tc>
              <w:tc>
                <w:tcPr>
                  <w:tcW w:w="740" w:type="dxa"/>
                  <w:vMerge w:val="restart"/>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大气环境高排放重点管控区水环境工业污染重点管控区、河北石家庄装备制造产业园、高污染燃料禁燃区</w:t>
                  </w: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空间布局约束</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1、严格落实国家、河北省以及石家庄市最新产业目录准入要求。</w:t>
                  </w:r>
                </w:p>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2、严格落实最新规划环评及其审查意见制定的环境准入要求。</w:t>
                  </w:r>
                </w:p>
              </w:tc>
              <w:tc>
                <w:tcPr>
                  <w:tcW w:w="2134" w:type="dxa"/>
                  <w:tcBorders>
                    <w:tl2br w:val="nil"/>
                    <w:tr2bl w:val="nil"/>
                  </w:tcBorders>
                  <w:vAlign w:val="center"/>
                </w:tcPr>
                <w:p>
                  <w:pPr>
                    <w:pStyle w:val="68"/>
                    <w:tabs>
                      <w:tab w:val="left" w:pos="0"/>
                      <w:tab w:val="left" w:pos="360"/>
                      <w:tab w:val="left" w:pos="900"/>
                    </w:tabs>
                    <w:rPr>
                      <w:rFonts w:ascii="Times New Roman" w:cs="Times New Roman" w:hAnsi="Times New Roman"/>
                      <w:color w:val="auto"/>
                      <w:highlight w:val="none"/>
                    </w:rPr>
                  </w:pPr>
                  <w:r>
                    <w:rPr>
                      <w:rFonts w:ascii="Times New Roman" w:cs="Times New Roman" w:hAnsi="Times New Roman"/>
                      <w:color w:val="auto"/>
                      <w:highlight w:val="none"/>
                    </w:rPr>
                    <w:t>项目符合国家产业政策；</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污染物排放管控</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新（改、扩）建向环境水体直接排放污水的排污单位执行《子牙河流域水污染物排放标准》（DB13/2796-2018）排放限值。2、落实《关于加强重点行业建设项目区域削减措施监督管理的通知》环办环评〔2020〕36号的要求。3、建材（含水泥、玻璃、陶瓷、石灰）、化工、铸造等行业企业料堆场按照河北省《煤场、料场、渣场扬尘污染控制技术规范》（DB13/T2352-2016）地方标准存储要求，实现规范管理。4、深入开展质量提升行动，在印染、化工等行业，依法实施强制性清洁生产审核。</w:t>
                  </w:r>
                </w:p>
              </w:tc>
              <w:tc>
                <w:tcPr>
                  <w:tcW w:w="2134" w:type="dxa"/>
                  <w:tcBorders>
                    <w:tl2br w:val="nil"/>
                    <w:tr2bl w:val="nil"/>
                  </w:tcBorders>
                  <w:vAlign w:val="center"/>
                </w:tcPr>
                <w:p>
                  <w:pPr>
                    <w:pStyle w:val="68"/>
                    <w:tabs>
                      <w:tab w:val="left" w:pos="0"/>
                      <w:tab w:val="left" w:pos="360"/>
                      <w:tab w:val="left" w:pos="900"/>
                    </w:tabs>
                    <w:jc w:val="both"/>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pPr>
                  <w:r>
                    <w:rPr>
                      <w:rFonts w:ascii="Times New Roman" w:cs="Times New Roman" w:hAnsi="Times New Roman"/>
                      <w:color w:val="auto"/>
                      <w:szCs w:val="21"/>
                      <w:highlight w:val="none"/>
                    </w:rPr>
                    <w:t>1、</w:t>
                  </w:r>
                  <w:r>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t>项目</w:t>
                  </w:r>
                  <w:r>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t>废水主要为生活污水</w:t>
                  </w:r>
                  <w:r>
                    <w:rPr>
                      <w:rFonts w:eastAsia="Segoe UI" w:cs="Times New Roman" w:hint="eastAsia"/>
                      <w:bCs w:val="0"/>
                      <w:i w:val="0"/>
                      <w:iCs w:val="0"/>
                      <w:caps w:val="0"/>
                      <w:smallCaps w:val="0"/>
                      <w:color w:val="auto"/>
                      <w:spacing w:val="0"/>
                      <w:kern w:val="0"/>
                      <w:sz w:val="21"/>
                      <w:szCs w:val="21"/>
                      <w:shd w:val="clear" w:color="auto" w:fill="FFFFFF"/>
                      <w:lang w:val="en-US" w:eastAsia="zh-CN" w:bidi="ar-SA"/>
                      <w:highlight w:val="none"/>
                    </w:rPr>
                    <w:t>，</w:t>
                  </w:r>
                  <w:r>
                    <w:rPr>
                      <w:rFonts w:ascii="Times New Roman" w:eastAsia="宋体" w:cs="Times New Roman" w:hAnsi="Times New Roman"/>
                      <w:color w:val="auto"/>
                      <w:kern w:val="2"/>
                      <w:sz w:val="21"/>
                      <w:szCs w:val="21"/>
                      <w:lang w:val="en-US" w:eastAsia="zh-CN" w:bidi="ar-SA"/>
                      <w:highlight w:val="none"/>
                    </w:rPr>
                    <w:t>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Segoe UI" w:cs="Times New Roman" w:hAnsi="Times New Roman" w:hint="eastAsia"/>
                      <w:i w:val="0"/>
                      <w:iCs w:val="0"/>
                      <w:caps w:val="0"/>
                      <w:smallCaps w:val="0"/>
                      <w:color w:val="auto"/>
                      <w:spacing w:val="0"/>
                      <w:sz w:val="21"/>
                      <w:szCs w:val="21"/>
                      <w:shd w:val="clear" w:color="auto" w:fill="FFFFFF"/>
                      <w:lang w:val="en-US" w:eastAsia="zh-CN"/>
                      <w:highlight w:val="none"/>
                    </w:rPr>
                    <w:t>。</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2、</w:t>
                  </w:r>
                  <w:r>
                    <w:rPr>
                      <w:rFonts w:ascii="Times New Roman" w:cs="Times New Roman" w:hAnsi="Times New Roman"/>
                      <w:color w:val="auto"/>
                      <w:szCs w:val="21"/>
                      <w:highlight w:val="none"/>
                    </w:rPr>
                    <w:t>项目不属于</w:t>
                  </w:r>
                  <w:r>
                    <w:rPr>
                      <w:rFonts w:ascii="Times New Roman" w:cs="Times New Roman" w:hAnsi="Times New Roman"/>
                      <w:color w:val="auto"/>
                      <w:highlight w:val="none"/>
                    </w:rPr>
                    <w:t>环办环评〔2020〕36号中所列项目；</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3、</w:t>
                  </w:r>
                  <w:r>
                    <w:rPr>
                      <w:rFonts w:ascii="Times New Roman" w:cs="Times New Roman" w:hAnsi="Times New Roman"/>
                      <w:color w:val="auto"/>
                      <w:szCs w:val="21"/>
                      <w:highlight w:val="none"/>
                    </w:rPr>
                    <w:t>项目不涉及</w:t>
                  </w:r>
                  <w:r>
                    <w:rPr>
                      <w:rFonts w:ascii="Times New Roman" w:cs="Times New Roman" w:hAnsi="Times New Roman"/>
                      <w:color w:val="auto"/>
                      <w:highlight w:val="none"/>
                    </w:rPr>
                    <w:t>料堆场；</w:t>
                  </w:r>
                </w:p>
                <w:p>
                  <w:pPr>
                    <w:pStyle w:val="68"/>
                    <w:tabs>
                      <w:tab w:val="left" w:pos="0"/>
                      <w:tab w:val="left" w:pos="360"/>
                      <w:tab w:val="left" w:pos="900"/>
                    </w:tabs>
                    <w:jc w:val="both"/>
                    <w:rPr>
                      <w:rFonts w:ascii="Times New Roman" w:cs="Times New Roman" w:hAnsi="Times New Roman"/>
                      <w:color w:val="auto"/>
                      <w:highlight w:val="none"/>
                    </w:rPr>
                  </w:pPr>
                  <w:r>
                    <w:rPr>
                      <w:rFonts w:ascii="Times New Roman" w:cs="Times New Roman" w:hAnsi="Times New Roman"/>
                      <w:color w:val="auto"/>
                      <w:highlight w:val="none"/>
                    </w:rPr>
                    <w:t>4、</w:t>
                  </w:r>
                  <w:r>
                    <w:rPr>
                      <w:rFonts w:ascii="Times New Roman" w:cs="Times New Roman" w:hAnsi="Times New Roman"/>
                      <w:color w:val="auto"/>
                      <w:szCs w:val="21"/>
                      <w:highlight w:val="none"/>
                    </w:rPr>
                    <w:t>项目不属于</w:t>
                  </w:r>
                  <w:r>
                    <w:rPr>
                      <w:rFonts w:ascii="Times New Roman" w:cs="Times New Roman" w:hAnsi="Times New Roman"/>
                      <w:color w:val="auto"/>
                      <w:highlight w:val="none"/>
                    </w:rPr>
                    <w:t>印染、化工行业。</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环境风险防控</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鼓励开展固体废弃物资源循环利用。根据地块规划用途编制治理与修复工程方案，开展治理与修复工程，工程实施期间，采取有效措施，防止对地块及其周边环境造成二次污染。2、园区按照相关要求，建立完善环境风险管理相关制度和有效的事故风险防范体系。</w:t>
                  </w:r>
                </w:p>
              </w:tc>
              <w:tc>
                <w:tcPr>
                  <w:tcW w:w="2134" w:type="dxa"/>
                  <w:tcBorders>
                    <w:tl2br w:val="nil"/>
                    <w:tr2bl w:val="nil"/>
                  </w:tcBorders>
                  <w:vAlign w:val="center"/>
                </w:tcPr>
                <w:p>
                  <w:pPr>
                    <w:pStyle w:val="68"/>
                    <w:tabs>
                      <w:tab w:val="left" w:pos="0"/>
                      <w:tab w:val="left" w:pos="360"/>
                      <w:tab w:val="left" w:pos="900"/>
                    </w:tabs>
                    <w:rPr>
                      <w:rFonts w:ascii="Times New Roman" w:cs="Times New Roman" w:hAnsi="Times New Roman"/>
                      <w:color w:val="auto"/>
                      <w:highlight w:val="none"/>
                    </w:rPr>
                  </w:pPr>
                  <w:r>
                    <w:rPr>
                      <w:rFonts w:ascii="Times New Roman" w:cs="Times New Roman" w:hAnsi="Times New Roman"/>
                      <w:color w:val="auto"/>
                      <w:highlight w:val="none"/>
                    </w:rPr>
                    <w:t>项目固体废物进行资源循环利用</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r>
              <w:trPr>
                <w:trHeight w:val="340"/>
              </w:trPr>
              <w:tc>
                <w:tcPr>
                  <w:tcW w:w="708" w:type="dxa"/>
                  <w:vMerge/>
                  <w:tcBorders>
                    <w:tl2br w:val="nil"/>
                    <w:tr2bl w:val="nil"/>
                  </w:tcBorders>
                  <w:vAlign w:val="center"/>
                </w:tcPr>
                <w:p/>
              </w:tc>
              <w:tc>
                <w:tcPr>
                  <w:tcW w:w="349" w:type="dxa"/>
                  <w:vMerge/>
                  <w:tcBorders>
                    <w:tl2br w:val="nil"/>
                    <w:tr2bl w:val="nil"/>
                  </w:tcBorders>
                  <w:vAlign w:val="center"/>
                </w:tcPr>
                <w:p/>
              </w:tc>
              <w:tc>
                <w:tcPr>
                  <w:tcW w:w="740" w:type="dxa"/>
                  <w:vMerge/>
                  <w:tcBorders>
                    <w:tl2br w:val="nil"/>
                    <w:tr2bl w:val="nil"/>
                  </w:tcBorders>
                  <w:vAlign w:val="center"/>
                </w:tcPr>
                <w:p/>
              </w:tc>
              <w:tc>
                <w:tcPr>
                  <w:tcW w:w="567"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资源利用效率</w:t>
                  </w:r>
                </w:p>
              </w:tc>
              <w:tc>
                <w:tcPr>
                  <w:tcW w:w="2476" w:type="dxa"/>
                  <w:tcBorders>
                    <w:tl2br w:val="nil"/>
                    <w:tr2bl w:val="nil"/>
                  </w:tcBorders>
                  <w:vAlign w:val="center"/>
                </w:tcPr>
                <w:p>
                  <w:pPr>
                    <w:adjustRightInd w:val="0"/>
                    <w:snapToGrid w:val="0"/>
                    <w:jc w:val="both"/>
                    <w:rPr>
                      <w:rFonts w:ascii="Times New Roman" w:cs="Times New Roman" w:hAnsi="Times New Roman"/>
                      <w:color w:val="auto"/>
                      <w:highlight w:val="none"/>
                    </w:rPr>
                  </w:pPr>
                  <w:r>
                    <w:rPr>
                      <w:rFonts w:ascii="Times New Roman" w:cs="Times New Roman" w:hAnsi="Times New Roman"/>
                      <w:color w:val="auto"/>
                      <w:highlight w:val="none"/>
                    </w:rPr>
                    <w:t>1、浅层地下水禁采区严格地下水最新管控要求。</w:t>
                  </w:r>
                </w:p>
              </w:tc>
              <w:tc>
                <w:tcPr>
                  <w:tcW w:w="2134" w:type="dxa"/>
                  <w:tcBorders>
                    <w:tl2br w:val="nil"/>
                    <w:tr2bl w:val="nil"/>
                  </w:tcBorders>
                  <w:vAlign w:val="center"/>
                </w:tcPr>
                <w:p>
                  <w:pPr>
                    <w:widowControl/>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highlight w:val="none"/>
                    </w:rPr>
                    <w:t>项目不开采地下水</w:t>
                  </w:r>
                </w:p>
              </w:tc>
              <w:tc>
                <w:tcPr>
                  <w:tcW w:w="618" w:type="dxa"/>
                  <w:tcBorders>
                    <w:tl2br w:val="nil"/>
                    <w:tr2bl w:val="nil"/>
                  </w:tcBorders>
                  <w:vAlign w:val="center"/>
                </w:tcPr>
                <w:p>
                  <w:pPr>
                    <w:adjustRightInd w:val="0"/>
                    <w:snapToGrid w:val="0"/>
                    <w:jc w:val="center"/>
                    <w:rPr>
                      <w:rFonts w:ascii="Times New Roman" w:cs="Times New Roman" w:hAnsi="Times New Roman"/>
                      <w:color w:val="auto"/>
                      <w:szCs w:val="21"/>
                      <w:highlight w:val="none"/>
                    </w:rPr>
                  </w:pPr>
                  <w:r>
                    <w:rPr>
                      <w:rFonts w:ascii="Times New Roman" w:cs="Times New Roman" w:hAnsi="Times New Roman"/>
                      <w:color w:val="auto"/>
                      <w:szCs w:val="21"/>
                      <w:highlight w:val="none"/>
                    </w:rPr>
                    <w:t>符合</w:t>
                  </w:r>
                </w:p>
              </w:tc>
            </w:tr>
          </w:tbl>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auto"/>
                <w:sz w:val="24"/>
                <w:highlight w:val="none"/>
              </w:rPr>
            </w:pPr>
            <w:r>
              <w:rPr>
                <w:color w:val="auto"/>
                <w:sz w:val="24"/>
                <w:highlight w:val="none"/>
              </w:rPr>
              <w:t>综上所述，项目符合</w:t>
            </w:r>
            <w:r>
              <w:rPr>
                <w:rFonts w:hint="eastAsia"/>
                <w:color w:val="auto"/>
                <w:sz w:val="24"/>
                <w:highlight w:val="none"/>
              </w:rPr>
              <w:t>《石家庄市生态环境准入清单（2023年版）》</w:t>
            </w:r>
            <w:r>
              <w:rPr>
                <w:color w:val="auto"/>
                <w:sz w:val="24"/>
                <w:highlight w:val="none"/>
              </w:rPr>
              <w:t>的相关要求</w:t>
            </w:r>
            <w:r>
              <w:rPr>
                <w:rFonts w:hint="eastAsia"/>
                <w:color w:val="auto"/>
                <w:sz w:val="24"/>
                <w:highlight w:val="none"/>
              </w:rPr>
              <w:t>。</w:t>
            </w:r>
          </w:p>
          <w:p>
            <w:pPr>
              <w:pStyle w:val="56"/>
              <w:keepNext w:val="0"/>
              <w:keepLines w:val="0"/>
              <w:pageBreakBefore w:val="0"/>
              <w:widowControl w:val="0"/>
              <w:kinsoku/>
              <w:wordWrap/>
              <w:overflowPunct/>
              <w:topLinePunct w:val="0"/>
              <w:autoSpaceDE/>
              <w:autoSpaceDN/>
              <w:bidi w:val="0"/>
              <w:rPr>
                <w:rFonts w:ascii="Times New Roman" w:cs="Times New Roman" w:hAnsi="Times New Roman"/>
                <w:b/>
                <w:bCs/>
                <w:color w:val="auto"/>
                <w:highlight w:val="none"/>
              </w:rPr>
            </w:pPr>
            <w:r>
              <w:rPr>
                <w:rFonts w:ascii="Times New Roman" w:cs="Times New Roman" w:hAnsi="Times New Roman"/>
                <w:b/>
                <w:bCs/>
                <w:color w:val="auto"/>
                <w:highlight w:val="none"/>
              </w:rPr>
              <w:t>5、与《河北省生态环境保护“十四五”规划》（冀政字[2022]2号）符合性分析</w:t>
            </w:r>
          </w:p>
          <w:p>
            <w:pPr>
              <w:pStyle w:val="16"/>
              <w:keepNext w:val="0"/>
              <w:keepLines w:val="0"/>
              <w:pageBreakBefore w:val="0"/>
              <w:widowControl w:val="0"/>
              <w:kinsoku/>
              <w:wordWrap/>
              <w:overflowPunct/>
              <w:topLinePunct w:val="0"/>
              <w:autoSpaceDE/>
              <w:autoSpaceDN/>
              <w:bidi w:val="0"/>
              <w:spacing w:line="460" w:lineRule="exact"/>
              <w:jc w:val="both"/>
              <w:rPr>
                <w:rFonts w:ascii="Times New Roman" w:cs="Times New Roman" w:hAnsi="Times New Roman"/>
                <w:color w:val="auto"/>
                <w:kern w:val="2"/>
                <w:sz w:val="24"/>
                <w:highlight w:val="none"/>
              </w:rPr>
            </w:pPr>
            <w:r>
              <w:rPr>
                <w:rFonts w:ascii="Times New Roman" w:cs="Times New Roman" w:hAnsi="Times New Roman"/>
                <w:color w:val="auto"/>
                <w:kern w:val="2"/>
                <w:sz w:val="24"/>
                <w:highlight w:val="none"/>
              </w:rPr>
              <w:t>项目与《河北省生态环境保护</w:t>
            </w:r>
            <w:r>
              <w:rPr>
                <w:rFonts w:ascii="Times New Roman" w:cs="Times New Roman" w:hAnsi="Times New Roman" w:hint="eastAsia"/>
                <w:color w:val="auto"/>
                <w:kern w:val="2"/>
                <w:sz w:val="24"/>
                <w:lang w:eastAsia="zh-CN"/>
                <w:highlight w:val="none"/>
              </w:rPr>
              <w:t>“</w:t>
            </w:r>
            <w:r>
              <w:rPr>
                <w:rFonts w:ascii="Times New Roman" w:cs="Times New Roman" w:hAnsi="Times New Roman"/>
                <w:color w:val="auto"/>
                <w:kern w:val="2"/>
                <w:sz w:val="24"/>
                <w:highlight w:val="none"/>
              </w:rPr>
              <w:t>十四五</w:t>
            </w:r>
            <w:r>
              <w:rPr>
                <w:rFonts w:ascii="Times New Roman" w:cs="Times New Roman" w:hAnsi="Times New Roman" w:hint="eastAsia"/>
                <w:color w:val="auto"/>
                <w:kern w:val="2"/>
                <w:sz w:val="24"/>
                <w:lang w:eastAsia="zh-CN"/>
                <w:highlight w:val="none"/>
              </w:rPr>
              <w:t>”</w:t>
            </w:r>
            <w:r>
              <w:rPr>
                <w:rFonts w:ascii="Times New Roman" w:cs="Times New Roman" w:hAnsi="Times New Roman"/>
                <w:color w:val="auto"/>
                <w:kern w:val="2"/>
                <w:sz w:val="24"/>
                <w:highlight w:val="none"/>
              </w:rPr>
              <w:t>规划》（冀政字[2022]2号）符合性分析见下表。</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10</w:t>
            </w:r>
            <w:r>
              <w:rPr>
                <w:rFonts w:ascii="Times New Roman" w:cs="Times New Roman" w:hAnsi="Times New Roman"/>
                <w:b/>
                <w:bCs/>
                <w:color w:val="auto"/>
                <w:sz w:val="24"/>
                <w:highlight w:val="none"/>
              </w:rPr>
              <w:t xml:space="preserve">  项目与《河北省生态环境保护“十四五”规划》（冀政字[2022]2号）符合性分析一览表</w:t>
            </w:r>
          </w:p>
          <w:tbl>
            <w:tblPr>
              <w:jc w:val="center"/>
              <w:tblW w:w="4996"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773"/>
              <w:gridCol w:w="4479"/>
              <w:gridCol w:w="1752"/>
              <w:gridCol w:w="591"/>
            </w:tblGrid>
            <w:tr>
              <w:tc>
                <w:tcPr>
                  <w:tcW w:w="3457" w:type="pct"/>
                  <w:gridSpan w:val="2"/>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相关内容要求</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项目情况</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符合性</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三、创新引领，推动绿色低碳发展</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（一）统筹推进区域绿色发展。2.建立生态环境分区管控体系。衔接国土空间规划分区和用途管制</w:t>
                    <w:cr/>
                    <w:t>要求，将生态保护红线、环境质量底线、资源利用上线的硬约束落实到环境管控单元，建立差别化的生态环境准入清单，加强“三线一单”成果在政策制定、环境准入、园区管理、执法监管等方面的应用。健全以环评制度为主体的源头预防体系，严格规划环评审查和项目环评准入，开展重大经济技术政策的生态环境影响分析和重大生态环境政策的社会经济影响评估。</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项目建设符合“三线一单”相关文件要求。</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（二）加快产业绿色转型升级。1.加强宏观治理的环境政策支撑。加强能耗总量和强度双控、煤炭</w:t>
                    <w:cr/>
                    <w:t>消费和污染物排放总量控制，强化市场准入约束，抑制高碳投资，严格控制高耗能高排放项目盲目发展。严禁新增钢铁、焦化、水泥熟料、平板玻璃、煤化工产能，合理控制煤制油气产能规模。依法依规加强节能审查事中事后监管。深化生态环境“放管服”改革，推进环评审批、生态环境监管和监督执法“正面清单”制度化、规范化，持续优化营商环境。2.优化重点行业企业布局。3.推进重点行业绿色转型。以钢铁、焦化、铸造、建材、有色、石化、化工、工业涂装、包装印刷、电镀、制革、石油开采、造纸、纺织印染、农副食品加工等行业为重点，开展全流程清洁化、循环化、低碳化改造，促进传统产业绿色转型升级。在电力、钢铁、建材等重点行业实施减污降碳行动，实施全产业链和产品全生命周期降碳减污，打造多维度、全覆盖的绿色低碳产业体系。推动重点行业完成限制类产能装备的升级改造。更好发挥电弧炉短流程炼钢企业绿色低碳、市场调节作用，有序引导电弧炉短流程炼钢发展。依法推进强制性清洁生产审核，行业、园区和产业集群探索开展整体审核。4.实施产业园区和产业集群升级改造。5.提升产业链供应链绿色化水平。6.做大做强环保产业。</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项目位于河北省</w:t>
                  </w:r>
                  <w:r>
                    <w:rPr>
                      <w:rFonts w:cs="Times New Roman" w:hint="eastAsia"/>
                      <w:color w:val="auto"/>
                      <w:kern w:val="0"/>
                      <w:szCs w:val="21"/>
                      <w:lang w:eastAsia="zh-CN"/>
                      <w:highlight w:val="none"/>
                    </w:rPr>
                    <w:t>石家庄市栾城区装备制造基地楼底镇段家营村裕翔街168号103厂房（南）</w:t>
                  </w:r>
                  <w:r>
                    <w:rPr>
                      <w:rFonts w:ascii="Times New Roman" w:cs="Times New Roman" w:hAnsi="Times New Roman"/>
                      <w:color w:val="auto"/>
                      <w:kern w:val="0"/>
                      <w:szCs w:val="21"/>
                      <w:highlight w:val="none"/>
                    </w:rPr>
                    <w:t>，项目占地为工业用地，使用能源为电能，不涉及煤炭、天然气等能源消耗，项目工艺过程不涉及二氧化碳等温室气体排放；项目不</w:t>
                  </w:r>
                  <w:r>
                    <w:rPr>
                      <w:rFonts w:ascii="Times New Roman" w:cs="Times New Roman" w:hAnsi="Times New Roman"/>
                      <w:snapToGrid w:val="0"/>
                      <w:color w:val="auto"/>
                      <w:kern w:val="0"/>
                      <w:szCs w:val="21"/>
                      <w:highlight w:val="none"/>
                    </w:rPr>
                    <w:t>涉及钢铁、焦化、水泥熟料、平板玻璃</w:t>
                  </w:r>
                  <w:r>
                    <w:rPr>
                      <w:rFonts w:ascii="Times New Roman" w:cs="Times New Roman" w:hAnsi="Times New Roman"/>
                      <w:color w:val="auto"/>
                      <w:kern w:val="0"/>
                      <w:szCs w:val="21"/>
                      <w:highlight w:val="none"/>
                    </w:rPr>
                    <w:t>、煤化工产能。企业属于环境保护监测，不属于重点行业企业。</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（三）推动能源清洁高效利用。1.调整优化能源供给结构。2.控制煤炭消费总量。3.实施终端用能清洁化替代。</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四、降碳减排，积极应对气候变化</w:t>
                  </w:r>
                </w:p>
              </w:tc>
              <w:tc>
                <w:tcPr>
                  <w:tcW w:w="2947"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（二）控制温室气体排放。1.控制工业二氧化碳排放。2.控制交通领域二氧化碳排放。3.控制建筑领域二氧化碳排放。4.控制非二氧化碳温室气体排放。5.实施温室气体和污染物协同控制。</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项目使用能源为电能，不涉及煤炭、天然气等能源消耗，项目生产过程不涉及温室气体排放。</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五、精准治理，持续改善环境空气质量</w:t>
                  </w:r>
                </w:p>
              </w:tc>
              <w:tc>
                <w:tcPr>
                  <w:tcW w:w="2947"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推进工业领域污染减排。1.推动重点行业深度治理和超低排放。巩固钢铁、焦化、煤电、水泥、平板玻璃、陶瓷等行业超低排放成效，实施工艺全流程深度治理，全面加强无组织排放管控。推进砖瓦、石灰、铸造、铁合金、耐火材料等重点行业污染深度治理。以工业炉窑污染综合治理为重点，深化工业氮氧化物减排。开展生活垃圾焚烧烟气深度治理，探索研发二噁英治理和控制技术，到2025年，所有焚烧炉烟气达到生活垃圾焚烧大气污染物排放控制标准。2.深化重点行业挥发性有机物（VOCs）治理。以石化、化工、涂装、医药、包装印刷、油品储运销等行业领域为重点，安全高效推进挥发性有机物（VOCs）综合治理，实施原辅材料和产品源头替代、无组织排放和末端深度治理等提升改造工程。</w:t>
                  </w:r>
                </w:p>
              </w:tc>
              <w:tc>
                <w:tcPr>
                  <w:tcW w:w="1153" w:type="pct"/>
                  <w:tcBorders>
                    <w:tl2br w:val="nil"/>
                    <w:tr2bl w:val="nil"/>
                  </w:tcBorders>
                  <w:vAlign w:val="center"/>
                </w:tcPr>
                <w:p>
                  <w:pPr>
                    <w:adjustRightInd w:val="0"/>
                    <w:snapToGrid w:val="0"/>
                    <w:jc w:val="center"/>
                    <w:rPr>
                      <w:rFonts w:ascii="Times New Roman" w:eastAsia="宋体" w:cs="Times New Roman" w:hAnsi="Times New Roman" w:hint="eastAsia"/>
                      <w:snapToGrid w:val="0"/>
                      <w:color w:val="auto"/>
                      <w:kern w:val="0"/>
                      <w:szCs w:val="21"/>
                      <w:lang w:eastAsia="zh-CN"/>
                      <w:highlight w:val="none"/>
                    </w:rPr>
                  </w:pPr>
                  <w:r>
                    <w:rPr>
                      <w:rFonts w:ascii="Times New Roman" w:cs="Times New Roman" w:hAnsi="Times New Roman"/>
                      <w:color w:val="auto"/>
                      <w:kern w:val="0"/>
                      <w:szCs w:val="21"/>
                      <w:highlight w:val="none"/>
                    </w:rPr>
                    <w:t>项目不属于</w:t>
                  </w:r>
                  <w:r>
                    <w:rPr>
                      <w:rFonts w:ascii="Times New Roman" w:cs="Times New Roman" w:hAnsi="Times New Roman"/>
                      <w:snapToGrid w:val="0"/>
                      <w:color w:val="auto"/>
                      <w:kern w:val="0"/>
                      <w:szCs w:val="21"/>
                      <w:highlight w:val="none"/>
                    </w:rPr>
                    <w:t>石化、化工、涂装、医药、油品储运销等</w:t>
                  </w:r>
                  <w:r>
                    <w:rPr>
                      <w:rFonts w:ascii="Times New Roman" w:cs="Times New Roman" w:hAnsi="Times New Roman"/>
                      <w:color w:val="auto"/>
                      <w:kern w:val="0"/>
                      <w:szCs w:val="21"/>
                      <w:highlight w:val="none"/>
                    </w:rPr>
                    <w:t>重点行业</w:t>
                  </w:r>
                  <w:r>
                    <w:rPr>
                      <w:rFonts w:ascii="Times New Roman" w:cs="Times New Roman" w:hAnsi="Times New Roman"/>
                      <w:snapToGrid w:val="0"/>
                      <w:color w:val="auto"/>
                      <w:kern w:val="0"/>
                      <w:szCs w:val="21"/>
                      <w:highlight w:val="none"/>
                    </w:rPr>
                    <w:t>。</w:t>
                  </w:r>
                  <w:r>
                    <w:rPr>
                      <w:rFonts w:ascii="Times New Roman" w:cs="Times New Roman" w:hAnsi="Times New Roman"/>
                      <w:color w:val="auto"/>
                      <w:kern w:val="0"/>
                      <w:szCs w:val="21"/>
                      <w:highlight w:val="none"/>
                    </w:rPr>
                    <w:t>项目污染物</w:t>
                  </w:r>
                  <w:r>
                    <w:rPr>
                      <w:rFonts w:cs="Times New Roman" w:hint="eastAsia"/>
                      <w:color w:val="auto"/>
                      <w:kern w:val="0"/>
                      <w:szCs w:val="21"/>
                      <w:lang w:val="en-US" w:eastAsia="zh-CN"/>
                      <w:highlight w:val="none"/>
                    </w:rPr>
                    <w:t>经采取治理</w:t>
                  </w:r>
                  <w:r>
                    <w:rPr>
                      <w:rFonts w:ascii="Times New Roman" w:cs="Times New Roman" w:hAnsi="Times New Roman"/>
                      <w:color w:val="auto"/>
                      <w:kern w:val="0"/>
                      <w:szCs w:val="21"/>
                      <w:highlight w:val="none"/>
                    </w:rPr>
                    <w:t>措施，污染物均能达标排放</w:t>
                  </w:r>
                  <w:r>
                    <w:rPr>
                      <w:rFonts w:cs="Times New Roman" w:hint="eastAsia"/>
                      <w:color w:val="auto"/>
                      <w:kern w:val="0"/>
                      <w:szCs w:val="21"/>
                      <w:lang w:eastAsia="zh-CN"/>
                      <w:highlight w:val="none"/>
                    </w:rPr>
                    <w:t>。</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rPr>
                <w:trHeight w:val="4242"/>
              </w:trP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实施面源污染治理攻坚。1.强化扬尘精细化管控。建立健全绿色施工标准和扬尘管控体系，对扬尘重点污染源实行清单化动态管理，将绿色施工纳入企业资质评价、生态环境信用评价。加强城市道路低尘机械化湿式清扫作业，加大城市出入口、城乡结合部等重要路段冲洗保洁力度，实施渣土车密闭运输，完善降尘监测和考评体系。城市裸露地面、粉料类物料堆放及大型煤炭和矿石码头物料堆场基本完成抑尘设施建设和物料输送系统封闭改造，鼓励有条件的大型煤炭和矿石码头等干散货码头堆场实施全封闭改造。强化重点时段秸秆禁烧专项整治，完善秸秆焚烧视频监控系统点位建设，基本实现全省涉农区域全覆盖。严格落实矿产资源开采、运输和加工过程防尘、除尘措施，实施矿山生产污染物排放在线监测。</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hint="eastAsia"/>
                      <w:color w:val="auto"/>
                      <w:szCs w:val="21"/>
                      <w:lang w:val="zh-CN"/>
                      <w:highlight w:val="none"/>
                    </w:rPr>
                    <w:t>项目租用现有厂房改造后用于废铅蓄电池的存储，改造过程中会产生扬尘，采取措施后最大限度的降低对周围环境的影响，施工期结束后影响随即消失</w:t>
                  </w:r>
                  <w:r>
                    <w:rPr>
                      <w:rFonts w:eastAsia="宋体" w:hint="eastAsia"/>
                      <w:color w:val="auto"/>
                      <w:szCs w:val="21"/>
                      <w:lang w:val="zh-CN"/>
                      <w:highlight w:val="none"/>
                    </w:rPr>
                    <w:t>。</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六、“三水”统筹，打造良好水生态环境</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强化水污染源头防控。1.强化工业污染减排。实施差别化环境准入政策，推进涉水工业企业全面入园进区。新设立和升级的经济技术开发区、高新技术产业开发区等工业园区同步规划建设污水集中处理设施，加快完善工业园区配套管网，推进“清污分流、雨污分流”，实现园区污水全收集、全处理。</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szCs w:val="21"/>
                      <w:highlight w:val="none"/>
                    </w:rPr>
                    <w:t>项目不属于工业企业。</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八、协同防控，保障土壤地下水环境安全</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强化污染源头防控。1.加强空间布局管控。将土壤和地下水环境要求纳入相关规划。永久基本农田集中区域禁止新建可能造成土壤污染的建设项目。污染地块再开发利用，严格落实规划用途及相应的土壤环境质量要求，科学设定成片污染地块及周边土地开发时序。2.强化工业企业土壤污染风险防控。新（改、扩）建项目涉及有毒</w:t>
                    <w:cr/>
                    <w:t>有害物质可能造成土壤污染的，落实土壤和地下水污染防治要求。开展典型行业企业用地及周边土壤污染状况调查，持续推进耕地周边涉重金属行业企业排查整治。动态更新土壤污染重点监管单位名录，将土壤污染防治义务依法纳入排污许可管理。加强企业拆除活动污染防治监管，落实拆除活动污染防治措施。3.严格控制重金属排放总量。</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szCs w:val="21"/>
                      <w:highlight w:val="none"/>
                    </w:rPr>
                    <w:t>项目不涉及</w:t>
                  </w:r>
                  <w:r>
                    <w:rPr>
                      <w:rFonts w:ascii="Times New Roman" w:cs="Times New Roman" w:hAnsi="Times New Roman"/>
                      <w:snapToGrid w:val="0"/>
                      <w:color w:val="auto"/>
                      <w:kern w:val="0"/>
                      <w:szCs w:val="21"/>
                      <w:highlight w:val="none"/>
                    </w:rPr>
                    <w:t>重金属排放总量。</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九、防治结合，构建固体废物监管体系</w:t>
                  </w: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规范危险废物环境管理。1.完善危险废物监管体制机制。拓宽部门沟通协作渠道，建立覆盖危险废物产生、收集、贮存、运输、利用、处置等全过程、全链条式监管体系。完善联席会议制度，促进信息共享。严格落实“网格化”监管，深化网格长、网格监督员、监督执法人员、企业内部监管人员“一长三员”监管机制。建立危险废物环境风险区域联防联控机制。2.加大源头管控力度。严格执行危险废物名录管理制度，动态更新危险废物环境重点监管单位清单。严把涉危险废物工业项目环境准入关，落实工业危险废物排污许可制度。组织危险废物相关企业实施强制性清洁生产审核。鼓励生产者责任延伸，支持研发、推广减少工业危险废物产生量和降低工业危险废物危害性的生产工艺和设备。3.规范危险废物收集转运。推动建立危险废物跨省转移“白名单”制度。开展工业园区危险废物收集转运试点。严格危险废物产生、运输、利用处置转移联单管理，推动转移运输规范化和便捷化。支持危险废物专业收集转运，利用处置单位和社会力量建设区域性收集网点和贮存设施。鼓励在有条件的高校集中区域开展实验室危险废物分类收集和预处理示范项目建设。6.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项目危险废物暂存于危废间，定期交有资质单位处置。</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509" w:type="pct"/>
                  <w:vMerge/>
                  <w:tcBorders>
                    <w:tl2br w:val="nil"/>
                    <w:tr2bl w:val="nil"/>
                  </w:tcBorders>
                  <w:vAlign w:val="center"/>
                </w:tcPr>
                <w:p/>
              </w:tc>
              <w:tc>
                <w:tcPr>
                  <w:tcW w:w="2947" w:type="pct"/>
                  <w:tcBorders>
                    <w:tl2br w:val="nil"/>
                    <w:tr2bl w:val="nil"/>
                  </w:tcBorders>
                  <w:vAlign w:val="center"/>
                </w:tcPr>
                <w:p>
                  <w:pPr>
                    <w:adjustRightInd w:val="0"/>
                    <w:snapToGrid w:val="0"/>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（三）提高固体废物综合利用水平。1.加快构建废旧物资循环利用体系。深化雄安新区</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无废城市</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试点，在各市开展</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无废城市</w:t>
                  </w:r>
                  <w:r>
                    <w:rPr>
                      <w:rFonts w:cs="Times New Roman" w:hint="eastAsia"/>
                      <w:snapToGrid w:val="0"/>
                      <w:color w:val="auto"/>
                      <w:kern w:val="0"/>
                      <w:szCs w:val="21"/>
                      <w:lang w:eastAsia="zh-CN"/>
                      <w:highlight w:val="none"/>
                    </w:rPr>
                    <w:t>”</w:t>
                  </w:r>
                  <w:r>
                    <w:rPr>
                      <w:rFonts w:ascii="Times New Roman" w:cs="Times New Roman" w:hAnsi="Times New Roman"/>
                      <w:snapToGrid w:val="0"/>
                      <w:color w:val="auto"/>
                      <w:kern w:val="0"/>
                      <w:szCs w:val="21"/>
                      <w:highlight w:val="none"/>
                    </w:rPr>
                    <w:t>创建。健全强制报废制度和废旧家电、消费电子等耐用消费品回收处理体系。以电器电子产品、汽车产品、动力蓄电池、铅酸蓄电池、饮料纸基复合包装物为重点，加快落实生产者责任延伸制度。构建建筑垃圾管理和资源化利用体系，建立健全政策引导、市场推动、社会参与的长效推进机制。2.强化工业固体废物污染防治。持续开展非法和不规范堆存渣场排查整治，建立排污单位工业固体废物管理台账。推行生产企业“逆向回收”等模式，推动大宗工业固体废物贮存处置总量趋零增长。加快建设邯郸、唐山国家大宗固体废弃物综合利用基地，推进综合利用产业集聚发展，提升综合利用水平。</w:t>
                  </w:r>
                </w:p>
              </w:tc>
              <w:tc>
                <w:tcPr>
                  <w:tcW w:w="115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cs="Times New Roman" w:hint="eastAsia"/>
                      <w:snapToGrid w:val="0"/>
                      <w:color w:val="auto"/>
                      <w:kern w:val="0"/>
                      <w:szCs w:val="21"/>
                      <w:lang w:eastAsia="zh-CN"/>
                      <w:highlight w:val="none"/>
                    </w:rPr>
                    <w:t>本</w:t>
                  </w:r>
                  <w:r>
                    <w:rPr>
                      <w:rFonts w:ascii="Times New Roman" w:cs="Times New Roman" w:hAnsi="Times New Roman"/>
                      <w:snapToGrid w:val="0"/>
                      <w:color w:val="auto"/>
                      <w:kern w:val="0"/>
                      <w:szCs w:val="21"/>
                      <w:highlight w:val="none"/>
                    </w:rPr>
                    <w:t>项目</w:t>
                  </w:r>
                  <w:r>
                    <w:rPr>
                      <w:rFonts w:cs="Times New Roman" w:hint="eastAsia"/>
                      <w:snapToGrid w:val="0"/>
                      <w:color w:val="auto"/>
                      <w:kern w:val="0"/>
                      <w:szCs w:val="21"/>
                      <w:lang w:eastAsia="zh-CN"/>
                      <w:highlight w:val="none"/>
                    </w:rPr>
                    <w:t>为废铅蓄电池中转项目，项目的建设有利于资源化利用和“无废城市”的创建。本项目</w:t>
                  </w:r>
                  <w:r>
                    <w:rPr>
                      <w:rFonts w:ascii="Times New Roman" w:cs="Times New Roman" w:hAnsi="Times New Roman"/>
                      <w:snapToGrid w:val="0"/>
                      <w:color w:val="auto"/>
                      <w:kern w:val="0"/>
                      <w:szCs w:val="21"/>
                      <w:highlight w:val="none"/>
                    </w:rPr>
                    <w:t>产生的一般固废外售综合利用。</w:t>
                  </w:r>
                </w:p>
              </w:tc>
              <w:tc>
                <w:tcPr>
                  <w:tcW w:w="389"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bl>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auto"/>
                <w:sz w:val="24"/>
                <w:highlight w:val="none"/>
              </w:rPr>
            </w:pPr>
            <w:r>
              <w:rPr>
                <w:rFonts w:ascii="Times New Roman" w:cs="Times New Roman" w:hAnsi="Times New Roman"/>
                <w:color w:val="auto"/>
                <w:sz w:val="24"/>
                <w:highlight w:val="none"/>
              </w:rPr>
              <w:t>综上，项目建设符合《河北省生态环境保护“十四五”规划》（冀政字[2022]2号）的相关要求。</w:t>
            </w:r>
          </w:p>
          <w:p>
            <w:pPr>
              <w:pStyle w:val="56"/>
              <w:keepNext w:val="0"/>
              <w:keepLines w:val="0"/>
              <w:pageBreakBefore w:val="0"/>
              <w:widowControl w:val="0"/>
              <w:kinsoku/>
              <w:wordWrap/>
              <w:overflowPunct/>
              <w:topLinePunct w:val="0"/>
              <w:autoSpaceDE/>
              <w:autoSpaceDN/>
              <w:bidi w:val="0"/>
              <w:adjustRightInd w:val="0"/>
              <w:rPr>
                <w:rFonts w:ascii="Times New Roman" w:cs="Times New Roman" w:hAnsi="Times New Roman"/>
                <w:b/>
                <w:bCs/>
                <w:color w:val="auto"/>
                <w:highlight w:val="none"/>
              </w:rPr>
            </w:pPr>
            <w:r>
              <w:rPr>
                <w:rFonts w:ascii="Times New Roman" w:cs="Times New Roman" w:hAnsi="Times New Roman"/>
                <w:b/>
                <w:color w:val="auto"/>
                <w:highlight w:val="none"/>
              </w:rPr>
              <w:t>6、项目与《石家庄市生态环境保护“十四五”规划》（石政函〔2022〕72号）</w:t>
            </w:r>
            <w:r>
              <w:rPr>
                <w:rFonts w:ascii="Times New Roman" w:cs="Times New Roman" w:hAnsi="Times New Roman"/>
                <w:b/>
                <w:bCs/>
                <w:color w:val="auto"/>
                <w:highlight w:val="none"/>
              </w:rPr>
              <w:t>符合性分析</w:t>
            </w:r>
          </w:p>
          <w:p>
            <w:pPr>
              <w:pStyle w:val="16"/>
              <w:keepNext w:val="0"/>
              <w:keepLines w:val="0"/>
              <w:pageBreakBefore w:val="0"/>
              <w:widowControl w:val="0"/>
              <w:kinsoku/>
              <w:wordWrap/>
              <w:overflowPunct/>
              <w:topLinePunct w:val="0"/>
              <w:autoSpaceDE/>
              <w:autoSpaceDN/>
              <w:bidi w:val="0"/>
              <w:adjustRightInd w:val="0"/>
              <w:snapToGrid w:val="0"/>
              <w:spacing w:line="460" w:lineRule="exact"/>
              <w:rPr>
                <w:rFonts w:ascii="Times New Roman" w:cs="Times New Roman" w:hAnsi="Times New Roman"/>
                <w:color w:val="auto"/>
                <w:kern w:val="2"/>
                <w:sz w:val="24"/>
                <w:highlight w:val="none"/>
              </w:rPr>
            </w:pPr>
            <w:r>
              <w:rPr>
                <w:rFonts w:ascii="Times New Roman" w:cs="Times New Roman" w:hAnsi="Times New Roman"/>
                <w:color w:val="auto"/>
                <w:kern w:val="2"/>
                <w:sz w:val="24"/>
                <w:highlight w:val="none"/>
              </w:rPr>
              <w:t>项目与《石家庄市生态环境保护“十四五”规划》（石政函〔2022〕72号）符合性见下表。</w:t>
            </w:r>
          </w:p>
          <w:p>
            <w:pPr>
              <w:jc w:val="center"/>
              <w:rPr>
                <w:rFonts w:ascii="Times New Roman" w:cs="Times New Roman" w:hAnsi="Times New Roman"/>
                <w:b/>
                <w:bCs/>
                <w:color w:val="auto"/>
                <w:sz w:val="24"/>
                <w:highlight w:val="none"/>
              </w:rPr>
            </w:pPr>
            <w:r>
              <w:rPr>
                <w:rFonts w:ascii="Times New Roman" w:cs="Times New Roman" w:hAnsi="Times New Roman"/>
                <w:b/>
                <w:bCs/>
                <w:color w:val="auto"/>
                <w:sz w:val="24"/>
                <w:highlight w:val="none"/>
              </w:rPr>
              <w:t>表1-</w:t>
            </w:r>
            <w:r>
              <w:rPr>
                <w:rFonts w:cs="Times New Roman" w:hint="eastAsia"/>
                <w:b/>
                <w:bCs/>
                <w:color w:val="auto"/>
                <w:sz w:val="24"/>
                <w:lang w:val="en-US" w:eastAsia="zh-CN"/>
                <w:highlight w:val="none"/>
              </w:rPr>
              <w:t>11</w:t>
            </w:r>
            <w:r>
              <w:rPr>
                <w:rFonts w:ascii="Times New Roman" w:cs="Times New Roman" w:hAnsi="Times New Roman"/>
                <w:b/>
                <w:bCs/>
                <w:color w:val="auto"/>
                <w:sz w:val="24"/>
                <w:highlight w:val="none"/>
              </w:rPr>
              <w:t xml:space="preserve">  项目与《石家庄市生态环境保护“十四五”规划》（石政函〔2022〕72号）符合性分析一览表</w:t>
            </w:r>
          </w:p>
          <w:tbl>
            <w:tblPr>
              <w:jc w:val="center"/>
              <w:tblW w:w="497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617"/>
              <w:gridCol w:w="4532"/>
              <w:gridCol w:w="1818"/>
              <w:gridCol w:w="586"/>
            </w:tblGrid>
            <w:tr>
              <w:tc>
                <w:tcPr>
                  <w:tcW w:w="3407" w:type="pct"/>
                  <w:gridSpan w:val="2"/>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相关内容要求</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项目情况</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符合性</w:t>
                  </w:r>
                </w:p>
              </w:tc>
            </w:tr>
            <w:tr>
              <w:tc>
                <w:tcPr>
                  <w:tcW w:w="408" w:type="pct"/>
                  <w:vMerge w:val="restar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三、健全优化开发政策，统筹推动绿色低碳发展</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加强生态分区管控，推进区域绿色发展。建立生态环境分区管控体系。加快实施“生态保护红线、环境质量底线、资源利用上线和生态环境准入清单”（以下简称“三线一单”），构建生态环境分区管控体系，促进生态环境高水平保护和经济社会高质量赶超发展。推动“三线一单”精准落地，确立以乡镇为单位的环境管控单元，确定管控单元边界。衔接国土空间规划分区和用途管制要求，将生态保护红线、环境质量底线、资源利用上线的硬约束落实到环境管控单元，实现差别化管理,约束管控单元内的环境行为，保障区域环境功能的实现。全市列入重点生态功能区的县（市、区）因地制宜制定限制和禁止发展的产业目录，确定产业准入负面清单，促进精细化管理。</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项目建设符合“三线一单”相关文件要求。</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vMerge/>
                  <w:tcBorders>
                    <w:tl2br w:val="nil"/>
                    <w:tr2bl w:val="nil"/>
                  </w:tcBorders>
                  <w:vAlign w:val="center"/>
                </w:tcP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着力优化功能布局，加快产业绿色升级。严格环境准入门槛，全市禁止钢铁、焦化、水泥、平板玻璃、铸造（高端或精密铸造项目以及《产业结构调整指导目录（2019年本）》第一类鼓励类项目除外）、有色、碳素、钙镁、煤化工、陶瓷、砖瓦等行业新建、扩建单纯新增产能（搬迁升级改造项目和产能置换项目除外）的项目和企业。对搬迁升级改造项目的环境影响评价，应满足规划环评要求，对本地过剩产能重点行业搬迁、技改项目，实行大气污染物排放倍量替代。严格控制新增燃煤项目（产能置换项目除外）建设。</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项目不属于限制新增产能的项目；项目不涉及燃煤使用。</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vMerge/>
                  <w:tcBorders>
                    <w:tl2br w:val="nil"/>
                    <w:tr2bl w:val="nil"/>
                  </w:tcBorders>
                  <w:vAlign w:val="center"/>
                </w:tcP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三）加快调整能源结构，打造低碳能源体系。加快产业和能源结构调整。聚焦钢铁、建材、石化、化工、装备、医药、纺织、皮革等重点行业，实施传统产业“千企绿色改造”助推“万企转型”，加快发展新能源、新材料、新能源汽车等绿色新兴产业。优化工业用能结构，严格控制钢铁、化工、平板玻璃等重点行业主要用煤行业煤炭消费，提升清洁能源消费比重。</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color w:val="auto"/>
                      <w:kern w:val="0"/>
                      <w:szCs w:val="21"/>
                      <w:highlight w:val="none"/>
                    </w:rPr>
                    <w:t>项目使用能源为电能，不涉及煤炭、天然气等能源消耗</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五、协同减排精准治污，持续改善环境空气质量</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（四）措施严密监管到位，有效减少PM</w:t>
                  </w:r>
                  <w:r>
                    <w:rPr>
                      <w:rFonts w:ascii="Times New Roman" w:cs="Times New Roman" w:hAnsi="Times New Roman"/>
                      <w:snapToGrid w:val="0"/>
                      <w:color w:val="auto"/>
                      <w:kern w:val="0"/>
                      <w:szCs w:val="21"/>
                      <w:vertAlign w:val="subscript"/>
                      <w:highlight w:val="none"/>
                    </w:rPr>
                    <w:t>10</w:t>
                  </w:r>
                  <w:r>
                    <w:rPr>
                      <w:rFonts w:ascii="Times New Roman" w:cs="Times New Roman" w:hAnsi="Times New Roman"/>
                      <w:snapToGrid w:val="0"/>
                      <w:color w:val="auto"/>
                      <w:kern w:val="0"/>
                      <w:szCs w:val="21"/>
                      <w:highlight w:val="none"/>
                    </w:rPr>
                    <w:t>面源污染。加强施工扬尘管理。加大拆迁工程的扬尘管控措施监督，加强拆迁后裸漏场地的监管，建立健全绿色施工标准体系和扬尘管控体系，对扬尘重点污染源实行清单化动态管理，将绿色施工纳入企业资质评价、生态环境信用评价。新建和在建建筑、市政、拆除、公路、水利等各类工地严格落实“六个百分百”、“两个全覆盖”要求的基础上进一步提档升级，禁止现场搅拌混凝土、砂浆，拆除工程实施湿法作业，完善施工单位环保监督员制度，建立扬尘控制责任制度，全面加强混凝土搅拌站扬尘治理。到2025年，搅拌站全部完成绿色转型提升工作，预拌混凝土和预拌砂浆生产企业完成清洁生产改造。严查扬尘排放超标工地，建立对违法违规企业的长效监管机制，将扬尘管理工作不到位的信息纳入建筑市场信用管理体系。</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加强堆场及裸露地面扬尘治理。加大各工业企业料场堆场监督检查力度，对工业企业厂区内贮存的各类易扬尘的物料密闭管理，加强厂区内物料运送、倒运、装卸扬尘管理。加强矿山粉尘防治，严格落实矿产资源开采、运输和加工过程防尘、除尘措施，实施矿山生产污染物排放在线监测﹔按照“生态优先、减点控量、总量压缩”的要求，加强矿山开采总量控制，加快矿山修复绿化。实施城市土地硬化和复绿，对建筑工地未及时清运的渣土实行遮盖，对城乡结合部裸露地面实行复绿控尘治理，推进农村裸露土地治理，对不适宜种植农作物的贫瘠裸露土地，加强管理，保护现有植被，严禁各类违法取土、采石行为，防止产生新的扬尘污染源。推广保护性耕作、林间覆盖等方式，抑制季节性裸地农田扬尘。</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hint="eastAsia"/>
                      <w:color w:val="auto"/>
                      <w:szCs w:val="21"/>
                      <w:lang w:val="zh-CN"/>
                      <w:highlight w:val="none"/>
                    </w:rPr>
                    <w:t>项目租用现有厂房改造后用于废铅蓄电池的存储，改造过程中会产生扬尘，采取措施后最大限度的降低对周围环境的影响，施工期结束后影响随即消失</w:t>
                  </w:r>
                  <w:r>
                    <w:rPr>
                      <w:rFonts w:eastAsia="宋体" w:hint="eastAsia"/>
                      <w:color w:val="auto"/>
                      <w:szCs w:val="21"/>
                      <w:lang w:val="zh-CN"/>
                      <w:highlight w:val="none"/>
                    </w:rPr>
                    <w:t>。</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七、开展土壤污染治理，全面防控土壤污染风险</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（一）实施土壤污染源头防控。</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1．持续推进耕地周边污染源整治。严格控制重点重金属企业污染物排放。动态更新涉重金属重点行业企业全口径清单，持续推进重金属减排。按照国家部署明确执行颗粒物和重点重金属特别排放限值区域。依法依规将排放镉、汞、砷、铅、铬等有毒有害大气、水污染物的企业纳入大气、水污染物重点排污单位名录进行管理。2023年底前，纳入大气重点排污单位名录的重点重金属排放企业应实现自动监测，并与生态环境主管部门监控设备联网，按照排污许可证要求将相关污染物排放量上报全国排污许可证管理信息平台并公开。有序推进耕地周边污染源排查整治。集中推进历史遗留废渣、尾砂、冶炼粉尘等固体废物的排查整治，评估污染风险，分阶段治理，逐步消除存量，降低污染物进入农田的风险。重点排查我市行唐县、无极县、井陉县、赵县、栾城区等涉重金属区域。开展土壤及农产品超标成因排查。围绕产粮（油）大县、重有色金属矿山及污染企业周边区域，选择一批耕地土壤镉等重金属污染问题突出的县，开展集中连片耕地土壤重金属污染途径识别和污染源头追溯。2025年底前，全面完成新乐市、赵县、藁城区、栾城区、井陉县、行唐县安全利用类和严格管控类耕地污染成因排查。</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项目不涉及重点重金属污染物排放。</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r>
              <w:tc>
                <w:tcPr>
                  <w:tcW w:w="40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八、提高固体废物利用效率，全面落实安全处置措施</w:t>
                  </w:r>
                </w:p>
              </w:tc>
              <w:tc>
                <w:tcPr>
                  <w:tcW w:w="2999" w:type="pct"/>
                  <w:tcBorders>
                    <w:tl2br w:val="nil"/>
                    <w:tr2bl w:val="nil"/>
                  </w:tcBorders>
                  <w:vAlign w:val="center"/>
                </w:tcPr>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（二）提升工业固体废物处置能力。</w:t>
                  </w:r>
                </w:p>
                <w:p>
                  <w:pPr>
                    <w:adjustRightInd w:val="0"/>
                    <w:snapToGrid w:val="0"/>
                    <w:jc w:val="left"/>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积极推进京津冀地区工业资源综合利用产业协同发展等示范工程建设，发挥示范引领和带动作用，积极推进跨区域工业资源综合利用产业协同发展﹔积极利用水泥、钢铁窑炉协同处置工业固体废物和危险废物。以尾矿（伴生矿）、煤矸石、粉煤灰、工业废弃料及其他类大宗固体废弃物为重点，拓展资源化利用途径，推动和发挥鹿泉、井陉、赞皇等地水泥与建材规模企业利用全市一般工业固体废物和危险废物的主体作用。支持传统建材行业延伸产业链，推进固体废物利用增量化、多品种化，加快传统资源综合利用建材生产企业升级换代，逐步增加可消纳的工业固体废物种类。强化工业固体废物综合利用和处理处置过程监管和技术开发。推进工业固体废物处置设施的完善和落实。完善工业固体废弃物回收利用系统，提高固体废弃物的利用技术与水平。积极推进各类工业园区循环经济建设，提高工业企业内部再利用废弃物水平，降低工业固体废物处理处置量。推进污水厂污泥源头减量和协同处置，压减填埋规模，推进资源化利用。完善全过程监控管理，逐步建立综合利用与安全处置相结合的工业固体废物处置体系。到2025年一般工业固体废物处置利用率达到95%以上。</w:t>
                  </w:r>
                </w:p>
              </w:tc>
              <w:tc>
                <w:tcPr>
                  <w:tcW w:w="1203"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cs="Times New Roman" w:hint="eastAsia"/>
                      <w:snapToGrid w:val="0"/>
                      <w:color w:val="auto"/>
                      <w:kern w:val="0"/>
                      <w:szCs w:val="21"/>
                      <w:lang w:eastAsia="zh-CN"/>
                      <w:highlight w:val="none"/>
                    </w:rPr>
                    <w:t>本项目为废铅蓄电池中转项目，可推进资源化利用，</w:t>
                  </w:r>
                  <w:r>
                    <w:rPr>
                      <w:rFonts w:ascii="Times New Roman" w:cs="Times New Roman" w:hAnsi="Times New Roman"/>
                      <w:snapToGrid w:val="0"/>
                      <w:color w:val="auto"/>
                      <w:kern w:val="0"/>
                      <w:szCs w:val="21"/>
                      <w:highlight w:val="none"/>
                    </w:rPr>
                    <w:t>项目产生的固体废物均进行合理处置。</w:t>
                  </w:r>
                </w:p>
              </w:tc>
              <w:tc>
                <w:tcPr>
                  <w:tcW w:w="388" w:type="pct"/>
                  <w:tcBorders>
                    <w:tl2br w:val="nil"/>
                    <w:tr2bl w:val="nil"/>
                  </w:tcBorders>
                  <w:vAlign w:val="center"/>
                </w:tcPr>
                <w:p>
                  <w:pPr>
                    <w:adjustRightInd w:val="0"/>
                    <w:snapToGrid w:val="0"/>
                    <w:jc w:val="center"/>
                    <w:rPr>
                      <w:rFonts w:ascii="Times New Roman" w:cs="Times New Roman" w:hAnsi="Times New Roman"/>
                      <w:snapToGrid w:val="0"/>
                      <w:color w:val="auto"/>
                      <w:kern w:val="0"/>
                      <w:szCs w:val="21"/>
                      <w:highlight w:val="none"/>
                    </w:rPr>
                  </w:pPr>
                  <w:r>
                    <w:rPr>
                      <w:rFonts w:ascii="Times New Roman" w:cs="Times New Roman" w:hAnsi="Times New Roman"/>
                      <w:snapToGrid w:val="0"/>
                      <w:color w:val="auto"/>
                      <w:kern w:val="0"/>
                      <w:szCs w:val="21"/>
                      <w:highlight w:val="none"/>
                    </w:rPr>
                    <w:t>符合</w:t>
                  </w:r>
                </w:p>
              </w:tc>
            </w:tr>
          </w:tbl>
          <w:p>
            <w:pPr>
              <w:numPr>
                <w:ilvl w:val="0"/>
                <w:numId w:val="1"/>
              </w:numPr>
              <w:adjustRightInd w:val="0"/>
              <w:snapToGrid w:val="0"/>
              <w:spacing w:line="460" w:lineRule="exact"/>
              <w:ind w:left="0" w:firstLineChars="200" w:firstLine="480"/>
              <w:rPr>
                <w:rFonts w:cs="Times New Roman" w:hint="eastAsia"/>
                <w:b/>
                <w:color w:val="auto"/>
                <w:sz w:val="24"/>
                <w:lang w:val="en-US" w:eastAsia="zh-CN"/>
                <w:highlight w:val="none"/>
              </w:rPr>
            </w:pPr>
            <w:r>
              <w:rPr>
                <w:rFonts w:cs="Times New Roman" w:hint="eastAsia"/>
                <w:b/>
                <w:color w:val="auto"/>
                <w:sz w:val="24"/>
                <w:lang w:val="en-US" w:eastAsia="zh-CN"/>
                <w:highlight w:val="none"/>
              </w:rPr>
              <w:t>与《</w:t>
            </w:r>
            <w:r>
              <w:rPr>
                <w:rFonts w:ascii="Times New Roman" w:eastAsia="宋体" w:cs="Times New Roman" w:hAnsi="Times New Roman" w:hint="eastAsia"/>
                <w:b/>
                <w:color w:val="auto"/>
                <w:sz w:val="24"/>
                <w:lang w:val="en-US" w:eastAsia="zh-CN"/>
                <w:highlight w:val="none"/>
              </w:rPr>
              <w:t>土壤、地下水和农业农村生态环境保护“十五五”规划</w:t>
            </w:r>
            <w:r>
              <w:rPr>
                <w:rFonts w:cs="Times New Roman" w:hint="eastAsia"/>
                <w:b/>
                <w:color w:val="auto"/>
                <w:sz w:val="24"/>
                <w:lang w:val="en-US" w:eastAsia="zh-CN"/>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2</w:t>
            </w:r>
            <w:r>
              <w:rPr>
                <w:rFonts w:ascii="Times New Roman" w:eastAsia="宋体" w:cs="Times New Roman" w:hAnsi="Times New Roman" w:hint="eastAsia"/>
                <w:b/>
                <w:bCs/>
                <w:color w:val="auto"/>
                <w:sz w:val="24"/>
                <w:highlight w:val="none"/>
              </w:rPr>
              <w:t xml:space="preserve">  与《</w:t>
            </w:r>
            <w:r>
              <w:rPr>
                <w:rFonts w:ascii="Times New Roman" w:eastAsia="宋体" w:cs="Times New Roman" w:hAnsi="Times New Roman" w:hint="eastAsia"/>
                <w:b/>
                <w:color w:val="auto"/>
                <w:sz w:val="24"/>
                <w:lang w:val="en-US" w:eastAsia="zh-CN"/>
                <w:highlight w:val="none"/>
              </w:rPr>
              <w:t>土壤、地下水和农业农村生态环境保护“十五五”规划</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208"/>
              <w:gridCol w:w="2906"/>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111" w:type="pct"/>
                  <w:vAlign w:val="center"/>
                </w:tcPr>
                <w:p>
                  <w:pPr>
                    <w:snapToGrid w:val="0"/>
                    <w:jc w:val="center"/>
                    <w:rPr>
                      <w:rFonts w:hint="eastAsia"/>
                      <w:b/>
                      <w:color w:val="auto"/>
                      <w:szCs w:val="21"/>
                    </w:rPr>
                  </w:pPr>
                  <w:r>
                    <w:rPr>
                      <w:rFonts w:hint="eastAsia"/>
                      <w:b/>
                      <w:color w:val="auto"/>
                      <w:szCs w:val="21"/>
                    </w:rPr>
                    <w:t>规范要求</w:t>
                  </w:r>
                </w:p>
              </w:tc>
              <w:tc>
                <w:tcPr>
                  <w:tcW w:w="1912"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强化要素协同防治</w:t>
                  </w:r>
                </w:p>
              </w:tc>
              <w:tc>
                <w:tcPr>
                  <w:tcW w:w="2111"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加强一般工业固体废物无害化预处理和规范化环境管理，防控危险废物环境风险，推进全过程信息化环境管理。</w:t>
                  </w:r>
                </w:p>
              </w:tc>
              <w:tc>
                <w:tcPr>
                  <w:tcW w:w="1912"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ascii="Times New Roman" w:eastAsia="宋体" w:cs="Times New Roman" w:hAnsi="Times New Roman" w:hint="eastAsia"/>
                      <w:color w:val="auto"/>
                      <w:lang w:eastAsia="zh-CN"/>
                      <w:highlight w:val="none"/>
                    </w:rPr>
                    <w:t>为废电池中转项目，主要存储废铅蓄电池，采取了风险防范措施</w:t>
                  </w:r>
                  <w:r>
                    <w:rPr>
                      <w:rFonts w:cs="Times New Roman" w:hint="eastAsia"/>
                      <w:color w:val="auto"/>
                      <w:lang w:eastAsia="zh-CN"/>
                      <w:highlight w:val="none"/>
                    </w:rPr>
                    <w:t>，</w:t>
                  </w:r>
                  <w:r>
                    <w:rPr>
                      <w:rFonts w:ascii="Times New Roman" w:eastAsia="宋体" w:cs="Times New Roman" w:hAnsi="Times New Roman" w:hint="eastAsia"/>
                      <w:color w:val="auto"/>
                      <w:lang w:eastAsia="zh-CN"/>
                      <w:highlight w:val="none"/>
                    </w:rPr>
                    <w:t>本项目设有智能称重和监控系统等</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numPr>
                <w:ilvl w:val="0"/>
                <w:numId w:val="1"/>
              </w:numPr>
              <w:adjustRightInd w:val="0"/>
              <w:snapToGrid w:val="0"/>
              <w:spacing w:line="460" w:lineRule="exact"/>
              <w:ind w:left="0" w:firstLineChars="200" w:firstLine="480"/>
              <w:rPr>
                <w:rFonts w:cs="Times New Roman" w:hint="eastAsia"/>
                <w:b/>
                <w:color w:val="auto"/>
                <w:sz w:val="24"/>
                <w:lang w:val="en-US" w:eastAsia="zh-CN"/>
                <w:highlight w:val="none"/>
              </w:rPr>
            </w:pPr>
            <w:r>
              <w:rPr>
                <w:rFonts w:cs="Times New Roman" w:hint="eastAsia"/>
                <w:b/>
                <w:color w:val="auto"/>
                <w:sz w:val="24"/>
                <w:lang w:val="en-US" w:eastAsia="zh-CN"/>
                <w:highlight w:val="none"/>
              </w:rPr>
              <w:t>与《固体废物污染防治“十五五”规划》符合性分析</w:t>
            </w:r>
          </w:p>
          <w:p>
            <w:pPr>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3</w:t>
            </w:r>
            <w:r>
              <w:rPr>
                <w:rFonts w:ascii="Times New Roman" w:eastAsia="宋体" w:cs="Times New Roman" w:hAnsi="Times New Roman" w:hint="eastAsia"/>
                <w:b/>
                <w:bCs/>
                <w:color w:val="auto"/>
                <w:sz w:val="24"/>
                <w:highlight w:val="none"/>
              </w:rPr>
              <w:t xml:space="preserve">  与《</w:t>
            </w:r>
            <w:r>
              <w:rPr>
                <w:rFonts w:cs="Times New Roman" w:hint="eastAsia"/>
                <w:b/>
                <w:color w:val="auto"/>
                <w:sz w:val="24"/>
                <w:lang w:val="en-US" w:eastAsia="zh-CN"/>
                <w:highlight w:val="none"/>
              </w:rPr>
              <w:t>固体废物污染防治“十五五”规划</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382"/>
              <w:gridCol w:w="2733"/>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225" w:type="pct"/>
                  <w:vAlign w:val="center"/>
                </w:tcPr>
                <w:p>
                  <w:pPr>
                    <w:snapToGrid w:val="0"/>
                    <w:jc w:val="center"/>
                    <w:rPr>
                      <w:rFonts w:hint="eastAsia"/>
                      <w:b/>
                      <w:color w:val="auto"/>
                      <w:szCs w:val="21"/>
                    </w:rPr>
                  </w:pPr>
                  <w:r>
                    <w:rPr>
                      <w:rFonts w:hint="eastAsia"/>
                      <w:b/>
                      <w:color w:val="auto"/>
                      <w:szCs w:val="21"/>
                    </w:rPr>
                    <w:t>规范要求</w:t>
                  </w:r>
                </w:p>
              </w:tc>
              <w:tc>
                <w:tcPr>
                  <w:tcW w:w="1798"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严格实施危险废物全过程环境监管</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九）深化危险废物全过程信息化监管。推动企业开展数智监控设备升级改造，加快全国危险废物全过程环境管理能力建设，推进危险废物产生单位“五即”（即产生、即包装、即称重、即打码、即入库）规范化建设，强化危险废物“一码贯通”实时可追溯信息化监管，全面实现危险废物运输车辆轨迹实时追踪。完善支撑全过程信息化监管的危险废物管理制度，围绕危险废物信息化监管优化危险废物规范化评估模式。鼓励开展危险废物收集、运输、利用、处置网上交易和第三方支付业务。到 2028 年，全国危险废物全过程环境管理信息系统数据应用于生态环境统计</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为废电池中转项目，不涉及运输环节</w:t>
                  </w:r>
                  <w:r>
                    <w:rPr>
                      <w:rFonts w:ascii="Times New Roman" w:eastAsia="宋体" w:cs="Times New Roman" w:hAnsi="Times New Roman"/>
                      <w:color w:val="auto"/>
                      <w:highlight w:val="none"/>
                    </w:rPr>
                    <w:t>。</w:t>
                  </w:r>
                  <w:r>
                    <w:rPr>
                      <w:rFonts w:cs="Times New Roman" w:hint="eastAsia"/>
                      <w:color w:val="auto"/>
                      <w:lang w:eastAsia="zh-CN"/>
                      <w:highlight w:val="none"/>
                    </w:rPr>
                    <w:t>本项目采用电子地磅、电子标签、电子管理台账等技术手段对危险废物贮存过程进行信息化管理，确保数据完整、真实、准确。</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十）提升危险废物收集利用处置水平。强化小微企业危险废物收集管理，优化服务对象和服务地域范围，推动收集单位提档升级。优化危险废物跨省转移管理，对符合要求的简化审批管理。加强危险废物利用处置设施统筹规划，建立环境影响评价与经营许可审批衔接机制，完善利用处置产能评估预警制度，综合利用标准、政策等手段化解能力结构性过剩问题。完善医疗废物收集处置体系，支持不具备集中处置条件的偏远地区探索就地处置方式</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为废电池中转项目，仅涉及贮存环节，不涉及收集、运输、利用和处置。本项目贮存过程严格按照相应规范进行管理。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积极开展废弃电器电子产品及新能源退役设备污染防治</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十三）强化新能源退役设备环境管理。制修订废动力电池、风电设备等回收处理污染控制技术规范，强化退役新能源设备产废源头管理。落实动力电池和新能源汽车生产者延伸责任，引导光伏电站、风电站等将退役新能源设备交售至综合利用企业。支持退役新能源设备综合利用技术研发与应用</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本项目废电池主要来源于园区、医院、机关单位等部门退役的废铅蓄电池，随着新能源退役设备的批量产生，本项目废电池来源会更有保障。本项目的建设有助于废电池回收再生利用。</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系统加强固体废物监测监管能力建设</w:t>
                  </w: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二十一）强化贮存处置设施污染排放监测。加强固体废物贮存处置设施监督监测和自行监测监管。加快实现工业固体废物排污许可重点管理单位污染物排放自动监测设备联网，有序推进危险废物焚烧和水泥窑协同处置设施“装树联”</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本项目已制定自行监测计划，后续按相关要求进行监测。</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adjustRightInd w:val="0"/>
              <w:snapToGrid w:val="0"/>
              <w:spacing w:line="460" w:lineRule="exact"/>
              <w:ind w:firstLineChars="200" w:firstLine="480"/>
              <w:rPr>
                <w:rFonts w:ascii="Times New Roman" w:eastAsia="宋体" w:cs="Times New Roman" w:hAnsi="Times New Roman" w:hint="eastAsia"/>
                <w:b/>
                <w:color w:val="auto"/>
                <w:sz w:val="24"/>
                <w:lang w:val="en-US" w:eastAsia="zh-CN"/>
                <w:highlight w:val="none"/>
              </w:rPr>
            </w:pPr>
            <w:r>
              <w:rPr>
                <w:rFonts w:cs="Times New Roman" w:hint="eastAsia"/>
                <w:b/>
                <w:color w:val="auto"/>
                <w:sz w:val="24"/>
                <w:lang w:val="en-US" w:eastAsia="zh-CN"/>
                <w:highlight w:val="none"/>
              </w:rPr>
              <w:t>9</w:t>
            </w:r>
            <w:r>
              <w:rPr>
                <w:rFonts w:ascii="Times New Roman" w:eastAsia="宋体" w:cs="Times New Roman" w:hAnsi="Times New Roman" w:hint="eastAsia"/>
                <w:b/>
                <w:color w:val="auto"/>
                <w:sz w:val="24"/>
                <w:lang w:val="en-US" w:eastAsia="zh-CN"/>
                <w:highlight w:val="none"/>
              </w:rPr>
              <w:t>、《河北省生态环境厅办公室关于进一步做好沙区建设项目环境影响评价工作的通知》（冀环办字函[2023]326号）符合性分析</w:t>
            </w:r>
          </w:p>
          <w:p>
            <w:pPr>
              <w:pStyle w:val="69"/>
              <w:spacing w:line="360" w:lineRule="auto"/>
              <w:ind w:left="122" w:firstLine="473"/>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本项目位于河北省石家庄市栾城区装备制造基地楼底镇段家营村裕翔街168号103厂房（南）</w:t>
            </w:r>
            <w:r>
              <w:rPr>
                <w:rFonts w:ascii="Times New Roman" w:eastAsia="宋体" w:cs="Times New Roman" w:hAnsi="Times New Roman" w:hint="eastAsia"/>
                <w:color w:val="auto"/>
                <w:kern w:val="2"/>
                <w:sz w:val="24"/>
                <w:szCs w:val="24"/>
                <w:lang w:val="zh-CN"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不属于沙区范围，本项目所在厂区周围无明显沙化现象，同时采取厂区地面硬化等措施，也间接起到了抑尘、降噪的效果，因此，项目建设符合《河北省生态环境厅办公室关于进一步做好沙区建设项目环境影响评价工作的通知》（冀环办字函[2023]326号）相关要求。</w:t>
            </w:r>
          </w:p>
          <w:p>
            <w:pPr>
              <w:adjustRightInd w:val="0"/>
              <w:snapToGrid w:val="0"/>
              <w:spacing w:line="460" w:lineRule="exact"/>
              <w:ind w:firstLineChars="200" w:firstLine="480"/>
              <w:rPr>
                <w:rFonts w:ascii="Times New Roman" w:cs="Times New Roman" w:hAnsi="Times New Roman"/>
                <w:b/>
                <w:color w:val="auto"/>
                <w:sz w:val="24"/>
                <w:highlight w:val="none"/>
              </w:rPr>
            </w:pPr>
            <w:r>
              <w:rPr>
                <w:rFonts w:cs="Times New Roman" w:hint="eastAsia"/>
                <w:b/>
                <w:color w:val="auto"/>
                <w:sz w:val="24"/>
                <w:lang w:val="en-US" w:eastAsia="zh-CN"/>
                <w:highlight w:val="none"/>
              </w:rPr>
              <w:t>10</w:t>
            </w:r>
            <w:r>
              <w:rPr>
                <w:rFonts w:ascii="Times New Roman" w:cs="Times New Roman" w:hAnsi="Times New Roman"/>
                <w:b/>
                <w:color w:val="auto"/>
                <w:sz w:val="24"/>
                <w:highlight w:val="none"/>
              </w:rPr>
              <w:t>、与其他环境管理政策符合性分析</w:t>
            </w:r>
          </w:p>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w:t>
            </w:r>
            <w:r>
              <w:rPr>
                <w:rFonts w:ascii="Times New Roman" w:eastAsia="宋体" w:cs="Times New Roman" w:hAnsi="Times New Roman" w:hint="eastAsia"/>
                <w:color w:val="auto"/>
                <w:kern w:val="2"/>
                <w:sz w:val="24"/>
                <w:szCs w:val="24"/>
                <w:lang w:val="en-US" w:eastAsia="zh-CN" w:bidi="ar-SA"/>
                <w:highlight w:val="none"/>
              </w:rPr>
              <w:t>）与《危险废物贮存污染控制标准》（GB 18597-2023）的符合性分析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4</w:t>
            </w:r>
            <w:r>
              <w:rPr>
                <w:rFonts w:ascii="Times New Roman" w:eastAsia="宋体" w:cs="Times New Roman" w:hAnsi="Times New Roman" w:hint="eastAsia"/>
                <w:b/>
                <w:bCs/>
                <w:color w:val="auto"/>
                <w:sz w:val="24"/>
                <w:highlight w:val="none"/>
              </w:rPr>
              <w:t xml:space="preserve">  与《危险废物贮存污染控制标准》（GB 18597-2023）</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75"/>
              <w:gridCol w:w="3382"/>
              <w:gridCol w:w="2733"/>
              <w:gridCol w:w="707"/>
            </w:tblGrid>
            <w:tr>
              <w:trPr>
                <w:cantSplit/>
                <w:trHeight w:val="318"/>
                <w:tblHeader/>
              </w:trPr>
              <w:tc>
                <w:tcPr>
                  <w:tcW w:w="510" w:type="pct"/>
                  <w:vAlign w:val="center"/>
                </w:tcPr>
                <w:p>
                  <w:pPr>
                    <w:snapToGrid w:val="0"/>
                    <w:jc w:val="center"/>
                    <w:rPr>
                      <w:rFonts w:hint="eastAsia"/>
                      <w:b/>
                      <w:color w:val="auto"/>
                      <w:szCs w:val="21"/>
                    </w:rPr>
                  </w:pPr>
                  <w:r>
                    <w:rPr>
                      <w:rFonts w:hint="eastAsia"/>
                      <w:b/>
                      <w:color w:val="auto"/>
                      <w:szCs w:val="21"/>
                    </w:rPr>
                    <w:t>项目</w:t>
                  </w:r>
                </w:p>
              </w:tc>
              <w:tc>
                <w:tcPr>
                  <w:tcW w:w="2225" w:type="pct"/>
                  <w:vAlign w:val="center"/>
                </w:tcPr>
                <w:p>
                  <w:pPr>
                    <w:snapToGrid w:val="0"/>
                    <w:jc w:val="center"/>
                    <w:rPr>
                      <w:rFonts w:hint="eastAsia"/>
                      <w:b/>
                      <w:color w:val="auto"/>
                      <w:szCs w:val="21"/>
                    </w:rPr>
                  </w:pPr>
                  <w:r>
                    <w:rPr>
                      <w:rFonts w:hint="eastAsia"/>
                      <w:b/>
                      <w:color w:val="auto"/>
                      <w:szCs w:val="21"/>
                    </w:rPr>
                    <w:t>规范要求</w:t>
                  </w:r>
                </w:p>
              </w:tc>
              <w:tc>
                <w:tcPr>
                  <w:tcW w:w="1798"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总体</w:t>
                  </w:r>
                  <w:r>
                    <w:rPr>
                      <w:rFonts w:ascii="Times New Roman" w:eastAsia="宋体" w:cs="Times New Roman" w:hAnsi="Times New Roman"/>
                      <w:color w:val="auto"/>
                      <w:highlight w:val="none"/>
                    </w:rPr>
                    <w:t>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 产生、收集、贮存、利用、处置危险废物的单位应建造危险废物贮存设施或设置贮存场所，并根据需要选择贮存设施类型。</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4.2 贮存危险废物应根据危险废物的类别、数量、形态、物理化学性质和环境风险等因素，确定贮存设施或场所类型和规模。</w:t>
                  </w:r>
                </w:p>
              </w:tc>
              <w:tc>
                <w:tcPr>
                  <w:tcW w:w="1798"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为废电池中转项目，主要存储废铅蓄电池，废铅蓄电池属于危险废物，本项目租赁现有仓库改造为符合要求的贮存场所</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4.3 贮存危险废物应根据危险废物的类别、形态、物理化学性质和污染防治要求进行分类贮存，且应避免危险废物与不相容的物质或材料接触。</w:t>
                  </w:r>
                </w:p>
              </w:tc>
              <w:tc>
                <w:tcPr>
                  <w:tcW w:w="1798"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本项目主要贮存废铅蓄电池，库房分为完整电池贮存区和破损电池贮存区</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4.4 贮存危险废物应根据危险废物的形态、物理化学性质、包装形式和污染物迁移途径，采取措施减少渗滤液及其衍生废物、渗漏的液态废物（简称渗漏液）、粉尘、VOCs、酸雾、有毒有害大气污染物和刺激性气味气体等污染物的产生，防止其污染环境。</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采取了防渗措施和废电解液的导流收集措施，以及碱喷淋废气处理措施</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4.5 危险废物贮存过程产生的液态废物和固态废物应分类收集，按其环境管理要求妥善处理。</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废电池贮存过程中产生的废电解液单独收集贮存。</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4.6 贮存设施或场所、容器和包装物应按 HJ 1276 要求设置危险废物贮存设施或场所标志、危险废物贮存分区标志和危险废物标签等危险废物识别标志。</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本项目场所、容器和包装物按要求设置危险废物贮存场所标志、危险废物贮存分区标志和危险废物标签等危险废物识别标志。</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4.7 HJ 1259 规定的危险废物环境重点监管单位，应采用电子地磅、电子标签、电子管理台账等技术手段对危险废物贮存过程进行信息化管理，确保数据完整、真实、准确；采用视频监控的应确保监控画面清晰，视频记录保存时间至少为 3 个月。</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w:t>
                  </w:r>
                  <w:r>
                    <w:rPr>
                      <w:rFonts w:ascii="Times New Roman" w:eastAsia="宋体" w:cs="Times New Roman" w:hAnsi="Times New Roman"/>
                      <w:color w:val="auto"/>
                      <w:highlight w:val="none"/>
                    </w:rPr>
                    <w:t>采用电子地磅、电子标签、电子管理台账等技术手段对危险废物贮存过程进行信息化管理，确保数据完整、真实、准确；视频监控确保监控画面清晰，视频记录保存时间至少为 3 个月</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4.8 贮存设施退役时，所有者或运营者应依法履行环境保护责任，退役前应妥善处理处置贮存设施内剩余的危险废物，并对贮存设施进行清理，消除污染；还应依据土壤污染防治相关法律法规履行场地环境风险防控责任。</w:t>
                  </w:r>
                </w:p>
              </w:tc>
              <w:tc>
                <w:tcPr>
                  <w:tcW w:w="1798" w:type="pct"/>
                </w:tcPr>
                <w:p>
                  <w:pPr>
                    <w:adjustRightInd w:val="0"/>
                    <w:snapToGrid w:val="0"/>
                    <w:jc w:val="both"/>
                    <w:rPr>
                      <w:rFonts w:eastAsia="宋体" w:cs="Times New Roman" w:hint="eastAsia"/>
                      <w:color w:val="auto"/>
                      <w:lang w:eastAsia="zh-CN"/>
                      <w:highlight w:val="none"/>
                    </w:rPr>
                  </w:pPr>
                  <w:r>
                    <w:rPr>
                      <w:rFonts w:cs="Times New Roman" w:hint="eastAsia"/>
                      <w:color w:val="auto"/>
                      <w:lang w:eastAsia="zh-CN"/>
                      <w:highlight w:val="none"/>
                    </w:rPr>
                    <w:t>本项目贮存库房不再使用后，</w:t>
                  </w:r>
                  <w:r>
                    <w:rPr>
                      <w:rFonts w:ascii="Times New Roman" w:eastAsia="宋体" w:cs="Times New Roman" w:hAnsi="Times New Roman"/>
                      <w:color w:val="auto"/>
                      <w:highlight w:val="none"/>
                    </w:rPr>
                    <w:t>依法履行环境保护责任，退役前应妥善处理处置贮存设施内剩余的危险废物，并对贮存设施进行清理，消除污染；还应依据土壤污染防治相关法律法规履行场地环境风险防控责任</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4.9 在常温常压下易爆、易燃及排出有毒气体的危险废物应进行预处理，使之稳定后贮存，否则应按易爆、易燃危险品贮存。</w:t>
                  </w:r>
                </w:p>
              </w:tc>
              <w:tc>
                <w:tcPr>
                  <w:tcW w:w="1798"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本项目不涉及易燃易爆危险品贮存。</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4.10 危险废物贮存除应满足环境保护相关要求外，还应执行国家安全生产、职业健康、交通运输、消防等法律法规和标准的相关要求。</w:t>
                  </w:r>
                </w:p>
              </w:tc>
              <w:tc>
                <w:tcPr>
                  <w:tcW w:w="1798" w:type="pct"/>
                </w:tcPr>
                <w:p>
                  <w:pPr>
                    <w:adjustRightInd w:val="0"/>
                    <w:snapToGrid w:val="0"/>
                    <w:jc w:val="both"/>
                    <w:rPr>
                      <w:rFonts w:eastAsia="宋体" w:cs="Times New Roman" w:hint="eastAsia"/>
                      <w:color w:val="auto"/>
                      <w:lang w:eastAsia="zh-CN"/>
                      <w:highlight w:val="none"/>
                    </w:rPr>
                  </w:pPr>
                  <w:r>
                    <w:rPr>
                      <w:rFonts w:ascii="Times New Roman" w:eastAsia="宋体" w:cs="Times New Roman" w:hAnsi="Times New Roman" w:hint="eastAsia"/>
                      <w:color w:val="auto"/>
                      <w:lang w:eastAsia="zh-CN"/>
                      <w:highlight w:val="none"/>
                    </w:rPr>
                    <w:t>贮存场所满足</w:t>
                  </w:r>
                  <w:r>
                    <w:rPr>
                      <w:rFonts w:ascii="Times New Roman" w:eastAsia="宋体" w:cs="Times New Roman" w:hAnsi="Times New Roman"/>
                      <w:color w:val="auto"/>
                      <w:highlight w:val="none"/>
                    </w:rPr>
                    <w:t>国家安全生产、职业健康、交通运输、消防等法律法规和标准的相关要求</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lang w:eastAsia="zh-CN"/>
                      <w:highlight w:val="none"/>
                    </w:rPr>
                    <w:t>贮存设施选址要求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5.1 贮存设施选址应满足生态环境保护法律法规、规划和“三线一单”生态环境分区管控的要求，建设项目应依法进行环境影响评价。</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5.2 集中贮存设施不应选在生态保护红线区域、永久基本农田和其他需要特别保护的区域内，不应建在溶洞区或易遭受洪水、滑坡、泥石流、潮汐等严重自然灾害影响的地区。</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5.3 贮存设施不应选在江河、湖泊、运河、渠道、水库及其最高水位线以下的滩地和岸坡，以及法律法规规定禁止贮存危险废物的其他地点。</w:t>
                  </w:r>
                </w:p>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5.4 贮存设施场址的位置以及其与周围环境敏感目标的距离应依据环境影响评价文件确定</w:t>
                  </w:r>
                  <w:r>
                    <w:rPr>
                      <w:rFonts w:cs="Times New Roman" w:hint="eastAsia"/>
                      <w:color w:val="auto"/>
                      <w:lang w:eastAsia="zh-CN"/>
                      <w:highlight w:val="none"/>
                    </w:rPr>
                    <w:t>。</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本项目选址满足</w:t>
                  </w:r>
                  <w:r>
                    <w:rPr>
                      <w:rFonts w:ascii="Times New Roman" w:eastAsia="宋体" w:cs="Times New Roman" w:hAnsi="Times New Roman"/>
                      <w:color w:val="auto"/>
                      <w:highlight w:val="none"/>
                    </w:rPr>
                    <w:t>生态环境保护法律法规、规划和“三线一单”生态环境分区管控的要求</w:t>
                  </w:r>
                  <w:r>
                    <w:rPr>
                      <w:rFonts w:ascii="Times New Roman" w:eastAsia="宋体" w:cs="Times New Roman" w:hAnsi="Times New Roman" w:hint="eastAsia"/>
                      <w:color w:val="auto"/>
                      <w:lang w:eastAsia="zh-CN"/>
                      <w:highlight w:val="none"/>
                    </w:rPr>
                    <w:t>，正在开展环境影响评价工作</w:t>
                  </w:r>
                  <w:r>
                    <w:rPr>
                      <w:rFonts w:cs="Times New Roman" w:hint="eastAsia"/>
                      <w:color w:val="auto"/>
                      <w:lang w:eastAsia="zh-CN"/>
                      <w:highlight w:val="none"/>
                    </w:rPr>
                    <w:t>。本项目位于石家庄市栾城区装备制造基地楼底镇段家营村裕翔街168号103厂房（南），租赁现有闲置厂房，不涉及</w:t>
                  </w:r>
                  <w:r>
                    <w:rPr>
                      <w:rFonts w:ascii="Times New Roman" w:eastAsia="宋体" w:cs="Times New Roman" w:hAnsi="Times New Roman"/>
                      <w:color w:val="auto"/>
                      <w:highlight w:val="none"/>
                    </w:rPr>
                    <w:t>生态保护红线区域、永久基本农田和其他需要特别保护的区域</w:t>
                  </w:r>
                  <w:r>
                    <w:rPr>
                      <w:rFonts w:ascii="Times New Roman" w:eastAsia="宋体" w:cs="Times New Roman" w:hAnsi="Times New Roman" w:hint="eastAsia"/>
                      <w:color w:val="auto"/>
                      <w:lang w:eastAsia="zh-CN"/>
                      <w:highlight w:val="none"/>
                    </w:rPr>
                    <w:t>，不涉及</w:t>
                  </w:r>
                  <w:r>
                    <w:rPr>
                      <w:rFonts w:ascii="Times New Roman" w:eastAsia="宋体" w:cs="Times New Roman" w:hAnsi="Times New Roman"/>
                      <w:color w:val="auto"/>
                      <w:highlight w:val="none"/>
                    </w:rPr>
                    <w:t>溶洞区或易遭受洪水、滑坡、泥石流、潮汐等严重自然灾害影响的地区</w:t>
                  </w:r>
                  <w:r>
                    <w:rPr>
                      <w:rFonts w:ascii="Times New Roman" w:eastAsia="宋体" w:cs="Times New Roman" w:hAnsi="Times New Roman" w:hint="eastAsia"/>
                      <w:color w:val="auto"/>
                      <w:lang w:eastAsia="zh-CN"/>
                      <w:highlight w:val="none"/>
                    </w:rPr>
                    <w:t>，不涉及</w:t>
                  </w:r>
                  <w:r>
                    <w:rPr>
                      <w:rFonts w:ascii="Times New Roman" w:eastAsia="宋体" w:cs="Times New Roman" w:hAnsi="Times New Roman"/>
                      <w:color w:val="auto"/>
                      <w:highlight w:val="none"/>
                    </w:rPr>
                    <w:t>江河、湖泊、运河、渠道、水库及其最高水位线以下的滩地和岸坡，以及法律法规规定禁止贮存危险废物的其他地点</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restart"/>
                  <w:vAlign w:val="center"/>
                </w:tcPr>
                <w:p>
                  <w:pPr>
                    <w:adjustRightInd w:val="0"/>
                    <w:snapToGrid w:val="0"/>
                    <w:jc w:val="center"/>
                    <w:rPr>
                      <w:rFonts w:cs="Times New Roman" w:hint="eastAsia"/>
                      <w:color w:val="auto"/>
                      <w:lang w:eastAsia="zh-CN"/>
                      <w:highlight w:val="none"/>
                    </w:rPr>
                  </w:pPr>
                  <w:r>
                    <w:rPr>
                      <w:rFonts w:cs="Times New Roman" w:hint="eastAsia"/>
                      <w:color w:val="auto"/>
                      <w:lang w:eastAsia="zh-CN"/>
                      <w:highlight w:val="none"/>
                    </w:rPr>
                    <w:t>贮存设施污染控制要求</w:t>
                  </w:r>
                </w:p>
              </w:tc>
              <w:tc>
                <w:tcPr>
                  <w:tcW w:w="2225" w:type="pct"/>
                </w:tcPr>
                <w:p>
                  <w:pPr>
                    <w:adjustRightInd w:val="0"/>
                    <w:snapToGrid w:val="0"/>
                    <w:jc w:val="both"/>
                    <w:rPr>
                      <w:rFonts w:ascii="Times New Roman" w:eastAsia="宋体" w:cs="Times New Roman" w:hAnsi="Times New Roman"/>
                      <w:color w:val="auto"/>
                      <w:lang w:val="en-US" w:eastAsia="zh-CN"/>
                      <w:highlight w:val="none"/>
                    </w:rPr>
                  </w:pPr>
                  <w:r>
                    <w:rPr>
                      <w:rFonts w:ascii="Times New Roman" w:eastAsia="宋体" w:cs="Times New Roman" w:hAnsi="Times New Roman"/>
                      <w:color w:val="auto"/>
                      <w:lang w:val="en-US" w:eastAsia="zh-CN"/>
                      <w:highlight w:val="none"/>
                    </w:rPr>
                    <w:t>6.1 一般规定</w:t>
                  </w:r>
                </w:p>
                <w:p>
                  <w:pPr>
                    <w:adjustRightInd w:val="0"/>
                    <w:snapToGrid w:val="0"/>
                    <w:jc w:val="both"/>
                    <w:rPr>
                      <w:rFonts w:cs="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6.1.1 贮存设施应根据危险废物的形态、物理化学性质、包装形式和污染物迁移途径，采取必要的防风、防晒、防雨、防漏、防渗、防腐以及其他环境污染防治措施，不应露天堆放危险废物</w:t>
                  </w:r>
                  <w:r>
                    <w:rPr>
                      <w:rFonts w:cs="Times New Roman" w:hint="eastAsia"/>
                      <w:color w:val="auto"/>
                      <w:lang w:val="en-US" w:eastAsia="zh-CN"/>
                      <w:highlight w:val="none"/>
                    </w:rPr>
                    <w:t>。</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6.1.2 贮存设施应根据危险废物的类别、数量、形态、物理化学性质和污染防治等要求设置必要的贮存分区，避免不相容的危险废物接触、混合。</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6.1.3 贮存设施或贮存分区内地面、墙面裙脚、堵截泄漏的围堰、接触危险废物的隔板和墙体等应采</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用坚固的材料建造，表面无裂缝。</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6.1.4 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 1 m 厚黏土层（渗透系数不大于10</w:t>
                  </w:r>
                  <w:r>
                    <w:rPr>
                      <w:rFonts w:cs="Times New Roman" w:hint="eastAsia"/>
                      <w:color w:val="auto"/>
                      <w:vertAlign w:val="superscript"/>
                      <w:lang w:val="en-US" w:eastAsia="zh-CN"/>
                      <w:highlight w:val="none"/>
                    </w:rPr>
                    <w:t>-7</w:t>
                  </w:r>
                  <w:r>
                    <w:rPr>
                      <w:rFonts w:cs="Times New Roman" w:hint="eastAsia"/>
                      <w:color w:val="auto"/>
                      <w:lang w:val="en-US" w:eastAsia="zh-CN"/>
                      <w:highlight w:val="none"/>
                    </w:rPr>
                    <w:t xml:space="preserve"> cm/s），或至少2 mm 厚高密度聚乙烯膜等人工防渗材料（渗透系数不大于10</w:t>
                  </w:r>
                  <w:r>
                    <w:rPr>
                      <w:rFonts w:cs="Times New Roman" w:hint="eastAsia"/>
                      <w:color w:val="auto"/>
                      <w:vertAlign w:val="superscript"/>
                      <w:lang w:val="en-US" w:eastAsia="zh-CN"/>
                      <w:highlight w:val="none"/>
                    </w:rPr>
                    <w:t xml:space="preserve">-10 </w:t>
                  </w:r>
                  <w:r>
                    <w:rPr>
                      <w:rFonts w:cs="Times New Roman" w:hint="eastAsia"/>
                      <w:color w:val="auto"/>
                      <w:lang w:val="en-US" w:eastAsia="zh-CN"/>
                      <w:highlight w:val="none"/>
                    </w:rPr>
                    <w:t>cm/s），或其他防渗性能等效的材料。</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6.1.5 同一贮存设施宜采用相同的防渗、防腐工艺（包括防渗、防腐结构或材料），防渗、防腐材料应覆盖所有可能与废物及其渗滤液、渗漏液等接触的构筑物表面；采用不同防渗、防腐工艺应分别建设贮存分区。</w:t>
                  </w:r>
                </w:p>
                <w:p>
                  <w:pPr>
                    <w:adjustRightInd w:val="0"/>
                    <w:snapToGrid w:val="0"/>
                    <w:jc w:val="both"/>
                    <w:rPr>
                      <w:rFonts w:eastAsia="宋体" w:cs="Times New Roman" w:hint="eastAsia"/>
                      <w:color w:val="auto"/>
                      <w:lang w:val="en-US" w:eastAsia="zh-CN"/>
                      <w:highlight w:val="none"/>
                    </w:rPr>
                  </w:pPr>
                  <w:r>
                    <w:rPr>
                      <w:rFonts w:cs="Times New Roman" w:hint="eastAsia"/>
                      <w:color w:val="auto"/>
                      <w:lang w:val="en-US" w:eastAsia="zh-CN"/>
                      <w:highlight w:val="none"/>
                    </w:rPr>
                    <w:t>6.1.6 贮存设施应采取技术和管理措施防止无关人员进入。</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贮存过程位于库房内，并且对废电池进行分区贮存，地面、墙面裙脚、堵截泄漏的围堰、接触危险废物的隔板和墙体等采用坚固的材料建造，表面无裂缝。本项目对租赁的库房进行改造，能够满足防渗要求。</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 贮存库</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6.2.1 贮存库内不同贮存分区之间应采取隔离措施。隔离措施可根据危险废物特性采用过道、隔板或隔墙等方式。</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6.2.2 在贮存库内或通过贮存分区方式贮存液态危险废物的，应具有液体泄漏堵截设施，堵截设施最小容积不应低于对应贮存区域最大液态废物容器容积或液态废物总储量 1/10（二者取较大者）；用于贮存可能产生渗滤液的危险废物的贮存库或贮存分区应设计渗滤液收集设施，收集设施容积应满足渗滤液的收集要求。</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6.2.3 贮存易产生粉尘、VOCs、酸雾、有毒有害大气污染物和刺激性气味气体的危险废物贮存库，应设置气体收集装置和气体净化设施；气体净化设施的排气筒高度应符合 GB 16297 要求。</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本项目租用现有库房并进行改造，改造后</w:t>
                  </w:r>
                  <w:r>
                    <w:rPr>
                      <w:rFonts w:cs="Times New Roman" w:hint="eastAsia"/>
                      <w:color w:val="auto"/>
                      <w:lang w:val="en-US" w:eastAsia="zh-CN"/>
                      <w:highlight w:val="none"/>
                    </w:rPr>
                    <w:t>具有液体泄漏堵截设施、导流渠和废电解液收集池，同时设有碱喷淋装置对废气进行处理。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 贮存池</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6.4.1 贮存池防渗层应覆盖整个池体，并应按照 6.1.4 的要求进行基础防渗。</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6.4.2 贮存池应采取措施防止雨水、地面径流等进入，保证能防止当地重现期不小于25 年的暴雨流入贮存池内。</w:t>
                  </w:r>
                </w:p>
                <w:p>
                  <w:pPr>
                    <w:adjustRightInd w:val="0"/>
                    <w:snapToGrid w:val="0"/>
                    <w:jc w:val="both"/>
                    <w:rPr>
                      <w:rFonts w:cs="Times New Roman" w:hint="eastAsia"/>
                      <w:color w:val="auto"/>
                      <w:lang w:val="en-US" w:eastAsia="zh-CN"/>
                      <w:highlight w:val="none"/>
                    </w:rPr>
                  </w:pPr>
                  <w:r>
                    <w:rPr>
                      <w:rFonts w:cs="Times New Roman" w:hint="eastAsia"/>
                      <w:color w:val="auto"/>
                      <w:lang w:val="en-US" w:eastAsia="zh-CN"/>
                      <w:highlight w:val="none"/>
                    </w:rPr>
                    <w:t>6.4.3 贮存池应采取措施减少大气污染物的无组织排放</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废电解液收集池整体采取防渗措施，贮存环节位于室内，不涉及雨水和地面径流汇入，同时废气采取了碱喷淋装置进行处理。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容器和包装物污染控制要求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7.1 容器和包装物材质、内衬应与盛装的危险废物相容。</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7.2 针对不同类别、形态、物理化学性质的危险废物，其容器和包装物应满足相应的防渗、防漏、防腐和强度等要求。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7.3 硬质容器和包装物及其支护结构堆叠码放时不应有明显变形，无破损泄漏。</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7.4 柔性容器和包装物堆叠码放时应封口严密，无破损泄漏。</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7.5 使用容器盛装液态、半固态危险废物时，容器内部应留有适当的空间，以适应因温度变化等可能引发的收缩和膨胀，防止其导致容器渗漏或永久变形。</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7.6 容器和包装物外表面应保持清洁</w:t>
                  </w:r>
                </w:p>
              </w:tc>
              <w:tc>
                <w:tcPr>
                  <w:tcW w:w="1798"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restar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贮存过程污染控制要求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 一般规定</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8.1.1 在常温常压下不易水解、不易挥发的固态危险废物可分类堆放贮存，其他固态危险废物应装入容器或包装物内贮存。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8.1.2 液态危险废物应装入容器内贮存，或直接采用贮存池、贮存罐区贮存。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8.1.3 半固态危险废物应装入容器或包装袋内贮存，或直接采用贮存池贮存。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8.1.4 具有热塑性的危险废物应装入容器或包装袋内进行贮存。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8.1.5 易产生粉尘、VOCs、酸雾、有毒有害大气污染物和刺激性气味气体的危险废物应装入闭口容器或包装物内贮存。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8.1.6 危险废物贮存过程中易产生粉尘等无组织排放的，应采取抑尘等有效措施。</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r>
                    <w:rPr>
                      <w:rFonts w:ascii="Times New Roman" w:eastAsia="宋体" w:cs="Times New Roman" w:hAnsi="Times New Roman" w:hint="eastAsia"/>
                      <w:color w:val="auto"/>
                      <w:lang w:eastAsia="zh-CN"/>
                      <w:highlight w:val="none"/>
                    </w:rPr>
                    <w:t>。库房</w:t>
                  </w:r>
                  <w:r>
                    <w:rPr>
                      <w:rFonts w:cs="Times New Roman" w:hint="eastAsia"/>
                      <w:color w:val="auto"/>
                      <w:lang w:val="en-US" w:eastAsia="zh-CN"/>
                      <w:highlight w:val="none"/>
                    </w:rPr>
                    <w:t>设有碱喷淋装置对废气进行处理。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Merge/>
                  <w:vAlign w:val="center"/>
                </w:tcP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8.2.1 危险废物存入贮存设施前应对危险废物类别和特性与危险废物标签等危险废物识别标志的一致性进行核验，不一致的或类别、特性不明的不应存入。</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8.2.2 应定期检查危险废物的贮存状况，及时清理贮存设施地面，更换破损泄漏的危险废物贮存容器和包装物，保证堆存危险废物的防雨、防风、防扬尘等设施功能完好。</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8.2.3 作业设备及车辆等结束作业离开贮存设施时，应对其残留的危险废物进行清理，清理的废物或清洗废水应收集处理。</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8.2.4 贮存设施运行期间，应按国家有关标准和规定建立危险废物管理台账并保存。</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8.2.5 贮存设施所有者或运营者应建立贮存设施环境管理制度、管理人员岗位职责制度、设施运行操作制度、人员岗位培训制度等。</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8.2.6 贮存设施所有者或运营者应依据国家土壤和地下水污染防治的有关规定，结合贮存设施特点建立土壤和地下水污染隐患排查制度，并定期开展隐患排查；发现隐患应及时采取措施消除隐患，并建立档案。</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8.2.7 贮存设施所有者或运营者应建立贮存设施全部档案，包括设计、施工、验收、运行、监测和环境应急等，应按国家有关档案管理的法律法规进行整理和归档。</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本项目仅贮存废铅蓄电池，产生的其他危废设有单独的危废暂存间，</w:t>
                  </w:r>
                  <w:r>
                    <w:rPr>
                      <w:rFonts w:ascii="Times New Roman" w:eastAsia="宋体" w:cs="Times New Roman" w:hAnsi="Times New Roman"/>
                      <w:color w:val="auto"/>
                      <w:highlight w:val="none"/>
                    </w:rPr>
                    <w:t>定期检查危险废物的贮存状况，及时清理贮存设施地面，更换破损泄漏的危险废物贮存容器和包装物，保证堆存危险废物的防雨、防风、防扬尘等设施功能完好</w:t>
                  </w:r>
                  <w:r>
                    <w:rPr>
                      <w:rFonts w:ascii="Times New Roman" w:eastAsia="宋体" w:cs="Times New Roman" w:hAnsi="Times New Roman" w:hint="eastAsia"/>
                      <w:color w:val="auto"/>
                      <w:lang w:eastAsia="zh-CN"/>
                      <w:highlight w:val="none"/>
                    </w:rPr>
                    <w:t>。贮存期间按规定建立危险废物管理台账并保存，同时设有管理制度和岗位职责。</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污染物排放控制要求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9.1 贮存设施产生的废水（包括贮存设施、作业设备、车辆等清洗废水，贮存罐区积存雨水，贮存事故废水等）应进行收集处理，废水排放应符合 GB 8978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9.2 贮存设施产生的废气（含无组织废气）的排放应符合 GB 16297 和 GB 37822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9.3 贮存设施产生的恶臭气体的排放应符合 GB 14554 规定的要求。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9.4 贮存设施内产生以及清理的固体废物应按固体废物分类管理要求妥善处理。</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9.5 贮存设施排放的环境噪声应符合 GB 12348 规定的要求</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本项目贮存过程中不涉及废水，产生的废气采用碱喷淋装置处理后达标排放。噪声采取措施后也能达标排放。</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blHeader/>
              </w:trPr>
              <w:tc>
                <w:tcPr>
                  <w:tcW w:w="510"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环境应急要求</w:t>
                  </w:r>
                </w:p>
              </w:tc>
              <w:tc>
                <w:tcPr>
                  <w:tcW w:w="2225"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11.1 贮存设施所有者或运营者应按照国家有关规定编制突发环境事件应急预案，定期开展必要的培训和环境应急演练，并做好培训、演练记录。</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11.2 贮存设施所有者或运营者应配备满足其突发环境事件应急要求的应急人员、装备和物资，并应设置应急照明系统。</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11.3 相关部门发布自然灾害或恶劣天气预警后，贮存设施所有者或运营者应启动相应防控措施，若有必要可将危险废物转移至其他具有防护条件的地点贮存。</w:t>
                  </w:r>
                </w:p>
              </w:tc>
              <w:tc>
                <w:tcPr>
                  <w:tcW w:w="1798"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lang w:eastAsia="zh-CN"/>
                      <w:highlight w:val="none"/>
                    </w:rPr>
                    <w:t>项目</w:t>
                  </w:r>
                  <w:r>
                    <w:rPr>
                      <w:rFonts w:ascii="Times New Roman" w:eastAsia="宋体" w:cs="Times New Roman" w:hAnsi="Times New Roman"/>
                      <w:color w:val="auto"/>
                      <w:highlight w:val="none"/>
                    </w:rPr>
                    <w:t>按照国家有关规定编制突发环境事件应急预案，定期开展必要的培训和环境应急演练，并做好培训、演练记录</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配备满足其突发环境事件应急要求的应急人员、装备和物资，并设置应急照明系统</w:t>
                  </w:r>
                  <w:r>
                    <w:rPr>
                      <w:rFonts w:ascii="Times New Roman" w:eastAsia="宋体" w:cs="Times New Roman" w:hAnsi="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107"/>
              <w:rPr>
                <w:rFonts w:hint="eastAsia"/>
                <w:color w:val="auto"/>
              </w:rPr>
            </w:pPr>
            <w:r>
              <w:rPr>
                <w:rFonts w:hint="eastAsia"/>
                <w:color w:val="auto"/>
              </w:rPr>
              <w:t>（</w:t>
            </w:r>
            <w:r>
              <w:rPr>
                <w:rFonts w:hint="eastAsia"/>
                <w:color w:val="auto"/>
                <w:lang w:val="en-US" w:eastAsia="zh-CN"/>
              </w:rPr>
              <w:t>2</w:t>
            </w:r>
            <w:r>
              <w:rPr>
                <w:rFonts w:hint="eastAsia"/>
                <w:color w:val="auto"/>
              </w:rPr>
              <w:t>）与</w:t>
            </w:r>
            <w:r>
              <w:rPr>
                <w:color w:val="auto"/>
                <w:spacing w:val="-1"/>
              </w:rPr>
              <w:t>《电池废料贮运规范》（</w:t>
            </w:r>
            <w:r>
              <w:rPr>
                <w:rFonts w:ascii="Times New Roman" w:eastAsia="Times New Roman" w:cs="Times New Roman" w:hAnsi="Times New Roman"/>
                <w:color w:val="auto"/>
                <w:spacing w:val="-1"/>
              </w:rPr>
              <w:t>GB/T264</w:t>
            </w:r>
            <w:r>
              <w:rPr>
                <w:rFonts w:ascii="Times New Roman" w:eastAsia="Times New Roman" w:cs="Times New Roman" w:hAnsi="Times New Roman"/>
                <w:color w:val="auto"/>
                <w:spacing w:val="-2"/>
              </w:rPr>
              <w:t>93-2011</w:t>
            </w:r>
            <w:r>
              <w:rPr>
                <w:color w:val="auto"/>
                <w:spacing w:val="-2"/>
              </w:rPr>
              <w:t>）及其修改单的</w:t>
            </w:r>
            <w:r>
              <w:rPr>
                <w:color w:val="auto"/>
                <w:spacing w:val="-3"/>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5</w:t>
            </w:r>
            <w:r>
              <w:rPr>
                <w:rFonts w:ascii="Times New Roman" w:eastAsia="宋体" w:cs="Times New Roman" w:hAnsi="Times New Roman" w:hint="eastAsia"/>
                <w:b/>
                <w:bCs/>
                <w:color w:val="auto"/>
                <w:sz w:val="24"/>
                <w:highlight w:val="none"/>
              </w:rPr>
              <w:t xml:space="preserve">  项目与废电池污染防治技术政策的符合性分析</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82"/>
              <w:gridCol w:w="3237"/>
              <w:gridCol w:w="3126"/>
              <w:gridCol w:w="751"/>
            </w:tblGrid>
            <w:tr>
              <w:trPr>
                <w:cantSplit/>
                <w:trHeight w:val="318"/>
                <w:tblHeader/>
              </w:trPr>
              <w:tc>
                <w:tcPr>
                  <w:tcW w:w="317" w:type="pct"/>
                  <w:vAlign w:val="center"/>
                </w:tcPr>
                <w:p>
                  <w:pPr>
                    <w:snapToGrid w:val="0"/>
                    <w:jc w:val="center"/>
                    <w:rPr>
                      <w:rFonts w:hint="eastAsia"/>
                      <w:b/>
                      <w:color w:val="auto"/>
                      <w:szCs w:val="21"/>
                    </w:rPr>
                  </w:pPr>
                  <w:r>
                    <w:rPr>
                      <w:rFonts w:hint="eastAsia"/>
                      <w:b/>
                      <w:color w:val="auto"/>
                      <w:szCs w:val="21"/>
                    </w:rPr>
                    <w:t>项目</w:t>
                  </w:r>
                </w:p>
              </w:tc>
              <w:tc>
                <w:tcPr>
                  <w:tcW w:w="2130" w:type="pct"/>
                  <w:vAlign w:val="center"/>
                </w:tcPr>
                <w:p>
                  <w:pPr>
                    <w:snapToGrid w:val="0"/>
                    <w:jc w:val="center"/>
                    <w:rPr>
                      <w:rFonts w:hint="eastAsia"/>
                      <w:b/>
                      <w:color w:val="auto"/>
                      <w:szCs w:val="21"/>
                    </w:rPr>
                  </w:pPr>
                  <w:r>
                    <w:rPr>
                      <w:rFonts w:hint="eastAsia"/>
                      <w:b/>
                      <w:color w:val="auto"/>
                      <w:szCs w:val="21"/>
                    </w:rPr>
                    <w:t>规范要求</w:t>
                  </w:r>
                </w:p>
              </w:tc>
              <w:tc>
                <w:tcPr>
                  <w:tcW w:w="2057" w:type="pct"/>
                  <w:vAlign w:val="center"/>
                </w:tcPr>
                <w:p>
                  <w:pPr>
                    <w:snapToGrid w:val="0"/>
                    <w:jc w:val="center"/>
                    <w:rPr>
                      <w:rFonts w:hint="eastAsia"/>
                      <w:b/>
                      <w:color w:val="auto"/>
                      <w:szCs w:val="21"/>
                    </w:rPr>
                  </w:pPr>
                  <w:r>
                    <w:rPr>
                      <w:rFonts w:hint="eastAsia"/>
                      <w:b/>
                      <w:color w:val="auto"/>
                      <w:szCs w:val="21"/>
                    </w:rPr>
                    <w:t>项目建设条件</w:t>
                  </w:r>
                </w:p>
              </w:tc>
              <w:tc>
                <w:tcPr>
                  <w:tcW w:w="494"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317" w:type="pct"/>
                  <w:vMerge w:val="restart"/>
                  <w:vAlign w:val="center"/>
                </w:tcPr>
                <w:p>
                  <w:pPr>
                    <w:snapToGrid w:val="0"/>
                    <w:jc w:val="center"/>
                    <w:rPr>
                      <w:rFonts w:eastAsia="宋体" w:hint="eastAsia"/>
                      <w:bCs/>
                      <w:color w:val="auto"/>
                      <w:szCs w:val="21"/>
                      <w:lang w:eastAsia="zh-CN"/>
                    </w:rPr>
                  </w:pPr>
                  <w:r>
                    <w:rPr>
                      <w:rFonts w:hint="eastAsia"/>
                      <w:bCs/>
                      <w:color w:val="auto"/>
                      <w:szCs w:val="21"/>
                      <w:lang w:eastAsia="zh-CN"/>
                    </w:rPr>
                    <w:t>一般要求</w:t>
                  </w: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电池废料贮存应遵照《中华人民共和国固体废物污染环境防治法》</w:t>
                  </w:r>
                  <w:r>
                    <w:rPr>
                      <w:rFonts w:cs="Times New Roman" w:hint="eastAsia"/>
                      <w:color w:val="auto"/>
                      <w:lang w:eastAsia="zh-CN"/>
                      <w:highlight w:val="none"/>
                    </w:rPr>
                    <w:t>（</w:t>
                  </w:r>
                  <w:r>
                    <w:rPr>
                      <w:rFonts w:ascii="Times New Roman" w:eastAsia="宋体" w:cs="Times New Roman" w:hAnsi="Times New Roman"/>
                      <w:color w:val="auto"/>
                      <w:highlight w:val="none"/>
                    </w:rPr>
                    <w:t>中华人民共和国主席令第31号</w:t>
                  </w:r>
                  <w:r>
                    <w:rPr>
                      <w:rFonts w:cs="Times New Roman" w:hint="eastAsia"/>
                      <w:color w:val="auto"/>
                      <w:lang w:eastAsia="zh-CN"/>
                      <w:highlight w:val="none"/>
                    </w:rPr>
                    <w:t>）</w:t>
                  </w:r>
                  <w:r>
                    <w:rPr>
                      <w:rFonts w:ascii="Times New Roman" w:eastAsia="宋体" w:cs="Times New Roman" w:hAnsi="Times New Roman"/>
                      <w:color w:val="auto"/>
                      <w:highlight w:val="none"/>
                    </w:rPr>
                    <w:t>、《废电池污染防治技术政策》</w:t>
                  </w:r>
                  <w:r>
                    <w:rPr>
                      <w:rFonts w:cs="Times New Roman" w:hint="eastAsia"/>
                      <w:color w:val="auto"/>
                      <w:lang w:eastAsia="zh-CN"/>
                      <w:highlight w:val="none"/>
                    </w:rPr>
                    <w:t>（</w:t>
                  </w:r>
                  <w:r>
                    <w:rPr>
                      <w:rFonts w:ascii="Times New Roman" w:eastAsia="宋体" w:cs="Times New Roman" w:hAnsi="Times New Roman"/>
                      <w:color w:val="auto"/>
                      <w:highlight w:val="none"/>
                    </w:rPr>
                    <w:t>环发E20031163号</w:t>
                  </w:r>
                  <w:r>
                    <w:rPr>
                      <w:rFonts w:cs="Times New Roman" w:hint="eastAsia"/>
                      <w:color w:val="auto"/>
                      <w:lang w:eastAsia="zh-CN"/>
                      <w:highlight w:val="none"/>
                    </w:rPr>
                    <w:t>）</w:t>
                  </w:r>
                  <w:r>
                    <w:rPr>
                      <w:rFonts w:ascii="Times New Roman" w:eastAsia="宋体" w:cs="Times New Roman" w:hAnsi="Times New Roman"/>
                      <w:color w:val="auto"/>
                      <w:highlight w:val="none"/>
                    </w:rPr>
                    <w:t>的有关规定</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本项目仓库地面采取重点防渗处理，并设置导流沟和</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w:t>
                  </w:r>
                  <w:r>
                    <w:rPr>
                      <w:rFonts w:ascii="Times New Roman" w:eastAsia="宋体" w:cs="Times New Roman" w:hAnsi="Times New Roman" w:hint="eastAsia"/>
                      <w:color w:val="auto"/>
                      <w:lang w:eastAsia="zh-CN"/>
                      <w:highlight w:val="none"/>
                    </w:rPr>
                    <w:t>破损电池贮存间</w:t>
                  </w:r>
                  <w:r>
                    <w:rPr>
                      <w:rFonts w:ascii="Times New Roman" w:eastAsia="宋体" w:cs="Times New Roman" w:hAnsi="Times New Roman"/>
                      <w:color w:val="auto"/>
                      <w:highlight w:val="none"/>
                    </w:rPr>
                    <w:t>采用负压收集系统，废气通过碱液喷淋系统处理后通过</w:t>
                  </w:r>
                  <w:r>
                    <w:rPr>
                      <w:rFonts w:ascii="Times New Roman" w:eastAsia="宋体" w:cs="Times New Roman" w:hAnsi="Times New Roman" w:hint="eastAsia"/>
                      <w:color w:val="auto"/>
                      <w:lang w:val="en-US" w:eastAsia="zh-CN"/>
                      <w:highlight w:val="none"/>
                    </w:rPr>
                    <w:t>15</w:t>
                  </w:r>
                  <w:r>
                    <w:rPr>
                      <w:rFonts w:ascii="Times New Roman" w:eastAsia="宋体" w:cs="Times New Roman" w:hAnsi="Times New Roman"/>
                      <w:color w:val="auto"/>
                      <w:highlight w:val="none"/>
                    </w:rPr>
                    <w:t>m高排气筒有组织排放。满足《中华人民共和国固体废物污染环境防治法》</w:t>
                  </w:r>
                  <w:r>
                    <w:rPr>
                      <w:rFonts w:cs="Times New Roman" w:hint="eastAsia"/>
                      <w:color w:val="auto"/>
                      <w:lang w:eastAsia="zh-CN"/>
                      <w:highlight w:val="none"/>
                    </w:rPr>
                    <w:t>（</w:t>
                  </w:r>
                  <w:r>
                    <w:rPr>
                      <w:rFonts w:ascii="Times New Roman" w:eastAsia="宋体" w:cs="Times New Roman" w:hAnsi="Times New Roman"/>
                      <w:color w:val="auto"/>
                      <w:highlight w:val="none"/>
                    </w:rPr>
                    <w:t>中华人民共和国主席令第31号</w:t>
                  </w:r>
                  <w:r>
                    <w:rPr>
                      <w:rFonts w:cs="Times New Roman" w:hint="eastAsia"/>
                      <w:color w:val="auto"/>
                      <w:lang w:eastAsia="zh-CN"/>
                      <w:highlight w:val="none"/>
                    </w:rPr>
                    <w:t>）</w:t>
                  </w:r>
                  <w:r>
                    <w:rPr>
                      <w:rFonts w:ascii="Times New Roman" w:eastAsia="宋体" w:cs="Times New Roman" w:hAnsi="Times New Roman"/>
                      <w:color w:val="auto"/>
                      <w:highlight w:val="none"/>
                    </w:rPr>
                    <w:t>、《废电池污染防治技术政策》</w:t>
                  </w:r>
                  <w:r>
                    <w:rPr>
                      <w:rFonts w:cs="Times New Roman" w:hint="eastAsia"/>
                      <w:color w:val="auto"/>
                      <w:lang w:eastAsia="zh-CN"/>
                      <w:highlight w:val="none"/>
                    </w:rPr>
                    <w:t>（</w:t>
                  </w:r>
                  <w:r>
                    <w:rPr>
                      <w:rFonts w:ascii="Times New Roman" w:eastAsia="宋体" w:cs="Times New Roman" w:hAnsi="Times New Roman"/>
                      <w:color w:val="auto"/>
                      <w:highlight w:val="none"/>
                    </w:rPr>
                    <w:t>环发E20031163号</w:t>
                  </w:r>
                  <w:r>
                    <w:rPr>
                      <w:rFonts w:cs="Times New Roman" w:hint="eastAsia"/>
                      <w:color w:val="auto"/>
                      <w:lang w:eastAsia="zh-CN"/>
                      <w:highlight w:val="none"/>
                    </w:rPr>
                    <w:t>）</w:t>
                  </w:r>
                  <w:r>
                    <w:rPr>
                      <w:rFonts w:ascii="Times New Roman" w:eastAsia="宋体" w:cs="Times New Roman" w:hAnsi="Times New Roman"/>
                      <w:color w:val="auto"/>
                      <w:highlight w:val="none"/>
                    </w:rPr>
                    <w:t>的有关规定。</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电池废料应堆放在阴凉干爽的</w:t>
                  </w:r>
                  <w:r>
                    <w:rPr>
                      <w:rFonts w:cs="Times New Roman" w:hint="eastAsia"/>
                      <w:color w:val="auto"/>
                      <w:lang w:eastAsia="zh-CN"/>
                      <w:highlight w:val="none"/>
                    </w:rPr>
                    <w:t>地</w:t>
                  </w:r>
                  <w:r>
                    <w:rPr>
                      <w:rFonts w:ascii="Times New Roman" w:eastAsia="宋体" w:cs="Times New Roman" w:hAnsi="Times New Roman"/>
                      <w:color w:val="auto"/>
                      <w:highlight w:val="none"/>
                    </w:rPr>
                    <w:t>方，不得堆放在露天场地，不得存放在阳光直接照射、高温及潮湿的地方。</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电池收集贮存于仓库中。避免露天贮存。</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电池废料的贮存、运输单位应获得当地环保部门的批准，取得相应的经营资质，属于危险废物的</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应取得危险废物经营许可证。</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本项目</w:t>
                  </w:r>
                  <w:r>
                    <w:rPr>
                      <w:rFonts w:ascii="Times New Roman" w:eastAsia="宋体" w:cs="Times New Roman" w:hAnsi="Times New Roman"/>
                      <w:color w:val="auto"/>
                      <w:highlight w:val="none"/>
                    </w:rPr>
                    <w:t>委托有资质单位进行运输</w:t>
                  </w:r>
                  <w:r>
                    <w:rPr>
                      <w:rFonts w:cs="Times New Roman" w:hint="eastAsia"/>
                      <w:color w:val="auto"/>
                      <w:lang w:eastAsia="zh-CN"/>
                      <w:highlight w:val="none"/>
                    </w:rPr>
                    <w:t>，本项目取得环评批复后办理</w:t>
                  </w:r>
                  <w:r>
                    <w:rPr>
                      <w:rFonts w:ascii="Times New Roman" w:eastAsia="宋体" w:cs="Times New Roman" w:hAnsi="Times New Roman"/>
                      <w:color w:val="auto"/>
                      <w:highlight w:val="none"/>
                    </w:rPr>
                    <w:t>危险废物经营许可证。</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电池废料在贮存、运输过程中，应保证废电池的外壳完整，减少并防止有害物质的渗出。</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电池贮存过程中，经过分拣后，破损电池通过塑料薄膜包覆，放入耐腐蚀PE桶内，加盖盖严，防止有害物质渗出。</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873"/>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电池废料的贮存仓库及场所应设专人管理，管理人员须具备电池方面的相关知识。</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设置专人管理，进出废电池做好台账登记等措施。</w:t>
                  </w:r>
                </w:p>
              </w:tc>
              <w:tc>
                <w:tcPr>
                  <w:tcW w:w="494"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符合</w:t>
                  </w:r>
                </w:p>
              </w:tc>
            </w:tr>
            <w:tr>
              <w:trPr>
                <w:cantSplit/>
                <w:trHeight w:val="614"/>
              </w:trPr>
              <w:tc>
                <w:tcPr>
                  <w:tcW w:w="317" w:type="pct"/>
                  <w:vMerge w:val="restart"/>
                  <w:vAlign w:val="center"/>
                </w:tcPr>
                <w:p>
                  <w:pPr>
                    <w:snapToGrid w:val="0"/>
                    <w:jc w:val="center"/>
                    <w:rPr>
                      <w:rFonts w:eastAsia="宋体" w:hint="eastAsia"/>
                      <w:bCs/>
                      <w:color w:val="auto"/>
                      <w:szCs w:val="21"/>
                      <w:lang w:eastAsia="zh-CN"/>
                    </w:rPr>
                  </w:pPr>
                  <w:r>
                    <w:rPr>
                      <w:rFonts w:hint="eastAsia"/>
                      <w:bCs/>
                      <w:color w:val="auto"/>
                      <w:szCs w:val="21"/>
                      <w:lang w:eastAsia="zh-CN"/>
                    </w:rPr>
                    <w:t>贮存</w:t>
                  </w: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根据贮存要求和是否属于危险废弃物，对电池废料进行分类</w:t>
                  </w:r>
                  <w:r>
                    <w:rPr>
                      <w:rFonts w:cs="Times New Roman" w:hint="eastAsia"/>
                      <w:color w:val="auto"/>
                      <w:lang w:eastAsia="zh-CN"/>
                      <w:highlight w:val="none"/>
                    </w:rPr>
                    <w:t>。列入国家危险废物名录的电池废料，对于不同组别采用分离贮存，周一组别采用隔离贮存。贮存仓库及列入国家危险废物名录的电池废料场所应贴有危险废物的警告标志，参照GB 15562</w:t>
                  </w:r>
                  <w:r>
                    <w:rPr>
                      <w:rFonts w:cs="Times New Roman" w:hint="eastAsia"/>
                      <w:color w:val="auto"/>
                      <w:lang w:val="en-US" w:eastAsia="zh-CN"/>
                      <w:highlight w:val="none"/>
                    </w:rPr>
                    <w:t>.</w:t>
                  </w:r>
                  <w:r>
                    <w:rPr>
                      <w:rFonts w:cs="Times New Roman" w:hint="eastAsia"/>
                      <w:color w:val="auto"/>
                      <w:lang w:eastAsia="zh-CN"/>
                      <w:highlight w:val="none"/>
                    </w:rPr>
                    <w:t>2的有关规定进行。</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本项目收集贮存的废电池主要为废铅蓄电池，为危险废物。</w:t>
                  </w:r>
                  <w:r>
                    <w:rPr>
                      <w:rFonts w:cs="Times New Roman" w:hint="eastAsia"/>
                      <w:color w:val="auto"/>
                      <w:lang w:eastAsia="zh-CN"/>
                      <w:highlight w:val="none"/>
                    </w:rPr>
                    <w:t>本次评价要求库房及废旧电池贮存区粘贴危险废物的警告标志。</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电池废料的贮存方式分为三种a</w:t>
                  </w:r>
                  <w:r>
                    <w:rPr>
                      <w:rFonts w:cs="Times New Roman" w:hint="eastAsia"/>
                      <w:color w:val="auto"/>
                      <w:lang w:eastAsia="zh-CN"/>
                      <w:highlight w:val="none"/>
                    </w:rPr>
                    <w:t>）</w:t>
                  </w:r>
                  <w:r>
                    <w:rPr>
                      <w:rFonts w:ascii="Times New Roman" w:eastAsia="宋体" w:cs="Times New Roman" w:hAnsi="Times New Roman"/>
                      <w:color w:val="auto"/>
                      <w:highlight w:val="none"/>
                    </w:rPr>
                    <w:t>隔开贮存</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w:t>
                  </w:r>
                  <w:r>
                    <w:rPr>
                      <w:rFonts w:cs="Times New Roman" w:hint="eastAsia"/>
                      <w:color w:val="auto"/>
                      <w:lang w:eastAsia="zh-CN"/>
                      <w:highlight w:val="none"/>
                    </w:rPr>
                    <w:t>）</w:t>
                  </w:r>
                  <w:r>
                    <w:rPr>
                      <w:rFonts w:ascii="Times New Roman" w:eastAsia="宋体" w:cs="Times New Roman" w:hAnsi="Times New Roman"/>
                      <w:color w:val="auto"/>
                      <w:highlight w:val="none"/>
                    </w:rPr>
                    <w:t>隔离贮存</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c</w:t>
                  </w:r>
                  <w:r>
                    <w:rPr>
                      <w:rFonts w:cs="Times New Roman" w:hint="eastAsia"/>
                      <w:color w:val="auto"/>
                      <w:lang w:eastAsia="zh-CN"/>
                      <w:highlight w:val="none"/>
                    </w:rPr>
                    <w:t>）</w:t>
                  </w:r>
                  <w:r>
                    <w:rPr>
                      <w:rFonts w:ascii="Times New Roman" w:eastAsia="宋体" w:cs="Times New Roman" w:hAnsi="Times New Roman"/>
                      <w:color w:val="auto"/>
                      <w:highlight w:val="none"/>
                    </w:rPr>
                    <w:t>分离贮存</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本项目收集贮存的废电池主要为废铅蓄电池。本项目采用专用托盘盛装完整废电池、耐腐蚀PE桶盛装破损电池，满足相应的防渗、防漏、防腐和强度等要求。</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锌锰电池、碱性锌锰电池等一次电池废料，</w:t>
                  </w:r>
                  <w:r>
                    <w:rPr>
                      <w:rFonts w:cs="Times New Roman" w:hint="eastAsia"/>
                      <w:color w:val="auto"/>
                      <w:lang w:eastAsia="zh-CN"/>
                      <w:highlight w:val="none"/>
                    </w:rPr>
                    <w:t>锂</w:t>
                  </w:r>
                  <w:r>
                    <w:rPr>
                      <w:rFonts w:ascii="Times New Roman" w:eastAsia="宋体" w:cs="Times New Roman" w:hAnsi="Times New Roman"/>
                      <w:color w:val="auto"/>
                      <w:highlight w:val="none"/>
                    </w:rPr>
                    <w:t>离子二次电池废料用塑料槽或铁桶贮存；钾一次电池、镍氢电池用铁桶贮存</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本项目不涉及</w:t>
                  </w:r>
                  <w:r>
                    <w:rPr>
                      <w:rFonts w:ascii="Times New Roman" w:eastAsia="宋体" w:cs="Times New Roman" w:hAnsi="Times New Roman" w:hint="eastAsia"/>
                      <w:color w:val="auto"/>
                      <w:lang w:eastAsia="zh-CN"/>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凡漏液的电池必须放置在耐酸的容器内</w:t>
                  </w:r>
                  <w:r>
                    <w:rPr>
                      <w:rFonts w:cs="Times New Roman" w:hint="eastAsia"/>
                      <w:color w:val="auto"/>
                      <w:lang w:eastAsia="zh-CN"/>
                      <w:highlight w:val="none"/>
                    </w:rPr>
                    <w:t>。</w:t>
                  </w:r>
                  <w:r>
                    <w:rPr>
                      <w:rFonts w:ascii="Times New Roman" w:eastAsia="宋体" w:cs="Times New Roman" w:hAnsi="Times New Roman"/>
                      <w:color w:val="auto"/>
                      <w:highlight w:val="none"/>
                    </w:rPr>
                    <w:t>电池废料贮存容器的尺寸不</w:t>
                  </w:r>
                  <w:r>
                    <w:rPr>
                      <w:rFonts w:cs="Times New Roman" w:hint="eastAsia"/>
                      <w:color w:val="auto"/>
                      <w:lang w:eastAsia="zh-CN"/>
                      <w:highlight w:val="none"/>
                    </w:rPr>
                    <w:t>作</w:t>
                  </w:r>
                  <w:r>
                    <w:rPr>
                      <w:rFonts w:ascii="Times New Roman" w:eastAsia="宋体" w:cs="Times New Roman" w:hAnsi="Times New Roman"/>
                      <w:color w:val="auto"/>
                      <w:highlight w:val="none"/>
                    </w:rPr>
                    <w:t>统一要求但应满足不同贮存方式的贮存量要求</w:t>
                  </w:r>
                  <w:r>
                    <w:rPr>
                      <w:rFonts w:cs="Times New Roman" w:hint="eastAsia"/>
                      <w:color w:val="auto"/>
                      <w:lang w:eastAsia="zh-CN"/>
                      <w:highlight w:val="none"/>
                    </w:rPr>
                    <w:t>。</w:t>
                  </w:r>
                </w:p>
              </w:tc>
              <w:tc>
                <w:tcPr>
                  <w:tcW w:w="2057"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破损电池通过塑料薄膜包覆，放入耐腐蚀PE桶内，加盖盖严，保证电解液不渗漏</w:t>
                  </w:r>
                  <w:r>
                    <w:rPr>
                      <w:rFonts w:cs="Times New Roman" w:hint="eastAsia"/>
                      <w:color w:val="auto"/>
                      <w:lang w:eastAsia="zh-CN"/>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电池废料的贮存设施按GB18597、GB18599的有关规定进行建设和管理。</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电池废料的贮存设施满足GB18597、GB18599的有关规定进行建设和管理，包括全厂防渗及负压收集处理等措施。</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废铅酸电池的贮存设施还应符合以下要求:a</w:t>
                  </w:r>
                  <w:r>
                    <w:rPr>
                      <w:rFonts w:cs="Times New Roman" w:hint="eastAsia"/>
                      <w:color w:val="auto"/>
                      <w:lang w:eastAsia="zh-CN"/>
                      <w:highlight w:val="none"/>
                    </w:rPr>
                    <w:t>）</w:t>
                  </w:r>
                  <w:r>
                    <w:rPr>
                      <w:rFonts w:ascii="Times New Roman" w:eastAsia="宋体" w:cs="Times New Roman" w:hAnsi="Times New Roman"/>
                      <w:color w:val="auto"/>
                      <w:highlight w:val="none"/>
                    </w:rPr>
                    <w:t>购存点必须有耐酸地面隔离层，以便于截留和收集任何泄漏液体:b</w:t>
                  </w:r>
                  <w:r>
                    <w:rPr>
                      <w:rFonts w:cs="Times New Roman" w:hint="eastAsia"/>
                      <w:color w:val="auto"/>
                      <w:lang w:eastAsia="zh-CN"/>
                      <w:highlight w:val="none"/>
                    </w:rPr>
                    <w:t>）</w:t>
                  </w:r>
                  <w:r>
                    <w:rPr>
                      <w:rFonts w:ascii="Times New Roman" w:eastAsia="宋体" w:cs="Times New Roman" w:hAnsi="Times New Roman"/>
                      <w:color w:val="auto"/>
                      <w:highlight w:val="none"/>
                    </w:rPr>
                    <w:t>应有足够的废水收集系统，以便收集溢出的溶液:c</w:t>
                  </w:r>
                  <w:r>
                    <w:rPr>
                      <w:rFonts w:cs="Times New Roman" w:hint="eastAsia"/>
                      <w:color w:val="auto"/>
                      <w:lang w:eastAsia="zh-CN"/>
                      <w:highlight w:val="none"/>
                    </w:rPr>
                    <w:t>）</w:t>
                  </w:r>
                  <w:r>
                    <w:rPr>
                      <w:rFonts w:ascii="Times New Roman" w:eastAsia="宋体" w:cs="Times New Roman" w:hAnsi="Times New Roman"/>
                      <w:color w:val="auto"/>
                      <w:highlight w:val="none"/>
                    </w:rPr>
                    <w:t>应设有适当的防火装置。</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本项目采用环氧树脂进行地面防渗处理，设置导流沟和</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，收集破损电池渗漏液，厂区按照消防要求，设置消防器材。</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电池废料的贮存容器上必须贴有标识，其上注明</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a电池废料类别、组别、名称</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b数量</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c危险废物标签</w:t>
                  </w:r>
                  <w:r>
                    <w:rPr>
                      <w:rFonts w:cs="Times New Roman" w:hint="eastAsia"/>
                      <w:color w:val="auto"/>
                      <w:lang w:eastAsia="zh-CN"/>
                      <w:highlight w:val="none"/>
                    </w:rPr>
                    <w:t>（</w:t>
                  </w:r>
                  <w:r>
                    <w:rPr>
                      <w:rFonts w:ascii="Times New Roman" w:eastAsia="宋体" w:cs="Times New Roman" w:hAnsi="Times New Roman"/>
                      <w:color w:val="auto"/>
                      <w:highlight w:val="none"/>
                    </w:rPr>
                    <w:t>仅限含有毒有害物</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质电池废料</w:t>
                  </w:r>
                  <w:r>
                    <w:rPr>
                      <w:rFonts w:cs="Times New Roman" w:hint="eastAsia"/>
                      <w:color w:val="auto"/>
                      <w:lang w:eastAsia="zh-CN"/>
                      <w:highlight w:val="none"/>
                    </w:rPr>
                    <w:t>）</w:t>
                  </w:r>
                  <w:r>
                    <w:rPr>
                      <w:rFonts w:ascii="Times New Roman" w:eastAsia="宋体" w:cs="Times New Roman" w:hAnsi="Times New Roman"/>
                      <w:color w:val="auto"/>
                      <w:highlight w:val="none"/>
                    </w:rPr>
                    <w:t>。</w:t>
                  </w:r>
                </w:p>
              </w:tc>
              <w:tc>
                <w:tcPr>
                  <w:tcW w:w="2057"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电池废料的贮存容器上必须贴有标识，其上注明</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a电池废料类别、组别、名称</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b数量；c危险废物标签</w:t>
                  </w:r>
                  <w:r>
                    <w:rPr>
                      <w:rFonts w:cs="Times New Roman" w:hint="eastAsia"/>
                      <w:color w:val="auto"/>
                      <w:lang w:eastAsia="zh-CN"/>
                      <w:highlight w:val="none"/>
                    </w:rPr>
                    <w:t>（</w:t>
                  </w:r>
                  <w:r>
                    <w:rPr>
                      <w:rFonts w:ascii="Times New Roman" w:eastAsia="宋体" w:cs="Times New Roman" w:hAnsi="Times New Roman"/>
                      <w:color w:val="auto"/>
                      <w:highlight w:val="none"/>
                    </w:rPr>
                    <w:t>仅限含有毒有害物质电池废料</w:t>
                  </w:r>
                  <w:r>
                    <w:rPr>
                      <w:rFonts w:cs="Times New Roman" w:hint="eastAsia"/>
                      <w:color w:val="auto"/>
                      <w:lang w:eastAsia="zh-CN"/>
                      <w:highlight w:val="none"/>
                    </w:rPr>
                    <w:t>）</w:t>
                  </w:r>
                  <w:r>
                    <w:rPr>
                      <w:rFonts w:ascii="Times New Roman" w:eastAsia="宋体" w:cs="Times New Roman" w:hAnsi="Times New Roman"/>
                      <w:color w:val="auto"/>
                      <w:highlight w:val="none"/>
                    </w:rPr>
                    <w:t>。</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电池废料的贮存仓库及场所的管理人员应做好电池废料进出的记录，记录上需注明电池废料类别、组别、名称、来源、数量、</w:t>
                  </w:r>
                </w:p>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特性、</w:t>
                  </w:r>
                  <w:r>
                    <w:rPr>
                      <w:rFonts w:cs="Times New Roman" w:hint="eastAsia"/>
                      <w:color w:val="auto"/>
                      <w:lang w:eastAsia="zh-CN"/>
                      <w:highlight w:val="none"/>
                    </w:rPr>
                    <w:t>入</w:t>
                  </w:r>
                  <w:r>
                    <w:rPr>
                      <w:rFonts w:ascii="Times New Roman" w:eastAsia="宋体" w:cs="Times New Roman" w:hAnsi="Times New Roman"/>
                      <w:color w:val="auto"/>
                      <w:highlight w:val="none"/>
                    </w:rPr>
                    <w:t>库日期、存放位置、电池废料出库日期及接收单位名称</w:t>
                  </w:r>
                  <w:r>
                    <w:rPr>
                      <w:rFonts w:ascii="Times New Roman" w:eastAsia="宋体" w:cs="Times New Roman" w:hAnsi="Times New Roman" w:hint="eastAsia"/>
                      <w:color w:val="auto"/>
                      <w:lang w:eastAsia="zh-CN"/>
                      <w:highlight w:val="none"/>
                    </w:rPr>
                    <w:t>。</w:t>
                  </w:r>
                </w:p>
              </w:tc>
              <w:tc>
                <w:tcPr>
                  <w:tcW w:w="2057"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电池废料的贮存仓库及场所的管理人员应做好电池废料进出的记录，记录上需注明电池废料类别、组别、名称、来源、数量、特性、</w:t>
                  </w:r>
                  <w:r>
                    <w:rPr>
                      <w:rFonts w:cs="Times New Roman" w:hint="eastAsia"/>
                      <w:color w:val="auto"/>
                      <w:lang w:eastAsia="zh-CN"/>
                      <w:highlight w:val="none"/>
                    </w:rPr>
                    <w:t>入</w:t>
                  </w:r>
                  <w:r>
                    <w:rPr>
                      <w:rFonts w:ascii="Times New Roman" w:eastAsia="宋体" w:cs="Times New Roman" w:hAnsi="Times New Roman"/>
                      <w:color w:val="auto"/>
                      <w:highlight w:val="none"/>
                    </w:rPr>
                    <w:t>库日期、存放位置、电池废料出库日期及接收单位名称。</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r>
              <w:trPr>
                <w:cantSplit/>
                <w:trHeight w:val="318"/>
              </w:trPr>
              <w:tc>
                <w:tcPr>
                  <w:tcW w:w="317" w:type="pct"/>
                  <w:vMerge/>
                  <w:vAlign w:val="center"/>
                </w:tcPr>
                <w:p/>
              </w:tc>
              <w:tc>
                <w:tcPr>
                  <w:tcW w:w="2130"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电池废料的贮存设施应定期进行检查，发现破损，应及时采取措施清理更换。电池废料的贮存场地应配备通讯设备、照明设施、安全防护服装及工具，并设有应急防护设施。应对电池废料的贮存仓库及场所的温度、湿度进行监测，如发现异常及时处理</w:t>
                  </w:r>
                  <w:r>
                    <w:rPr>
                      <w:rFonts w:cs="Times New Roman" w:hint="eastAsia"/>
                      <w:color w:val="auto"/>
                      <w:lang w:eastAsia="zh-CN"/>
                      <w:highlight w:val="none"/>
                    </w:rPr>
                    <w:t>。应避免贮存大量的废铅酸电池或贮存太长时间，贮存点必须有足够的空间满足特殊管理要求。</w:t>
                  </w:r>
                </w:p>
              </w:tc>
              <w:tc>
                <w:tcPr>
                  <w:tcW w:w="2057" w:type="pct"/>
                  <w:vAlign w:val="center"/>
                </w:tcPr>
                <w:p>
                  <w:pPr>
                    <w:adjustRightInd w:val="0"/>
                    <w:snapToGrid w:val="0"/>
                    <w:jc w:val="both"/>
                    <w:rPr>
                      <w:rFonts w:ascii="Times New Roman" w:eastAsia="宋体" w:cs="Times New Roman" w:hAnsi="Times New Roman"/>
                      <w:color w:val="auto"/>
                      <w:lang w:val="en-US" w:eastAsia="zh-CN"/>
                      <w:highlight w:val="none"/>
                    </w:rPr>
                  </w:pPr>
                  <w:r>
                    <w:rPr>
                      <w:rFonts w:ascii="Times New Roman" w:eastAsia="宋体" w:cs="Times New Roman" w:hAnsi="Times New Roman"/>
                      <w:color w:val="auto"/>
                      <w:highlight w:val="none"/>
                    </w:rPr>
                    <w:t>电池废料的贮存设施定期进行检查，发现破损及时采取措施清理更换。电池废料的贮存场地配备通讯设备、照明设施、安全防护服装及工具，并设有应急防护设施</w:t>
                  </w:r>
                  <w:r>
                    <w:rPr>
                      <w:rFonts w:cs="Times New Roman" w:hint="eastAsia"/>
                      <w:color w:val="auto"/>
                      <w:lang w:eastAsia="zh-CN"/>
                      <w:highlight w:val="none"/>
                    </w:rPr>
                    <w:t>。</w:t>
                  </w:r>
                  <w:r>
                    <w:rPr>
                      <w:rFonts w:ascii="Times New Roman" w:eastAsia="宋体" w:cs="Times New Roman" w:hAnsi="Times New Roman"/>
                      <w:color w:val="auto"/>
                      <w:highlight w:val="none"/>
                    </w:rPr>
                    <w:t>对电池废料的贮存仓库及场所的温度、湿度进行监测，如发现异常及时处理</w:t>
                  </w:r>
                  <w:r>
                    <w:rPr>
                      <w:rFonts w:cs="Times New Roman" w:hint="eastAsia"/>
                      <w:color w:val="auto"/>
                      <w:lang w:eastAsia="zh-CN"/>
                      <w:highlight w:val="none"/>
                    </w:rPr>
                    <w:t>。本项目废铅蓄电池最大贮存量为</w:t>
                  </w:r>
                  <w:r>
                    <w:rPr>
                      <w:rFonts w:cs="Times New Roman" w:hint="eastAsia"/>
                      <w:color w:val="auto"/>
                      <w:lang w:val="en-US" w:eastAsia="zh-CN"/>
                      <w:highlight w:val="none"/>
                    </w:rPr>
                    <w:t>100t，贮存周期为5天，贮存点有足够空间满足特殊管理要求。</w:t>
                  </w:r>
                </w:p>
              </w:tc>
              <w:tc>
                <w:tcPr>
                  <w:tcW w:w="49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符合</w:t>
                  </w:r>
                </w:p>
              </w:tc>
            </w:tr>
          </w:tbl>
          <w:p>
            <w:pPr>
              <w:pStyle w:val="107"/>
              <w:rPr>
                <w:rFonts w:hint="eastAsia"/>
                <w:color w:val="auto"/>
              </w:rPr>
            </w:pPr>
            <w:r>
              <w:rPr>
                <w:rFonts w:hint="eastAsia"/>
                <w:color w:val="auto"/>
              </w:rPr>
              <w:t>（</w:t>
            </w:r>
            <w:r>
              <w:rPr>
                <w:rFonts w:hint="eastAsia"/>
                <w:color w:val="auto"/>
                <w:lang w:val="en-US" w:eastAsia="zh-CN"/>
              </w:rPr>
              <w:t>3</w:t>
            </w:r>
            <w:r>
              <w:rPr>
                <w:rFonts w:hint="eastAsia"/>
                <w:color w:val="auto"/>
              </w:rPr>
              <w:t>）与《废电池污染防治技术政策》（环境保护部公告，2016年第82号）相符性分析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6</w:t>
            </w:r>
            <w:r>
              <w:rPr>
                <w:rFonts w:ascii="Times New Roman" w:eastAsia="宋体" w:cs="Times New Roman" w:hAnsi="Times New Roman" w:hint="eastAsia"/>
                <w:b/>
                <w:bCs/>
                <w:color w:val="auto"/>
                <w:sz w:val="24"/>
                <w:highlight w:val="none"/>
              </w:rPr>
              <w:t xml:space="preserve">  项目与废电池污染防治技术政策的符合性分析</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19"/>
              <w:gridCol w:w="3100"/>
              <w:gridCol w:w="3126"/>
              <w:gridCol w:w="751"/>
            </w:tblGrid>
            <w:tr>
              <w:trPr>
                <w:cantSplit/>
                <w:trHeight w:val="318"/>
                <w:tblHeader/>
              </w:trPr>
              <w:tc>
                <w:tcPr>
                  <w:tcW w:w="407" w:type="pct"/>
                  <w:vAlign w:val="center"/>
                </w:tcPr>
                <w:p>
                  <w:pPr>
                    <w:snapToGrid w:val="0"/>
                    <w:jc w:val="center"/>
                    <w:rPr>
                      <w:rFonts w:hint="eastAsia"/>
                      <w:b/>
                      <w:color w:val="auto"/>
                      <w:szCs w:val="21"/>
                    </w:rPr>
                  </w:pPr>
                  <w:r>
                    <w:rPr>
                      <w:rFonts w:hint="eastAsia"/>
                      <w:b/>
                      <w:color w:val="auto"/>
                      <w:szCs w:val="21"/>
                    </w:rPr>
                    <w:t>项目</w:t>
                  </w:r>
                </w:p>
              </w:tc>
              <w:tc>
                <w:tcPr>
                  <w:tcW w:w="2040" w:type="pct"/>
                  <w:vAlign w:val="center"/>
                </w:tcPr>
                <w:p>
                  <w:pPr>
                    <w:snapToGrid w:val="0"/>
                    <w:jc w:val="center"/>
                    <w:rPr>
                      <w:rFonts w:hint="eastAsia"/>
                      <w:b/>
                      <w:color w:val="auto"/>
                      <w:szCs w:val="21"/>
                    </w:rPr>
                  </w:pPr>
                  <w:r>
                    <w:rPr>
                      <w:rFonts w:hint="eastAsia"/>
                      <w:b/>
                      <w:color w:val="auto"/>
                      <w:szCs w:val="21"/>
                    </w:rPr>
                    <w:t>规范要求</w:t>
                  </w:r>
                </w:p>
              </w:tc>
              <w:tc>
                <w:tcPr>
                  <w:tcW w:w="2057" w:type="pct"/>
                  <w:vAlign w:val="center"/>
                </w:tcPr>
                <w:p>
                  <w:pPr>
                    <w:snapToGrid w:val="0"/>
                    <w:jc w:val="center"/>
                    <w:rPr>
                      <w:rFonts w:hint="eastAsia"/>
                      <w:b/>
                      <w:color w:val="auto"/>
                      <w:szCs w:val="21"/>
                    </w:rPr>
                  </w:pPr>
                  <w:r>
                    <w:rPr>
                      <w:rFonts w:hint="eastAsia"/>
                      <w:b/>
                      <w:color w:val="auto"/>
                      <w:szCs w:val="21"/>
                    </w:rPr>
                    <w:t>项目建设条件</w:t>
                  </w:r>
                </w:p>
              </w:tc>
              <w:tc>
                <w:tcPr>
                  <w:tcW w:w="494" w:type="pct"/>
                  <w:vAlign w:val="center"/>
                </w:tcPr>
                <w:p>
                  <w:pPr>
                    <w:snapToGrid w:val="0"/>
                    <w:jc w:val="center"/>
                    <w:rPr>
                      <w:rFonts w:hint="eastAsia"/>
                      <w:b/>
                      <w:color w:val="auto"/>
                      <w:szCs w:val="21"/>
                    </w:rPr>
                  </w:pPr>
                  <w:r>
                    <w:rPr>
                      <w:rFonts w:hint="eastAsia"/>
                      <w:b/>
                      <w:color w:val="auto"/>
                      <w:szCs w:val="21"/>
                    </w:rPr>
                    <w:t>相符性</w:t>
                  </w:r>
                </w:p>
              </w:tc>
            </w:tr>
            <w:tr>
              <w:trPr>
                <w:cantSplit/>
                <w:trHeight w:val="1139"/>
              </w:trPr>
              <w:tc>
                <w:tcPr>
                  <w:tcW w:w="407" w:type="pct"/>
                  <w:vAlign w:val="center"/>
                </w:tcPr>
                <w:p>
                  <w:pPr>
                    <w:snapToGrid w:val="0"/>
                    <w:jc w:val="center"/>
                    <w:rPr>
                      <w:rFonts w:hint="eastAsia"/>
                      <w:bCs/>
                      <w:color w:val="auto"/>
                      <w:szCs w:val="21"/>
                    </w:rPr>
                  </w:pPr>
                  <w:r>
                    <w:rPr>
                      <w:rFonts w:hint="eastAsia"/>
                      <w:bCs/>
                      <w:color w:val="auto"/>
                      <w:szCs w:val="21"/>
                    </w:rPr>
                    <w:t>收集</w:t>
                  </w:r>
                </w:p>
              </w:tc>
              <w:tc>
                <w:tcPr>
                  <w:tcW w:w="2040" w:type="pct"/>
                  <w:vAlign w:val="center"/>
                </w:tcPr>
                <w:p>
                  <w:pPr>
                    <w:snapToGrid w:val="0"/>
                    <w:jc w:val="both"/>
                    <w:rPr>
                      <w:rFonts w:hint="eastAsia"/>
                      <w:bCs/>
                      <w:color w:val="auto"/>
                      <w:szCs w:val="21"/>
                    </w:rPr>
                  </w:pPr>
                  <w:r>
                    <w:rPr>
                      <w:rFonts w:hint="eastAsia"/>
                      <w:bCs/>
                      <w:color w:val="auto"/>
                      <w:szCs w:val="21"/>
                    </w:rPr>
                    <w:t>收集过程中应保持废电池的结构和外形完整，严禁私自破损废电池，已破损的废电池应单独存放</w:t>
                  </w:r>
                </w:p>
              </w:tc>
              <w:tc>
                <w:tcPr>
                  <w:tcW w:w="2057" w:type="pct"/>
                  <w:vAlign w:val="center"/>
                </w:tcPr>
                <w:p>
                  <w:pPr>
                    <w:snapToGrid w:val="0"/>
                    <w:jc w:val="both"/>
                    <w:rPr>
                      <w:rFonts w:hint="eastAsia"/>
                      <w:bCs/>
                      <w:color w:val="auto"/>
                      <w:szCs w:val="21"/>
                    </w:rPr>
                  </w:pPr>
                  <w:r>
                    <w:rPr>
                      <w:rFonts w:hint="eastAsia"/>
                      <w:bCs/>
                      <w:color w:val="auto"/>
                      <w:szCs w:val="21"/>
                    </w:rPr>
                    <w:t>项目将收集的废铅酸蓄电池按完整和破损分类贮存，已破损的废电池单独存放</w:t>
                  </w:r>
                </w:p>
              </w:tc>
              <w:tc>
                <w:tcPr>
                  <w:tcW w:w="494" w:type="pct"/>
                  <w:vAlign w:val="center"/>
                </w:tcPr>
                <w:p>
                  <w:pPr>
                    <w:pStyle w:val="17"/>
                    <w:jc w:val="center"/>
                    <w:rPr>
                      <w:rFonts w:ascii="Times New Roman" w:hAnsi="Times New Roman" w:hint="eastAsia"/>
                      <w:bCs/>
                      <w:color w:val="auto"/>
                      <w:szCs w:val="21"/>
                    </w:rPr>
                  </w:pPr>
                  <w:r>
                    <w:rPr>
                      <w:rFonts w:ascii="Times New Roman" w:hAnsi="Times New Roman" w:hint="eastAsia"/>
                      <w:bCs/>
                      <w:color w:val="auto"/>
                      <w:szCs w:val="21"/>
                    </w:rPr>
                    <w:t>符合</w:t>
                  </w:r>
                </w:p>
              </w:tc>
            </w:tr>
            <w:tr>
              <w:trPr>
                <w:cantSplit/>
                <w:trHeight w:val="318"/>
              </w:trPr>
              <w:tc>
                <w:tcPr>
                  <w:tcW w:w="407" w:type="pct"/>
                  <w:vMerge w:val="restart"/>
                  <w:vAlign w:val="center"/>
                </w:tcPr>
                <w:p>
                  <w:pPr>
                    <w:snapToGrid w:val="0"/>
                    <w:jc w:val="center"/>
                    <w:rPr>
                      <w:rFonts w:hint="eastAsia"/>
                      <w:bCs/>
                      <w:color w:val="auto"/>
                      <w:szCs w:val="21"/>
                    </w:rPr>
                  </w:pPr>
                  <w:r>
                    <w:rPr>
                      <w:rFonts w:hint="eastAsia"/>
                      <w:bCs/>
                      <w:color w:val="auto"/>
                      <w:szCs w:val="21"/>
                    </w:rPr>
                    <w:t>运输</w:t>
                  </w:r>
                </w:p>
              </w:tc>
              <w:tc>
                <w:tcPr>
                  <w:tcW w:w="2040" w:type="pct"/>
                  <w:vAlign w:val="center"/>
                </w:tcPr>
                <w:p>
                  <w:pPr>
                    <w:snapToGrid w:val="0"/>
                    <w:jc w:val="both"/>
                    <w:rPr>
                      <w:bCs/>
                      <w:color w:val="auto"/>
                      <w:szCs w:val="21"/>
                    </w:rPr>
                  </w:pPr>
                  <w:r>
                    <w:rPr>
                      <w:rFonts w:hint="eastAsia"/>
                      <w:bCs/>
                      <w:color w:val="auto"/>
                      <w:szCs w:val="21"/>
                    </w:rPr>
                    <w:t>废电池应采取有效的包装措施，防止运输过程中有毒有害物质泄漏造成污染</w:t>
                  </w:r>
                </w:p>
              </w:tc>
              <w:tc>
                <w:tcPr>
                  <w:tcW w:w="2057" w:type="pct"/>
                  <w:vMerge w:val="restart"/>
                  <w:vAlign w:val="center"/>
                </w:tcPr>
                <w:p>
                  <w:pPr>
                    <w:snapToGrid w:val="0"/>
                    <w:jc w:val="both"/>
                    <w:rPr>
                      <w:bCs/>
                      <w:color w:val="auto"/>
                      <w:szCs w:val="21"/>
                    </w:rPr>
                  </w:pPr>
                  <w:r>
                    <w:rPr>
                      <w:rFonts w:hint="eastAsia"/>
                      <w:bCs/>
                      <w:color w:val="auto"/>
                      <w:szCs w:val="21"/>
                    </w:rPr>
                    <w:t>项目运输委托有资质单位进行，并监督运输机构按规范进行</w:t>
                  </w:r>
                </w:p>
              </w:tc>
              <w:tc>
                <w:tcPr>
                  <w:tcW w:w="494" w:type="pct"/>
                  <w:vAlign w:val="center"/>
                </w:tcPr>
                <w:p>
                  <w:pPr>
                    <w:jc w:val="center"/>
                    <w:rPr>
                      <w:bCs/>
                      <w:color w:val="auto"/>
                      <w:szCs w:val="21"/>
                    </w:rPr>
                  </w:pPr>
                  <w:r>
                    <w:rPr>
                      <w:rFonts w:hint="eastAsia"/>
                      <w:bCs/>
                      <w:color w:val="auto"/>
                      <w:szCs w:val="21"/>
                    </w:rPr>
                    <w:t>符合</w:t>
                  </w:r>
                </w:p>
              </w:tc>
            </w:tr>
            <w:tr>
              <w:trPr>
                <w:cantSplit/>
                <w:trHeight w:val="630"/>
              </w:trPr>
              <w:tc>
                <w:tcPr>
                  <w:tcW w:w="407" w:type="pct"/>
                  <w:vMerge/>
                  <w:vAlign w:val="center"/>
                </w:tcPr>
                <w:p/>
              </w:tc>
              <w:tc>
                <w:tcPr>
                  <w:tcW w:w="2040" w:type="pct"/>
                  <w:vAlign w:val="center"/>
                </w:tcPr>
                <w:p>
                  <w:pPr>
                    <w:snapToGrid w:val="0"/>
                    <w:jc w:val="both"/>
                    <w:rPr>
                      <w:bCs/>
                      <w:color w:val="auto"/>
                      <w:szCs w:val="21"/>
                    </w:rPr>
                  </w:pPr>
                  <w:r>
                    <w:rPr>
                      <w:rFonts w:hint="eastAsia"/>
                      <w:bCs/>
                      <w:color w:val="auto"/>
                      <w:szCs w:val="21"/>
                    </w:rPr>
                    <w:t>禁止在运输过程中擅自倾倒和丢弃废电池</w:t>
                  </w:r>
                </w:p>
              </w:tc>
              <w:tc>
                <w:tcPr>
                  <w:tcW w:w="2057" w:type="pct"/>
                  <w:vMerge/>
                  <w:vAlign w:val="center"/>
                </w:tcPr>
                <w:p/>
              </w:tc>
              <w:tc>
                <w:tcPr>
                  <w:tcW w:w="494" w:type="pct"/>
                  <w:vAlign w:val="center"/>
                </w:tcPr>
                <w:p>
                  <w:pPr>
                    <w:jc w:val="center"/>
                    <w:rPr>
                      <w:bCs/>
                      <w:color w:val="auto"/>
                      <w:szCs w:val="21"/>
                    </w:rPr>
                  </w:pPr>
                  <w:r>
                    <w:rPr>
                      <w:rFonts w:hint="eastAsia"/>
                      <w:bCs/>
                      <w:color w:val="auto"/>
                      <w:szCs w:val="21"/>
                    </w:rPr>
                    <w:t>符合</w:t>
                  </w:r>
                </w:p>
              </w:tc>
            </w:tr>
            <w:tr>
              <w:trPr>
                <w:cantSplit/>
                <w:trHeight w:val="318"/>
              </w:trPr>
              <w:tc>
                <w:tcPr>
                  <w:tcW w:w="407" w:type="pct"/>
                  <w:vMerge w:val="restart"/>
                  <w:vAlign w:val="center"/>
                </w:tcPr>
                <w:p>
                  <w:pPr>
                    <w:snapToGrid w:val="0"/>
                    <w:jc w:val="center"/>
                    <w:rPr>
                      <w:rFonts w:hint="eastAsia"/>
                      <w:bCs/>
                      <w:color w:val="auto"/>
                      <w:szCs w:val="21"/>
                    </w:rPr>
                  </w:pPr>
                  <w:r>
                    <w:rPr>
                      <w:rFonts w:hint="eastAsia"/>
                      <w:bCs/>
                      <w:color w:val="auto"/>
                      <w:szCs w:val="21"/>
                    </w:rPr>
                    <w:t>贮存</w:t>
                  </w:r>
                </w:p>
              </w:tc>
              <w:tc>
                <w:tcPr>
                  <w:tcW w:w="2040" w:type="pct"/>
                  <w:vAlign w:val="center"/>
                </w:tcPr>
                <w:p>
                  <w:pPr>
                    <w:snapToGrid w:val="0"/>
                    <w:jc w:val="both"/>
                    <w:rPr>
                      <w:bCs/>
                      <w:color w:val="auto"/>
                      <w:szCs w:val="21"/>
                    </w:rPr>
                  </w:pPr>
                  <w:r>
                    <w:rPr>
                      <w:rFonts w:hint="eastAsia"/>
                      <w:bCs/>
                      <w:color w:val="auto"/>
                      <w:szCs w:val="21"/>
                    </w:rPr>
                    <w:t>废电池应分类贮存，禁止露天堆放。破损的废电池应单独贮存。贮存场所应定期清理、清运</w:t>
                  </w:r>
                </w:p>
              </w:tc>
              <w:tc>
                <w:tcPr>
                  <w:tcW w:w="2057" w:type="pct"/>
                  <w:vAlign w:val="center"/>
                </w:tcPr>
                <w:p>
                  <w:pPr>
                    <w:snapToGrid w:val="0"/>
                    <w:jc w:val="both"/>
                    <w:rPr>
                      <w:bCs/>
                      <w:color w:val="auto"/>
                      <w:szCs w:val="21"/>
                    </w:rPr>
                  </w:pPr>
                  <w:r>
                    <w:rPr>
                      <w:rFonts w:hint="eastAsia"/>
                      <w:bCs/>
                      <w:color w:val="auto"/>
                      <w:szCs w:val="21"/>
                    </w:rPr>
                    <w:t>本项目废旧蓄电池在仓库分类分区贮存，破损的蓄电池单独储存。贮存场所定期清理、清运</w:t>
                  </w:r>
                </w:p>
              </w:tc>
              <w:tc>
                <w:tcPr>
                  <w:tcW w:w="494" w:type="pct"/>
                  <w:vAlign w:val="center"/>
                </w:tcPr>
                <w:p>
                  <w:pPr>
                    <w:jc w:val="center"/>
                    <w:rPr>
                      <w:bCs/>
                      <w:color w:val="auto"/>
                      <w:szCs w:val="21"/>
                    </w:rPr>
                  </w:pPr>
                  <w:r>
                    <w:rPr>
                      <w:rFonts w:hint="eastAsia"/>
                      <w:bCs/>
                      <w:color w:val="auto"/>
                      <w:szCs w:val="21"/>
                    </w:rPr>
                    <w:t>符合</w:t>
                  </w:r>
                </w:p>
              </w:tc>
            </w:tr>
            <w:tr>
              <w:trPr>
                <w:cantSplit/>
                <w:trHeight w:val="318"/>
              </w:trPr>
              <w:tc>
                <w:tcPr>
                  <w:tcW w:w="407" w:type="pct"/>
                  <w:vMerge/>
                  <w:vAlign w:val="center"/>
                </w:tcPr>
                <w:p/>
              </w:tc>
              <w:tc>
                <w:tcPr>
                  <w:tcW w:w="2040" w:type="pct"/>
                  <w:vAlign w:val="center"/>
                </w:tcPr>
                <w:p>
                  <w:pPr>
                    <w:snapToGrid w:val="0"/>
                    <w:jc w:val="both"/>
                    <w:rPr>
                      <w:bCs/>
                      <w:color w:val="auto"/>
                      <w:szCs w:val="21"/>
                    </w:rPr>
                  </w:pPr>
                  <w:r>
                    <w:rPr>
                      <w:rFonts w:hint="eastAsia"/>
                      <w:bCs/>
                      <w:color w:val="auto"/>
                      <w:szCs w:val="21"/>
                    </w:rPr>
                    <w:t>废铅蓄电池的贮存场所应防止电解液泄漏。废铅蓄电池的贮存应避免遭受雨淋水浸</w:t>
                  </w:r>
                </w:p>
              </w:tc>
              <w:tc>
                <w:tcPr>
                  <w:tcW w:w="2057" w:type="pct"/>
                  <w:vAlign w:val="center"/>
                </w:tcPr>
                <w:p>
                  <w:pPr>
                    <w:snapToGrid w:val="0"/>
                    <w:jc w:val="both"/>
                    <w:rPr>
                      <w:bCs/>
                      <w:color w:val="auto"/>
                      <w:szCs w:val="21"/>
                    </w:rPr>
                  </w:pPr>
                  <w:r>
                    <w:rPr>
                      <w:rFonts w:hint="eastAsia"/>
                      <w:bCs/>
                      <w:color w:val="auto"/>
                      <w:szCs w:val="21"/>
                    </w:rPr>
                    <w:t>仓库按规范要求进行设计，设有导流沟</w:t>
                  </w:r>
                  <w:r>
                    <w:rPr>
                      <w:rFonts w:hint="eastAsia"/>
                      <w:bCs/>
                      <w:color w:val="auto"/>
                      <w:szCs w:val="21"/>
                      <w:lang w:eastAsia="zh-CN"/>
                    </w:rPr>
                    <w:t>和废液收集池</w:t>
                  </w:r>
                  <w:r>
                    <w:rPr>
                      <w:rFonts w:hint="eastAsia"/>
                      <w:bCs/>
                      <w:color w:val="auto"/>
                      <w:szCs w:val="21"/>
                    </w:rPr>
                    <w:t>，仓库地面拟采取防腐蚀防渗漏措施，可有效防止电解液泄漏</w:t>
                  </w:r>
                </w:p>
              </w:tc>
              <w:tc>
                <w:tcPr>
                  <w:tcW w:w="494" w:type="pct"/>
                  <w:vAlign w:val="center"/>
                </w:tcPr>
                <w:p>
                  <w:pPr>
                    <w:jc w:val="center"/>
                    <w:rPr>
                      <w:bCs/>
                      <w:color w:val="auto"/>
                      <w:szCs w:val="21"/>
                    </w:rPr>
                  </w:pPr>
                  <w:r>
                    <w:rPr>
                      <w:rFonts w:hint="eastAsia"/>
                      <w:bCs/>
                      <w:color w:val="auto"/>
                      <w:szCs w:val="21"/>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4</w:t>
            </w:r>
            <w:r>
              <w:rPr>
                <w:rFonts w:ascii="Times New Roman" w:eastAsia="宋体" w:cs="Times New Roman" w:hAnsi="Times New Roman" w:hint="eastAsia"/>
                <w:color w:val="auto"/>
                <w:kern w:val="2"/>
                <w:sz w:val="24"/>
                <w:szCs w:val="24"/>
                <w:lang w:val="en-US" w:eastAsia="zh-CN" w:bidi="ar-SA"/>
                <w:highlight w:val="none"/>
              </w:rPr>
              <w:t>）</w:t>
            </w:r>
            <w:r>
              <w:rPr>
                <w:rFonts w:ascii="Times New Roman" w:eastAsia="宋体" w:cs="Times New Roman" w:hAnsi="Times New Roman"/>
                <w:color w:val="auto"/>
                <w:kern w:val="2"/>
                <w:sz w:val="24"/>
                <w:szCs w:val="24"/>
                <w:lang w:val="en-US" w:eastAsia="zh-CN" w:bidi="ar-SA"/>
                <w:highlight w:val="none"/>
              </w:rPr>
              <w:t>与《废铅蓄电池危险废物经营单位审查和许可指南（试行）》 （公告2020年第30号）的符合性分析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ascii="Times New Roman" w:eastAsia="宋体" w:cs="Times New Roman" w:hAnsi="Times New Roman" w:hint="eastAsia"/>
                <w:b/>
                <w:bCs/>
                <w:color w:val="auto"/>
                <w:sz w:val="24"/>
                <w:lang w:val="en-US" w:eastAsia="zh-CN"/>
                <w:highlight w:val="none"/>
              </w:rPr>
              <w:t>1</w:t>
            </w:r>
            <w:r>
              <w:rPr>
                <w:rFonts w:cs="Times New Roman" w:hint="eastAsia"/>
                <w:b/>
                <w:bCs/>
                <w:color w:val="auto"/>
                <w:sz w:val="24"/>
                <w:lang w:val="en-US" w:eastAsia="zh-CN"/>
                <w:highlight w:val="none"/>
              </w:rPr>
              <w:t>7</w:t>
            </w:r>
            <w:r>
              <w:rPr>
                <w:rFonts w:ascii="Times New Roman" w:eastAsia="宋体" w:cs="Times New Roman" w:hAnsi="Times New Roman" w:hint="eastAsia"/>
                <w:b/>
                <w:bCs/>
                <w:color w:val="auto"/>
                <w:sz w:val="24"/>
                <w:highlight w:val="none"/>
              </w:rPr>
              <w:t xml:space="preserve">  与《废铅蓄电池危险废物经营单位审查和许可指南（试</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行）》（公告2020年第30号）符合性分析一览表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258"/>
              <w:gridCol w:w="2851"/>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144" w:type="pct"/>
                  <w:vAlign w:val="center"/>
                </w:tcPr>
                <w:p>
                  <w:pPr>
                    <w:snapToGrid w:val="0"/>
                    <w:jc w:val="center"/>
                    <w:rPr>
                      <w:rFonts w:hint="eastAsia"/>
                      <w:b/>
                      <w:color w:val="auto"/>
                      <w:szCs w:val="21"/>
                    </w:rPr>
                  </w:pPr>
                  <w:r>
                    <w:rPr>
                      <w:rFonts w:hint="eastAsia"/>
                      <w:b/>
                      <w:color w:val="auto"/>
                      <w:szCs w:val="21"/>
                    </w:rPr>
                    <w:t>规范要求</w:t>
                  </w:r>
                </w:p>
              </w:tc>
              <w:tc>
                <w:tcPr>
                  <w:tcW w:w="1876"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总体要求</w:t>
                  </w:r>
                </w:p>
              </w:tc>
              <w:tc>
                <w:tcPr>
                  <w:tcW w:w="2144"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从事废铅蓄电池收集、贮存、利用、处置经营活动的单位应符合《废铅蓄电池处理污染控制技术规范》（HJ519）有关要求，并依法依规申请领取危险废物经营许可证。</w:t>
                  </w:r>
                </w:p>
              </w:tc>
              <w:tc>
                <w:tcPr>
                  <w:tcW w:w="1876"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本项目为废铅蓄电池及废镍镉电池贮存，符合《废铅蓄电池处理污染控制技术规范》（HJ519）有关要求。本项目将于环评后，依法依规申请领取危险废物经营许可证。</w:t>
                  </w:r>
                </w:p>
              </w:tc>
              <w:tc>
                <w:tcPr>
                  <w:tcW w:w="465"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废铅蓄电池危险废物经营单位审查和许可要点</w:t>
                  </w:r>
                </w:p>
              </w:tc>
              <w:tc>
                <w:tcPr>
                  <w:tcW w:w="2144"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1.收集、运输、贮存废铅蓄电池的容器或托盘应根据废铅蓄电池的特性而设计，不易破损、变形，其所用材料能有效地防止渗漏、扩散，并耐腐蚀。</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2.通过信息系统如实记录每批次收集、贮存、利用、处置废铅蓄电池的数量、重量、来源、去向等信息。再生铅企业应使用全国固体废物管理信息系统。使用自建废铅蓄电池收集处理信息系统的集中转运点，应实现其与全国固体废物管理信息系统的数据对接。</w:t>
                  </w:r>
                </w:p>
              </w:tc>
              <w:tc>
                <w:tcPr>
                  <w:tcW w:w="1876"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本项目对完整电池采用专用托盘盛装，码放整齐；对破损电池采用薄膜缠绕后用耐腐蚀PE桶盛装，加盖盖严。托盘与PE</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桶均不易破损、变形、防渗、耐腐蚀。对每批次收集、贮存、利用、处置废铅蓄电池的数量、重量、来源、去向等进行记录。</w:t>
                  </w:r>
                </w:p>
              </w:tc>
              <w:tc>
                <w:tcPr>
                  <w:tcW w:w="465"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144"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废铅蓄电池集中转运点、再生铅企业的贮存设施应符合《废铅蓄电池处理污染控制技术规范》（HJ519）的有关要求。</w:t>
                  </w:r>
                </w:p>
              </w:tc>
              <w:tc>
                <w:tcPr>
                  <w:tcW w:w="1876"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本项目符合《废铅蓄电池处理污染控制技术规范》（HJ519）的有关要求</w:t>
                  </w:r>
                </w:p>
              </w:tc>
              <w:tc>
                <w:tcPr>
                  <w:tcW w:w="465"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5</w:t>
            </w:r>
            <w:r>
              <w:rPr>
                <w:rFonts w:ascii="Times New Roman" w:eastAsia="宋体" w:cs="Times New Roman" w:hAnsi="Times New Roman" w:hint="eastAsia"/>
                <w:color w:val="auto"/>
                <w:kern w:val="2"/>
                <w:sz w:val="24"/>
                <w:szCs w:val="24"/>
                <w:lang w:val="en-US" w:eastAsia="zh-CN" w:bidi="ar-SA"/>
                <w:highlight w:val="none"/>
              </w:rPr>
              <w:t>）与《废铅酸蓄电池回收技术规范》（GB/T37281-2019）的符合性分析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8</w:t>
            </w:r>
            <w:r>
              <w:rPr>
                <w:rFonts w:ascii="Times New Roman" w:eastAsia="宋体" w:cs="Times New Roman" w:hAnsi="Times New Roman" w:hint="eastAsia"/>
                <w:b/>
                <w:bCs/>
                <w:color w:val="auto"/>
                <w:sz w:val="24"/>
                <w:highlight w:val="none"/>
              </w:rPr>
              <w:t xml:space="preserve">  与《废铅酸蓄电池回收技术规范》（GB/T37281-2019）</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一般要求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4.1.4经销网点、暂存点、集中贮存场所等应落实废电池的最终去向，委托持有危险废物经营许可证的再生铅企业进行无害化利用，不得将废电池转移给无废铅酸蓄电池经营许可证的单位或个人。</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本项目仓库属于集中贮存场所，委托下游处置单位处置，处置单位为持有危险废物经营许可证的企业。</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4.1.5收集、贮存、运输、转移废电池的装置应根据废电池的特性而设计，具有不易破损、变形、绝缘，能有效防止渗漏、扩散，并耐酸腐蚀特性；装有废电池的装置应按照GB18597的要求</w:t>
                  </w:r>
                  <w:r>
                    <w:rPr>
                      <w:rFonts w:cs="Times New Roman" w:hint="eastAsia"/>
                      <w:color w:val="auto"/>
                      <w:lang w:eastAsia="zh-CN"/>
                      <w:highlight w:val="none"/>
                    </w:rPr>
                    <w:t>粘贴</w:t>
                  </w:r>
                  <w:r>
                    <w:rPr>
                      <w:rFonts w:ascii="Times New Roman" w:eastAsia="宋体" w:cs="Times New Roman" w:hAnsi="Times New Roman"/>
                      <w:color w:val="auto"/>
                      <w:highlight w:val="none"/>
                    </w:rPr>
                    <w:t>危险废物标签，禁止在收集、贮存、运输、转移过程中擅自倾倒电解液，拆解、破碎、丢弃废电池。</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本项目贮存废铅蓄电池，完整电池采用专业托盘盛装、码放整齐；对破损电池采用薄膜缠绕后用耐腐蚀PE桶盛装，加盖盖严，</w:t>
                  </w:r>
                  <w:r>
                    <w:rPr>
                      <w:rFonts w:cs="Times New Roman" w:hint="eastAsia"/>
                      <w:color w:val="auto"/>
                      <w:lang w:eastAsia="zh-CN"/>
                      <w:highlight w:val="none"/>
                    </w:rPr>
                    <w:t>粘贴</w:t>
                  </w:r>
                  <w:r>
                    <w:rPr>
                      <w:rFonts w:ascii="Times New Roman" w:eastAsia="宋体" w:cs="Times New Roman" w:hAnsi="Times New Roman"/>
                      <w:color w:val="auto"/>
                      <w:highlight w:val="none"/>
                    </w:rPr>
                    <w:t>危险废物标签。托盘、PE桶具有不易破损、变形，能有效防止渗漏、扩散，并耐酸腐蚀的特性。</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4.1.6按照环境保护主管部门的规定建立危险废物收集、贮存、运输、转移等情况的数据信息管理系统（或记录簿）和视频监控系统，如实记录收集、贮存、运输、转移危险废物的类别、重量或数量、来源、去向等信息，保存相关视频监控录像，并至少按月向县级以上地方环境保护主管部门报送有关信息。</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本项目设置信息管理系统和视频监控系统，如实记录贮存、转移危险废物的类别、重量或数量、来源、去向等信息，保存相关视频监控录像，并至少按月向县级以上地方环境保护主管部门报送有关信息。</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集中贮存</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4.5.1贮存场所</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4.5.1.1贮存场所应按照GB18597的有关要求建设和管理。4.5.1.2贮存场所应选择在城市工业地块内，并符合当地环境保护和区域发展规划；新建的集中贮存场所建设项目应通过环境影响评价。4.5.1.3贮存规模应与贮存场所的容量相匹配，贮存场所面积应不小于500m</w:t>
                  </w:r>
                  <w:r>
                    <w:rPr>
                      <w:rFonts w:ascii="Times New Roman" w:eastAsia="宋体" w:cs="Times New Roman" w:hAnsi="Times New Roman"/>
                      <w:color w:val="auto"/>
                      <w:vertAlign w:val="superscript"/>
                      <w:highlight w:val="none"/>
                    </w:rPr>
                    <w:t>2</w:t>
                  </w:r>
                  <w:r>
                    <w:rPr>
                      <w:rFonts w:ascii="Times New Roman" w:eastAsia="宋体" w:cs="Times New Roman" w:hAnsi="Times New Roman"/>
                      <w:color w:val="auto"/>
                      <w:highlight w:val="none"/>
                    </w:rPr>
                    <w:t>，废电池贮存时间不应超过1年。4.5.1.4应按GB155622的规定设立警示标志，禁止非专业工作人员进入。4.5.1.5贮存场所应划分装卸区、暂存区、完整废电池存放区和破损废电池存放区，并做好标识。4.5.1.6贮存场所应有废水收集系统，以便对搬运过程废电池溢出的液体进行收集。</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本项目仓库按照《危险废物贮存污染控制标准》（GB18597-2023</w:t>
                  </w:r>
                  <w:r>
                    <w:rPr>
                      <w:rFonts w:cs="Times New Roman" w:hint="eastAsia"/>
                      <w:color w:val="auto"/>
                      <w:lang w:eastAsia="zh-CN"/>
                      <w:highlight w:val="none"/>
                    </w:rPr>
                    <w:t>）</w:t>
                  </w:r>
                  <w:r>
                    <w:rPr>
                      <w:rFonts w:ascii="Times New Roman" w:eastAsia="宋体" w:cs="Times New Roman" w:hAnsi="Times New Roman"/>
                      <w:color w:val="auto"/>
                      <w:highlight w:val="none"/>
                    </w:rPr>
                    <w:t>有关要求建设和管理；符合相关规划，正在进行环境影响评价；仓库面积为</w:t>
                  </w:r>
                  <w:r>
                    <w:rPr>
                      <w:rFonts w:ascii="Times New Roman" w:eastAsia="宋体" w:cs="Times New Roman" w:hAnsi="Times New Roman" w:hint="eastAsia"/>
                      <w:color w:val="auto"/>
                      <w:lang w:val="en-US" w:eastAsia="zh-CN"/>
                      <w:highlight w:val="none"/>
                    </w:rPr>
                    <w:t>1</w:t>
                  </w:r>
                  <w:r>
                    <w:rPr>
                      <w:rFonts w:ascii="Times New Roman" w:eastAsia="宋体" w:cs="Times New Roman" w:hAnsi="Times New Roman"/>
                      <w:color w:val="auto"/>
                      <w:highlight w:val="none"/>
                    </w:rPr>
                    <w:t>00</w:t>
                  </w:r>
                  <w:r>
                    <w:rPr>
                      <w:rFonts w:ascii="Times New Roman" w:eastAsia="宋体" w:cs="Times New Roman" w:hAnsi="Times New Roman" w:hint="eastAsia"/>
                      <w:color w:val="auto"/>
                      <w:lang w:val="en-US" w:eastAsia="zh-CN"/>
                      <w:highlight w:val="none"/>
                    </w:rPr>
                    <w:t>0</w:t>
                  </w:r>
                  <w:r>
                    <w:rPr>
                      <w:rFonts w:ascii="Times New Roman" w:eastAsia="宋体" w:cs="Times New Roman" w:hAnsi="Times New Roman"/>
                      <w:color w:val="auto"/>
                      <w:highlight w:val="none"/>
                    </w:rPr>
                    <w:t>m</w:t>
                  </w:r>
                  <w:r>
                    <w:rPr>
                      <w:rFonts w:ascii="Times New Roman" w:eastAsia="宋体" w:cs="Times New Roman" w:hAnsi="Times New Roman"/>
                      <w:color w:val="auto"/>
                      <w:vertAlign w:val="superscript"/>
                      <w:highlight w:val="none"/>
                    </w:rPr>
                    <w:t>2</w:t>
                  </w:r>
                  <w:r>
                    <w:rPr>
                      <w:rFonts w:ascii="Times New Roman" w:eastAsia="宋体" w:cs="Times New Roman" w:hAnsi="Times New Roman"/>
                      <w:color w:val="auto"/>
                      <w:highlight w:val="none"/>
                    </w:rPr>
                    <w:t>，最长贮存时间</w:t>
                  </w:r>
                  <w:r>
                    <w:rPr>
                      <w:rFonts w:ascii="Times New Roman" w:eastAsia="宋体" w:cs="Times New Roman" w:hAnsi="Times New Roman" w:hint="eastAsia"/>
                      <w:color w:val="auto"/>
                      <w:lang w:val="en-US" w:eastAsia="zh-CN"/>
                      <w:highlight w:val="none"/>
                    </w:rPr>
                    <w:t>5</w:t>
                  </w:r>
                  <w:r>
                    <w:rPr>
                      <w:rFonts w:ascii="Times New Roman" w:eastAsia="宋体" w:cs="Times New Roman" w:hAnsi="Times New Roman"/>
                      <w:color w:val="auto"/>
                      <w:highlight w:val="none"/>
                    </w:rPr>
                    <w:t>天；按规定设置警示标志，禁止非专业工作人员进入；仓库分为</w:t>
                  </w:r>
                  <w:r>
                    <w:rPr>
                      <w:rFonts w:cs="Times New Roman" w:hint="eastAsia"/>
                      <w:color w:val="auto"/>
                      <w:lang w:eastAsia="zh-CN"/>
                      <w:highlight w:val="none"/>
                    </w:rPr>
                    <w:t>分拣</w:t>
                  </w:r>
                  <w:r>
                    <w:rPr>
                      <w:rFonts w:ascii="Times New Roman" w:eastAsia="宋体" w:cs="Times New Roman" w:hAnsi="Times New Roman"/>
                      <w:color w:val="auto"/>
                      <w:highlight w:val="none"/>
                    </w:rPr>
                    <w:t>区、完整电池存放区和破损电池间，标识清楚；库房设置导流沟、</w:t>
                  </w:r>
                  <w:r>
                    <w:rPr>
                      <w:rFonts w:ascii="Times New Roman" w:eastAsia="宋体" w:cs="Times New Roman" w:hAnsi="Times New Roman" w:hint="eastAsia"/>
                      <w:color w:val="auto"/>
                      <w:lang w:eastAsia="zh-CN"/>
                      <w:highlight w:val="none"/>
                    </w:rPr>
                    <w:t>废液收集池</w:t>
                  </w:r>
                  <w:r>
                    <w:rPr>
                      <w:rFonts w:ascii="Times New Roman" w:eastAsia="宋体" w:cs="Times New Roman" w:hAnsi="Times New Roman"/>
                      <w:color w:val="auto"/>
                      <w:highlight w:val="none"/>
                    </w:rPr>
                    <w:t>，对搬运过程废电池溢出的废电解液进行收集。</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4.5.2贮存要求</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4.5.2.1贮存单位应按照最新版《危险废物经营许可证管理办法》的规定取得《国家危验废物名录》代码为HW49（900-044-49）的废铅酸蓄电池类危险废物经营许可证。4.5.2.2应有符合国家环境保护标准或者技术规范要求的包装工具，暂存和集中贮存设施、设备。4.5.2.3应制定废电池集中贮存管理办法、操作规程、污染防治措施、事故应危救援措施等相关制度和办法。4.5.2.4作业人员应配备4.3.2.1的个人防护装备。4.5.2.5运输废电池应先进入装卸区，采用叉车进行装卸，然后由叉车运至地磅计量称重，称重后经叉车运入暂存区，然后对废电池状态进行检查，并做好记录。4.5.2.6对检查完毕的废电池进行分类存放、码放整齐。4.5.2.7收集的溢出液体应运至酸性电解液的处理站</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不得自行处置。4.5.2.8禁止擅自倾倒电解液，拆解、破碎，丢弃废电池。4.5.2.9贮存标志、贮存记录、安全防护和污染控制等内容参照GB/T 26493有关规定执行，贮存记录至少保存3年。4.5.2.10贮存场所应配有准确称量设施，并定期校准。4.5.2.11贮存场所的进出口处、地磅及磅秤安置处等应设置必要的监控设备，录像资料应至少保存3个月。</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建设单位按照规定申请危险废物经营许可证；本项目对完整电池采用专用托盘盛装、对破碎电池采用耐腐蚀PE桶盛装；本项目建立环境管理制度，严格执行；本项目工作人员防护用具；本项目对检查完毕的废电池分为完整电池和破损电池，分类存放、码放整齐。本项目收集的溢出液体交下游专业单位处置。本项目禁止擅自倾倒电解液，拆解、破碎，丢弃废电池。本项目贮存标志、贮存记录、安全防护和污染控制等内容按《电池废料贮运规范》（GB/T26493-2011）规定执行，贮存记录保存3年以上。本项目配有智能台秤，定期校准。本项目设置监控设备，录像资料应至少保存3个月。</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6</w:t>
            </w:r>
            <w:r>
              <w:rPr>
                <w:rFonts w:ascii="Times New Roman" w:eastAsia="宋体" w:cs="Times New Roman" w:hAnsi="Times New Roman" w:hint="eastAsia"/>
                <w:color w:val="auto"/>
                <w:kern w:val="2"/>
                <w:sz w:val="24"/>
                <w:szCs w:val="24"/>
                <w:lang w:val="en-US" w:eastAsia="zh-CN" w:bidi="ar-SA"/>
                <w:highlight w:val="none"/>
              </w:rPr>
              <w:t>）与《关于进一步加强全省废铅蓄电池环境管理工作的指导意见》（冀环固体〔2021〕368号）的符合性分析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表1-1</w:t>
            </w:r>
            <w:r>
              <w:rPr>
                <w:rFonts w:cs="Times New Roman" w:hint="eastAsia"/>
                <w:b/>
                <w:bCs/>
                <w:color w:val="auto"/>
                <w:sz w:val="24"/>
                <w:lang w:val="en-US" w:eastAsia="zh-CN"/>
                <w:highlight w:val="none"/>
              </w:rPr>
              <w:t>9</w:t>
            </w:r>
            <w:r>
              <w:rPr>
                <w:rFonts w:ascii="Times New Roman" w:eastAsia="宋体" w:cs="Times New Roman" w:hAnsi="Times New Roman" w:hint="eastAsia"/>
                <w:b/>
                <w:bCs/>
                <w:color w:val="auto"/>
                <w:sz w:val="24"/>
                <w:highlight w:val="none"/>
              </w:rPr>
              <w:t xml:space="preserve">  与《关于进一步加强全省废铅蓄电池环境管理工作的指导意见》（冀环固体〔2021〕368号）符合性分析一览表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lang w:eastAsia="zh-CN"/>
                      <w:highlight w:val="none"/>
                    </w:rPr>
                  </w:pPr>
                  <w:r>
                    <w:rPr>
                      <w:rFonts w:ascii="Times New Roman" w:eastAsia="宋体" w:cs="Times New Roman" w:hAnsi="Times New Roman" w:hint="eastAsia"/>
                      <w:color w:val="auto"/>
                      <w:highlight w:val="none"/>
                    </w:rPr>
                    <w:t>积极推进收集体系建设</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二）强化收集试点主体责任。发挥废铅蓄电池集中收集试点单位回收市场的主体作用，规范回收行为，推进回收市场健康发展。严格规范化环境管理制度。督促试点单位制定危险废物管理应急预案和管理计划，建立管理台账，严格执行转移联单，健全完善内控制度。加强市场收集管理。废铅蓄电池收集试点单位要</w:t>
                  </w:r>
                  <w:r>
                    <w:rPr>
                      <w:rFonts w:ascii="Times New Roman" w:eastAsia="宋体" w:cs="Times New Roman" w:hAnsi="Times New Roman" w:hint="eastAsia"/>
                      <w:color w:val="auto"/>
                      <w:lang w:val="en-US" w:eastAsia="zh-CN"/>
                      <w:highlight w:val="none"/>
                    </w:rPr>
                    <w:t>严格遵守市场规则，依法依规开展收集活动，强化行业自律，严禁操纵市场价格、私下倒买倒卖</w:t>
                  </w:r>
                  <w:r>
                    <w:rPr>
                      <w:rFonts w:ascii="Times New Roman" w:eastAsia="宋体" w:cs="Times New Roman" w:hAnsi="Times New Roman" w:hint="eastAsia"/>
                      <w:color w:val="auto"/>
                      <w:highlight w:val="none"/>
                    </w:rPr>
                    <w:t>；收集社会源的，应当做好接收转运台账，记录来源、种类、数量等信息，不得收集来源不明、排空酸液的废铅蓄电池。建立收集统计制度。试点单位要按照品牌对回收废铅蓄电池分类统计，并在省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固体废物管理信息平台如实申报。各地生态环境部门每季度第一个月5日前将上季度收集信息统计汇总后，上报省生态环境厅；各地年度收集统计报告，应于次年1月10日前上报省生态环境厅。</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highlight w:val="none"/>
                    </w:rPr>
                    <w:t>制定危险废物管理应急预案和管理计划，建立管理台账，严格执行转移联单，健全完善内控制度</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（三）规范集中转运点建设。标准建设。集中转运点贮存间要严格按照《危险废物贮存污染控制标准》（GB18597）建设，贮存面积1000—1500</w:t>
                  </w:r>
                  <w:r>
                    <w:rPr>
                      <w:rFonts w:ascii="Times New Roman" w:eastAsia="宋体" w:cs="Times New Roman" w:hAnsi="Times New Roman" w:hint="eastAsia"/>
                      <w:color w:val="auto"/>
                      <w:lang w:val="en-US" w:eastAsia="zh-CN"/>
                      <w:highlight w:val="none"/>
                    </w:rPr>
                    <w:t>平方米</w:t>
                  </w:r>
                  <w:r>
                    <w:rPr>
                      <w:rFonts w:ascii="Times New Roman" w:eastAsia="宋体" w:cs="Times New Roman" w:hAnsi="Times New Roman" w:hint="eastAsia"/>
                      <w:color w:val="auto"/>
                      <w:highlight w:val="none"/>
                    </w:rPr>
                    <w:t>，要专门设置贮存破损废铅蓄电池的封闭场所。规范贮存。划分装卸区、Ⅰ类</w:t>
                  </w:r>
                  <w:r>
                    <w:rPr>
                      <w:rFonts w:ascii="Times New Roman" w:eastAsia="宋体" w:cs="Times New Roman" w:hAnsi="Times New Roman" w:hint="eastAsia"/>
                      <w:color w:val="auto"/>
                      <w:lang w:val="en-US" w:eastAsia="zh-CN"/>
                      <w:highlight w:val="none"/>
                    </w:rPr>
                    <w:t>和</w:t>
                  </w:r>
                  <w:r>
                    <w:rPr>
                      <w:rFonts w:ascii="Times New Roman" w:eastAsia="宋体" w:cs="Times New Roman" w:hAnsi="Times New Roman" w:hint="eastAsia"/>
                      <w:color w:val="auto"/>
                      <w:highlight w:val="none"/>
                    </w:rPr>
                    <w:t>Ⅱ类废铅蓄电池存放区，严禁混存混放；贮存量不得超过5000吨，贮存时间不得超过90天。</w:t>
                  </w:r>
                  <w:r>
                    <w:rPr>
                      <w:rFonts w:ascii="Times New Roman" w:eastAsia="宋体" w:cs="Times New Roman" w:hAnsi="Times New Roman" w:hint="eastAsia"/>
                      <w:color w:val="auto"/>
                      <w:lang w:val="en-US" w:eastAsia="zh-CN"/>
                      <w:highlight w:val="none"/>
                    </w:rPr>
                    <w:t>实时</w:t>
                  </w:r>
                  <w:r>
                    <w:rPr>
                      <w:rFonts w:ascii="Times New Roman" w:eastAsia="宋体" w:cs="Times New Roman" w:hAnsi="Times New Roman" w:hint="eastAsia"/>
                      <w:color w:val="auto"/>
                      <w:highlight w:val="none"/>
                    </w:rPr>
                    <w:t>监控。要在集中贮存场所内、厂区出入口安装视频监控、智能称重设备，并与生态环境部门固体废物信息平台链接，实时自动上传相关影像、称重数据信息。</w:t>
                  </w:r>
                </w:p>
              </w:tc>
              <w:tc>
                <w:tcPr>
                  <w:tcW w:w="1807" w:type="pct"/>
                </w:tcPr>
                <w:p>
                  <w:pPr>
                    <w:adjustRightInd w:val="0"/>
                    <w:snapToGrid w:val="0"/>
                    <w:jc w:val="both"/>
                    <w:rPr>
                      <w:rFonts w:ascii="Times New Roman" w:eastAsia="宋体" w:cs="Times New Roman" w:hAnsi="Times New Roman" w:hint="eastAsia"/>
                      <w:color w:val="auto"/>
                      <w:lang w:val="en-US" w:eastAsia="zh-CN"/>
                      <w:highlight w:val="none"/>
                    </w:rPr>
                  </w:pPr>
                  <w:r>
                    <w:rPr>
                      <w:rFonts w:cs="Times New Roman" w:hint="eastAsia"/>
                      <w:color w:val="auto"/>
                      <w:lang w:eastAsia="zh-CN"/>
                      <w:highlight w:val="none"/>
                    </w:rPr>
                    <w:t>本项目贮存面积</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，满足贮存面积1000—1500m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需求，同时设有破损废铅蓄电池贮存间，单独进行收集贮存。本项目设有装卸区和</w:t>
                  </w:r>
                  <w:r>
                    <w:rPr>
                      <w:rFonts w:ascii="Times New Roman" w:eastAsia="宋体" w:cs="Times New Roman" w:hAnsi="Times New Roman" w:hint="eastAsia"/>
                      <w:color w:val="auto"/>
                      <w:highlight w:val="none"/>
                    </w:rPr>
                    <w:t>Ⅰ类废铅蓄电池存放区</w:t>
                  </w:r>
                  <w:r>
                    <w:rPr>
                      <w:rFonts w:cs="Times New Roman" w:hint="eastAsia"/>
                      <w:color w:val="auto"/>
                      <w:lang w:eastAsia="zh-CN"/>
                      <w:highlight w:val="none"/>
                    </w:rPr>
                    <w:t>，贮存量为</w:t>
                  </w:r>
                  <w:r>
                    <w:rPr>
                      <w:rFonts w:cs="Times New Roman" w:hint="eastAsia"/>
                      <w:color w:val="auto"/>
                      <w:lang w:val="en-US" w:eastAsia="zh-CN"/>
                      <w:highlight w:val="none"/>
                    </w:rPr>
                    <w:t>100t，未超过规定的5000t，贮存周期为5天，满足不超过90天的要求。本项目在厂区</w:t>
                  </w:r>
                  <w:r>
                    <w:rPr>
                      <w:rFonts w:ascii="Times New Roman" w:eastAsia="宋体" w:cs="Times New Roman" w:hAnsi="Times New Roman" w:hint="eastAsia"/>
                      <w:color w:val="auto"/>
                      <w:highlight w:val="none"/>
                    </w:rPr>
                    <w:t>集中贮存场所内、厂区出入口安装视频监控、智能称重设备</w:t>
                  </w:r>
                  <w:r>
                    <w:rPr>
                      <w:rFonts w:cs="Times New Roman" w:hint="eastAsia"/>
                      <w:color w:val="auto"/>
                      <w:lang w:eastAsia="zh-CN"/>
                      <w:highlight w:val="none"/>
                    </w:rPr>
                    <w:t>，满足相关要求。</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color w:val="auto"/>
                      <w:highlight w:val="none"/>
                    </w:rPr>
                  </w:pPr>
                  <w:r>
                    <w:rPr>
                      <w:rFonts w:ascii="Times New Roman" w:eastAsia="宋体" w:cs="Times New Roman" w:hAnsi="Times New Roman"/>
                      <w:color w:val="auto"/>
                      <w:highlight w:val="none"/>
                    </w:rPr>
                    <w:t>加强规范转移管理</w:t>
                  </w:r>
                </w:p>
                <w:p>
                  <w:pPr>
                    <w:adjustRightInd w:val="0"/>
                    <w:snapToGrid w:val="0"/>
                    <w:jc w:val="both"/>
                    <w:rPr>
                      <w:rFonts w:ascii="Times New Roman" w:eastAsia="宋体" w:cs="Times New Roman" w:hAnsi="Times New Roman"/>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（一）严格转移登记和联单制度。收集网点向集中转运点转移废铅蓄电池，</w:t>
                  </w:r>
                  <w:r>
                    <w:rPr>
                      <w:rFonts w:ascii="Times New Roman" w:eastAsia="宋体" w:cs="Times New Roman" w:hAnsi="Times New Roman" w:hint="eastAsia"/>
                      <w:color w:val="auto"/>
                      <w:lang w:val="en-US" w:eastAsia="zh-CN"/>
                      <w:highlight w:val="none"/>
                    </w:rPr>
                    <w:t>同一市域内</w:t>
                  </w:r>
                  <w:r>
                    <w:rPr>
                      <w:rFonts w:ascii="Times New Roman" w:eastAsia="宋体" w:cs="Times New Roman" w:hAnsi="Times New Roman" w:hint="eastAsia"/>
                      <w:color w:val="auto"/>
                      <w:highlight w:val="none"/>
                    </w:rPr>
                    <w:t>实行转运交接登记管理。省内和跨省转移废铅蓄电池的，要通过省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固体废物信息管理平台，执行危险废物电子转移联单。</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（二）规范运输条件。运输废铅蓄电池的车辆要在省</w:t>
                  </w:r>
                  <w:r>
                    <w:rPr>
                      <w:rFonts w:ascii="Times New Roman" w:eastAsia="宋体" w:cs="Times New Roman" w:hAnsi="Times New Roman" w:hint="eastAsia"/>
                      <w:color w:val="auto"/>
                      <w:lang w:eastAsia="zh-CN"/>
                      <w:highlight w:val="none"/>
                    </w:rPr>
                    <w:t>、市</w:t>
                  </w:r>
                  <w:r>
                    <w:rPr>
                      <w:rFonts w:ascii="Times New Roman" w:eastAsia="宋体" w:cs="Times New Roman" w:hAnsi="Times New Roman" w:hint="eastAsia"/>
                      <w:color w:val="auto"/>
                      <w:highlight w:val="none"/>
                    </w:rPr>
                    <w:t>固体废物管理信息平台注册。符合交通运输、环境保护规定的危险货物豁免运输管理条件时，豁免运输企业、车辆、从业人员资格等危险货物道路运输管理要求。转移破损的废铅蓄电池，要严格执行《道路危险货物运输管理规定》和《危险货物道路运输规则》，委托具有资质的企业运输。</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hint="eastAsia"/>
                      <w:color w:val="auto"/>
                      <w:highlight w:val="none"/>
                    </w:rPr>
                    <w:t>（三）严密风险防范措施。运输企业要按照危险废物转移有关规定，合理规划运输路线，落实防雨、防渗漏、防遗撒措施，破损的废铅蓄电池要置于耐腐蚀的容器内。要制定事故应急预案，配备事故应急及个人防护设备，确保有效处置事故，最大限度减少环境污染。</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本项目仅涉及中转贮存，不涉及转运，废铅蓄电池委托满足要求的、有资质的单位进行运输，同时做好登记和记录，</w:t>
                  </w:r>
                  <w:r>
                    <w:rPr>
                      <w:rFonts w:ascii="Times New Roman" w:eastAsia="宋体" w:cs="Times New Roman" w:hAnsi="Times New Roman" w:hint="eastAsia"/>
                      <w:color w:val="auto"/>
                      <w:highlight w:val="none"/>
                    </w:rPr>
                    <w:t>执行危险废物电子转移联单。</w:t>
                  </w:r>
                </w:p>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企业</w:t>
                  </w:r>
                  <w:r>
                    <w:rPr>
                      <w:rFonts w:ascii="Times New Roman" w:eastAsia="宋体" w:cs="Times New Roman" w:hAnsi="Times New Roman" w:hint="eastAsia"/>
                      <w:color w:val="auto"/>
                      <w:highlight w:val="none"/>
                    </w:rPr>
                    <w:t>落实防雨、防渗漏、防遗撒措施，破损的废铅蓄电池要置于耐腐蚀的容器内。要制定事故应急预案，配备事故应急及个人防护设备，确保有效处置事故，最大限度减少环境污染。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900"/>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推进废铅蓄电池利用处置</w:t>
                  </w:r>
                  <w:r>
                    <w:rPr>
                      <w:rFonts w:ascii="Times New Roman" w:eastAsia="宋体" w:cs="Times New Roman" w:hAnsi="Times New Roman" w:hint="eastAsia"/>
                      <w:color w:val="auto"/>
                      <w:lang w:val="en-US" w:eastAsia="zh-CN"/>
                      <w:highlight w:val="none"/>
                    </w:rPr>
                    <w:t>行</w:t>
                  </w:r>
                  <w:r>
                    <w:rPr>
                      <w:rFonts w:ascii="Times New Roman" w:eastAsia="宋体" w:cs="Times New Roman" w:hAnsi="Times New Roman" w:hint="eastAsia"/>
                      <w:color w:val="auto"/>
                      <w:highlight w:val="none"/>
                    </w:rPr>
                    <w:t>业</w:t>
                  </w:r>
                  <w:r>
                    <w:rPr>
                      <w:rFonts w:ascii="Times New Roman" w:eastAsia="宋体" w:cs="Times New Roman" w:hAnsi="Times New Roman" w:hint="eastAsia"/>
                      <w:color w:val="auto"/>
                      <w:lang w:val="en-US" w:eastAsia="zh-CN"/>
                      <w:highlight w:val="none"/>
                    </w:rPr>
                    <w:t>规范化、集约式</w:t>
                  </w:r>
                  <w:r>
                    <w:rPr>
                      <w:rFonts w:ascii="Times New Roman" w:eastAsia="宋体" w:cs="Times New Roman" w:hAnsi="Times New Roman" w:hint="eastAsia"/>
                      <w:color w:val="auto"/>
                      <w:highlight w:val="none"/>
                    </w:rPr>
                    <w:t>发展</w:t>
                  </w:r>
                </w:p>
                <w:p>
                  <w:pPr>
                    <w:adjustRightInd w:val="0"/>
                    <w:snapToGrid w:val="0"/>
                    <w:jc w:val="both"/>
                    <w:rPr>
                      <w:rFonts w:ascii="Times New Roman" w:eastAsia="宋体" w:cs="Times New Roman" w:hAnsi="Times New Roman"/>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一）规范行业经营行为。未取得废铅蓄电池利用、处置资质的企业不得从事拆解处置废铅蓄电池活动。具有资质的企业要通过合法的渠道收购废铅蓄电池，不得收购非法转移、排空酸液的废铅蓄电池，不得委托没有收集资质的销售网点、商贸公司、废旧物资回收等单位收集废铅蓄电池。企业要建立危险废物经营情况记录簿，详细记录每日接收、贮存、利用、处置废铅蓄电池的类别、来源、重量、工况运行及环境监测等情况。危险废物经营情况记录簿要保存10年以上。</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本项目为废铅蓄电池中转项目，来源合法，同时</w:t>
                  </w:r>
                  <w:r>
                    <w:rPr>
                      <w:rFonts w:ascii="Times New Roman" w:eastAsia="宋体" w:cs="Times New Roman" w:hAnsi="Times New Roman" w:hint="eastAsia"/>
                      <w:color w:val="auto"/>
                      <w:highlight w:val="none"/>
                    </w:rPr>
                    <w:t>建立危险废物经营情况记录簿，详细记录每日接收、贮存、利用、处置废铅蓄电池的类别、来源、重量、工况运行及环境监测等情况。危险废物经营情况记录簿要保存10年以上。</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p>
                  <w:pPr>
                    <w:adjustRightInd w:val="0"/>
                    <w:snapToGrid w:val="0"/>
                    <w:jc w:val="both"/>
                    <w:rPr>
                      <w:rFonts w:ascii="Times New Roman" w:eastAsia="宋体" w:cs="Times New Roman" w:hAnsi="Times New Roman"/>
                      <w:color w:val="auto"/>
                      <w:highlight w:val="none"/>
                    </w:rPr>
                  </w:pP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7</w:t>
            </w:r>
            <w:r>
              <w:rPr>
                <w:rFonts w:ascii="Times New Roman" w:eastAsia="宋体" w:cs="Times New Roman" w:hAnsi="Times New Roman" w:hint="eastAsia"/>
                <w:color w:val="auto"/>
                <w:kern w:val="2"/>
                <w:sz w:val="24"/>
                <w:szCs w:val="24"/>
                <w:lang w:val="en-US" w:eastAsia="zh-CN" w:bidi="ar-SA"/>
                <w:highlight w:val="none"/>
              </w:rPr>
              <w:t>）与《河北省环境保护厅办公室关于建设全省危险废物智能监控体系的通知》（冀环办发【2017】112号）的符合性分析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20</w:t>
            </w:r>
            <w:r>
              <w:rPr>
                <w:rFonts w:ascii="Times New Roman" w:eastAsia="宋体" w:cs="Times New Roman" w:hAnsi="Times New Roman" w:hint="eastAsia"/>
                <w:b/>
                <w:bCs/>
                <w:color w:val="auto"/>
                <w:sz w:val="24"/>
                <w:highlight w:val="none"/>
              </w:rPr>
              <w:t xml:space="preserve">  与《河北省环境保护厅办公室关于建设全省危险废物智能监控体系的通知》（冀环办发【2017】112号）符合性分析一览表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b/>
                      <w:bCs/>
                      <w:color w:val="auto"/>
                      <w:highlight w:val="none"/>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安装范围和内容</w:t>
                  </w:r>
                </w:p>
              </w:tc>
              <w:tc>
                <w:tcPr>
                  <w:tcW w:w="2214"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 xml:space="preserve">一、安装范围 </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全省所有危险废物 (</w:t>
                  </w:r>
                  <w:r>
                    <w:rPr>
                      <w:rFonts w:ascii="Times New Roman" w:eastAsia="宋体" w:cs="Times New Roman" w:hAnsi="Times New Roman" w:hint="eastAsia"/>
                      <w:color w:val="auto"/>
                      <w:lang w:val="en-US" w:eastAsia="zh-CN"/>
                      <w:highlight w:val="none"/>
                    </w:rPr>
                    <w:t>不含医疗废物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 xml:space="preserve">重点产废单位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年产</w:t>
                  </w:r>
                  <w:r>
                    <w:rPr>
                      <w:rFonts w:ascii="Times New Roman" w:eastAsia="宋体" w:cs="Times New Roman" w:hAnsi="Times New Roman"/>
                      <w:color w:val="auto"/>
                      <w:lang w:val="en-US" w:eastAsia="zh-CN"/>
                      <w:highlight w:val="none"/>
                    </w:rPr>
                    <w:t>100</w:t>
                  </w:r>
                  <w:r>
                    <w:rPr>
                      <w:rFonts w:ascii="Times New Roman" w:eastAsia="宋体" w:cs="Times New Roman" w:hAnsi="Times New Roman" w:hint="eastAsia"/>
                      <w:color w:val="auto"/>
                      <w:lang w:val="en-US" w:eastAsia="zh-CN"/>
                      <w:highlight w:val="none"/>
                    </w:rPr>
                    <w:t>吨以上危险废物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自行利用处置危险废物单位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全省所有危险废物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不含医疗废物</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 xml:space="preserve">经营单位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含收集单位</w:t>
                  </w:r>
                  <w:r>
                    <w:rPr>
                      <w:rFonts w:ascii="Times New Roman" w:eastAsia="宋体" w:cs="Times New Roman" w:hAnsi="Times New Roman"/>
                      <w:color w:val="auto"/>
                      <w:lang w:val="en-US" w:eastAsia="zh-CN"/>
                      <w:highlight w:val="none"/>
                    </w:rPr>
                    <w:t>)</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及符合豁免管理规定的危险废物处置</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 xml:space="preserve">利用单位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以下简称豁免管理经营单位</w:t>
                  </w:r>
                  <w:r>
                    <w:rPr>
                      <w:rFonts w:ascii="Times New Roman" w:eastAsia="宋体" w:cs="Times New Roman" w:hAnsi="Times New Roman"/>
                      <w:color w:val="auto"/>
                      <w:lang w:val="en-US" w:eastAsia="zh-CN"/>
                      <w:highlight w:val="none"/>
                    </w:rPr>
                    <w:t>)。</w:t>
                  </w:r>
                </w:p>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lang w:val="en-US" w:eastAsia="zh-CN"/>
                      <w:highlight w:val="none"/>
                    </w:rPr>
                    <w:t xml:space="preserve">二、安装内容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在重点产废单位的产生</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物流通道等重点部位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以及经营单位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含收集单位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自行利用处置单位和豁免管理经营单位的人车通道</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贮存设施</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经营设施和污染物排放口等重点部位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安装视频监控</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智能地磅</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电子液位计等设备</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集成视频</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称重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工况和排放等数据</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将有关数据实时传输至河北省固体废物动态管理信息平台 </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以下简称省固废平台</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其中</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视频数据通过市级环保部门的全省环保专网上传至省固废平台</w:t>
                  </w:r>
                  <w:r>
                    <w:rPr>
                      <w:rFonts w:cs="Times New Roman"/>
                      <w:color w:val="auto"/>
                      <w:lang w:eastAsia="zh-CN"/>
                      <w:highlight w:val="none"/>
                    </w:rPr>
                    <w:t>。</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在</w:t>
                  </w:r>
                  <w:r>
                    <w:rPr>
                      <w:rFonts w:ascii="Times New Roman" w:eastAsia="宋体" w:cs="Times New Roman" w:hAnsi="Times New Roman" w:hint="eastAsia"/>
                      <w:color w:val="auto"/>
                      <w:lang w:val="en-US" w:eastAsia="zh-CN"/>
                      <w:highlight w:val="none"/>
                    </w:rPr>
                    <w:t>人车通道</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贮存设施</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经营设施和污染物排放口等重点部位</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安装视频监控</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智能地磅</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电子液位计等设备</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集成视频</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称重</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贮存</w:t>
                  </w:r>
                  <w:r>
                    <w:rPr>
                      <w:rFonts w:ascii="Times New Roman" w:eastAsia="宋体" w:cs="Times New Roman" w:hAnsi="Times New Roman"/>
                      <w:color w:val="auto"/>
                      <w:lang w:val="en-US" w:eastAsia="zh-CN"/>
                      <w:highlight w:val="none"/>
                    </w:rPr>
                    <w:t>、</w:t>
                  </w:r>
                  <w:r>
                    <w:rPr>
                      <w:rFonts w:ascii="Times New Roman" w:eastAsia="宋体" w:cs="Times New Roman" w:hAnsi="Times New Roman" w:hint="eastAsia"/>
                      <w:color w:val="auto"/>
                      <w:lang w:val="en-US" w:eastAsia="zh-CN"/>
                      <w:highlight w:val="none"/>
                    </w:rPr>
                    <w:t>工况和排放等数据</w:t>
                  </w:r>
                  <w:r>
                    <w:rPr>
                      <w:rFonts w:ascii="Times New Roman" w:eastAsia="宋体" w:cs="Times New Roman" w:hAnsi="Times New Roman"/>
                      <w:color w:val="auto"/>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8</w:t>
            </w:r>
            <w:r>
              <w:rPr>
                <w:rFonts w:ascii="Times New Roman" w:eastAsia="宋体" w:cs="Times New Roman" w:hAnsi="Times New Roman" w:hint="eastAsia"/>
                <w:color w:val="auto"/>
                <w:kern w:val="2"/>
                <w:sz w:val="24"/>
                <w:szCs w:val="24"/>
                <w:lang w:val="en-US" w:eastAsia="zh-CN" w:bidi="ar-SA"/>
                <w:highlight w:val="none"/>
              </w:rPr>
              <w:t>）与《河北省废铅蓄电池污染专项整治工作方案》（冀土领办[2019]1号）的符合性分析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21</w:t>
            </w:r>
            <w:r>
              <w:rPr>
                <w:rFonts w:ascii="Times New Roman" w:eastAsia="宋体" w:cs="Times New Roman" w:hAnsi="Times New Roman" w:hint="eastAsia"/>
                <w:b/>
                <w:bCs/>
                <w:color w:val="auto"/>
                <w:sz w:val="24"/>
                <w:highlight w:val="none"/>
              </w:rPr>
              <w:t xml:space="preserve">  与《河北省废铅蓄电池污染专项整治工作方案》（冀土领办[2019]1号）符合性分析一览表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暂存点建设要求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暂存点可以全省各区县销售门店为依托，选择具备条件的经销网点建设，用于临时存储废铅蓄电池。暂存点应符合以下要求：</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1.暂存点具备独立集中场地和足够贮存空间，不低于30平米。</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2.按GB15562.2规定设立警示标志，非专业人员禁入。</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3.地面进行耐酸防渗处理。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4.配备相应废铅蓄电池存放装置及废酸液收集装置。</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5.应防雨，配备防火设施并设置防火标志，具备视频监控设备。</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6.作业人员配备防酸工作服等个人防护装备。</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7.有完整出入库记录、台账等资料，并至少保存1年。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8.暂存量不超过3吨，暂存时间不超过7天。</w:t>
                  </w:r>
                </w:p>
              </w:tc>
              <w:tc>
                <w:tcPr>
                  <w:tcW w:w="1807" w:type="pct"/>
                </w:tcPr>
                <w:p>
                  <w:pPr>
                    <w:adjustRightInd w:val="0"/>
                    <w:snapToGrid w:val="0"/>
                    <w:jc w:val="both"/>
                    <w:rPr>
                      <w:rFonts w:ascii="Times New Roman" w:eastAsia="宋体" w:cs="Times New Roman" w:hAnsi="Times New Roman"/>
                      <w:color w:val="auto"/>
                      <w:lang w:val="en-US" w:eastAsia="zh-CN"/>
                      <w:highlight w:val="none"/>
                    </w:rPr>
                  </w:pPr>
                  <w:r>
                    <w:rPr>
                      <w:rFonts w:cs="Times New Roman" w:hint="eastAsia"/>
                      <w:color w:val="auto"/>
                      <w:lang w:eastAsia="zh-CN"/>
                      <w:highlight w:val="none"/>
                    </w:rPr>
                    <w:t>本项目贮存面积为</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，满足不低于30m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 xml:space="preserve"> 的要求。同时按照</w:t>
                  </w:r>
                  <w:r>
                    <w:rPr>
                      <w:rFonts w:ascii="Times New Roman" w:eastAsia="宋体" w:cs="Times New Roman" w:hAnsi="Times New Roman" w:hint="eastAsia"/>
                      <w:color w:val="auto"/>
                      <w:highlight w:val="none"/>
                    </w:rPr>
                    <w:t>GB15562.2规定设立警示标志，非专业人员禁入</w:t>
                  </w:r>
                  <w:r>
                    <w:rPr>
                      <w:rFonts w:cs="Times New Roman" w:hint="eastAsia"/>
                      <w:color w:val="auto"/>
                      <w:lang w:eastAsia="zh-CN"/>
                      <w:highlight w:val="none"/>
                    </w:rPr>
                    <w:t>。地面采取了防渗措施，配备了废酸收集系统。贮存区位于库房内，具备防雨条件，配备防火设施和防火标志，安装监控系统。本项目</w:t>
                  </w:r>
                  <w:r>
                    <w:rPr>
                      <w:rFonts w:ascii="Times New Roman" w:eastAsia="宋体" w:cs="Times New Roman" w:hAnsi="Times New Roman" w:hint="eastAsia"/>
                      <w:color w:val="auto"/>
                      <w:highlight w:val="none"/>
                    </w:rPr>
                    <w:t>作业人员配备防酸工作服等个人防护装备。有完整出入库记录、台账等资料，并至少保存1年。暂存量不超过3吨，暂存时间不超过7天。</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cs="Times New Roman" w:hint="eastAsia"/>
                      <w:color w:val="auto"/>
                      <w:lang w:eastAsia="zh-CN"/>
                      <w:highlight w:val="none"/>
                    </w:rPr>
                    <w:t>运输车辆及信息平台</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五、运输车辆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回收网点实行日产日清。从销售网点到暂存点，以及从暂存点到收集站的运输车辆实行豁免管理。试点单位必须购买车辆建立自己的运输车队，负责站点之间的运输。运输车辆达到防风、防雨、防腐、防渗、防流失等要求。</w:t>
                  </w:r>
                </w:p>
                <w:p>
                  <w:pPr>
                    <w:adjustRightInd w:val="0"/>
                    <w:snapToGrid w:val="0"/>
                    <w:jc w:val="both"/>
                    <w:rPr>
                      <w:rFonts w:ascii="Times New Roman" w:eastAsia="宋体" w:cs="Times New Roman" w:hAnsi="Times New Roman" w:hint="eastAsia"/>
                      <w:color w:val="auto"/>
                      <w:highlight w:val="none"/>
                    </w:rPr>
                  </w:pPr>
                  <w:bookmarkStart w:id="16" w:name="_Toc12381"/>
                  <w:bookmarkStart w:id="17" w:name="_Toc11603"/>
                  <w:bookmarkStart w:id="18" w:name="_Toc493239855"/>
                  <w:bookmarkStart w:id="19" w:name="_Toc20890"/>
                  <w:bookmarkStart w:id="20" w:name="_Toc13999"/>
                  <w:bookmarkStart w:id="21" w:name="_Toc25018"/>
                  <w:bookmarkStart w:id="22" w:name="_Toc18941"/>
                  <w:bookmarkStart w:id="23" w:name="_Toc7044"/>
                  <w:bookmarkStart w:id="24" w:name="_Toc493239427"/>
                  <w:bookmarkStart w:id="25" w:name="_Toc508094559"/>
                  <w:bookmarkStart w:id="26" w:name="_Toc13195"/>
                  <w:bookmarkStart w:id="27" w:name="_Toc507764124"/>
                  <w:bookmarkStart w:id="28" w:name="_Toc20408"/>
                  <w:bookmarkStart w:id="29" w:name="_Toc493409073"/>
                  <w:bookmarkStart w:id="30" w:name="_Toc25841"/>
                  <w:bookmarkStart w:id="31" w:name="_Toc493242396"/>
                  <w:r>
                    <w:rPr>
                      <w:rFonts w:ascii="Times New Roman" w:eastAsia="宋体" w:cs="Times New Roman" w:hAnsi="Times New Roman" w:hint="eastAsia"/>
                      <w:color w:val="auto"/>
                      <w:highlight w:val="none"/>
                    </w:rPr>
                    <w:t>六、信息平台建设</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各收集试点单位的收集站应按照原省环保厅《关于建设全省危险废物智能监控体系的通知》（冀环办发〔2017〕112号）要求建设智能监控系统。有条件的鼓励暂存点配置视频录像设备，通过平台将收集到的废铅蓄电池信息、运输车辆信息、暂存点和回收中心信息及跨区域转移信息集成，实现废铅蓄电池流转全过程可视化管理。</w:t>
                  </w:r>
                </w:p>
              </w:tc>
              <w:tc>
                <w:tcPr>
                  <w:tcW w:w="1807" w:type="pct"/>
                </w:tcPr>
                <w:p>
                  <w:pPr>
                    <w:adjustRightInd w:val="0"/>
                    <w:snapToGrid w:val="0"/>
                    <w:jc w:val="both"/>
                    <w:rPr>
                      <w:rFonts w:ascii="Times New Roman" w:eastAsia="宋体" w:cs="Times New Roman" w:hAnsi="Times New Roman" w:hint="eastAsia"/>
                      <w:color w:val="auto"/>
                      <w:lang w:val="en-US" w:eastAsia="zh-CN"/>
                      <w:highlight w:val="none"/>
                    </w:rPr>
                  </w:pPr>
                  <w:r>
                    <w:rPr>
                      <w:rFonts w:cs="Times New Roman" w:hint="eastAsia"/>
                      <w:color w:val="auto"/>
                      <w:lang w:val="en-US" w:eastAsia="zh-CN"/>
                      <w:highlight w:val="none"/>
                    </w:rPr>
                    <w:t>本项目不涉及运输，委托专业、有资质单位进行运输。本项目建设智能监控系统，可实现流转全过程可视化管理。</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9</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2025-2012)的符合性分析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22</w:t>
            </w:r>
            <w:r>
              <w:rPr>
                <w:rFonts w:ascii="Times New Roman" w:eastAsia="宋体" w:cs="Times New Roman" w:hAnsi="Times New Roman" w:hint="eastAsia"/>
                <w:b/>
                <w:bCs/>
                <w:color w:val="auto"/>
                <w:sz w:val="24"/>
                <w:highlight w:val="none"/>
              </w:rPr>
              <w:t xml:space="preserve">  与</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危险废物收集 贮存 运输技术规范</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(HJ 2025-2012)符合性分析一览表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危险废物收集、贮存、运输的一般要求</w:t>
                  </w:r>
                </w:p>
                <w:p>
                  <w:pPr>
                    <w:adjustRightInd w:val="0"/>
                    <w:snapToGrid w:val="0"/>
                    <w:jc w:val="center"/>
                    <w:rPr>
                      <w:rFonts w:ascii="Times New Roman" w:eastAsia="宋体" w:cs="Times New Roman" w:hAnsi="Times New Roman" w:hint="eastAsia"/>
                      <w:color w:val="auto"/>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4.1 从事危险废物收集、贮存、运输经营活动的单位应具有危险废物经营许可证。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全规章制度及操作流程，确保该过程的安全、可靠。 </w:t>
                  </w:r>
                </w:p>
                <w:p>
                  <w:pPr>
                    <w:adjustRightInd w:val="0"/>
                    <w:snapToGrid w:val="0"/>
                    <w:jc w:val="both"/>
                    <w:rPr>
                      <w:rFonts w:cs="Times New Roman"/>
                      <w:color w:val="auto"/>
                      <w:highlight w:val="none"/>
                    </w:rPr>
                  </w:pPr>
                  <w:r>
                    <w:rPr>
                      <w:rFonts w:ascii="Times New Roman" w:eastAsia="宋体" w:cs="Times New Roman" w:hAnsi="Times New Roman" w:hint="eastAsia"/>
                      <w:color w:val="auto"/>
                      <w:lang w:val="en-US" w:eastAsia="zh-CN"/>
                      <w:highlight w:val="none"/>
                    </w:rPr>
                    <w:t>4.2 危险废物转移过程应按《危险废物转移联单管理办法》执行</w:t>
                  </w:r>
                  <w:r>
                    <w:rPr>
                      <w:rFonts w:cs="Times New Roman"/>
                      <w:color w:val="auto"/>
                      <w:highlight w:val="none"/>
                    </w:rPr>
                    <w:t>。</w:t>
                  </w:r>
                </w:p>
                <w:p>
                  <w:pPr>
                    <w:adjustRightInd w:val="0"/>
                    <w:snapToGrid w:val="0"/>
                    <w:jc w:val="both"/>
                    <w:rPr>
                      <w:rFonts w:cs="Times New Roman"/>
                      <w:color w:val="auto"/>
                      <w:highlight w:val="none"/>
                    </w:rPr>
                  </w:pPr>
                  <w:r>
                    <w:rPr>
                      <w:rFonts w:cs="Times New Roman"/>
                      <w:color w:val="auto"/>
                      <w:lang w:eastAsia="zh-CN"/>
                      <w:highlight w:val="none"/>
                    </w:rPr>
                    <w:t>4.3 危险废物收集、贮存、运输单位应建立规范的管理和技术人员培训制度，定期针对管理和技术人员进行培训。培训内容至少应包括危险废物鉴别要求、危险废物经营许可证管理</w:t>
                  </w:r>
                  <w:r>
                    <w:rPr>
                      <w:rFonts w:cs="Times New Roman" w:hint="eastAsia"/>
                      <w:color w:val="auto"/>
                      <w:lang w:eastAsia="zh-CN"/>
                      <w:highlight w:val="none"/>
                    </w:rPr>
                    <w:t>、</w:t>
                  </w:r>
                  <w:r>
                    <w:rPr>
                      <w:rFonts w:cs="Times New Roman"/>
                      <w:color w:val="auto"/>
                      <w:lang w:eastAsia="zh-CN"/>
                      <w:highlight w:val="none"/>
                    </w:rPr>
                    <w:t xml:space="preserve">危险废物转移联单管理、危险废物包装和标识、危险废物运输要求、危险废物事故应急方法等。 </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按相关要求申领危险废物经营许可证在。本项目</w:t>
                  </w:r>
                  <w:r>
                    <w:rPr>
                      <w:rFonts w:ascii="Times New Roman" w:eastAsia="宋体" w:cs="Times New Roman" w:hAnsi="Times New Roman" w:hint="eastAsia"/>
                      <w:color w:val="auto"/>
                      <w:lang w:val="en-US" w:eastAsia="zh-CN"/>
                      <w:highlight w:val="none"/>
                    </w:rPr>
                    <w:t>建立相应的规章制度和污染防治措施，包括危险废物分析管理制度、安全管理制度、污染防治措施等</w:t>
                  </w:r>
                  <w:r>
                    <w:rPr>
                      <w:rFonts w:ascii="Times New Roman" w:eastAsia="宋体" w:cs="Times New Roman" w:hAnsi="Times New Roman"/>
                      <w:color w:val="auto"/>
                      <w:highlight w:val="none"/>
                    </w:rPr>
                    <w:t>。</w:t>
                  </w:r>
                  <w:r>
                    <w:rPr>
                      <w:rFonts w:cs="Times New Roman" w:hint="eastAsia"/>
                      <w:color w:val="auto"/>
                      <w:lang w:eastAsia="zh-CN"/>
                      <w:highlight w:val="none"/>
                    </w:rPr>
                    <w:t>同时</w:t>
                  </w:r>
                  <w:r>
                    <w:rPr>
                      <w:rFonts w:cs="Times New Roman"/>
                      <w:color w:val="auto"/>
                      <w:lang w:eastAsia="zh-CN"/>
                      <w:highlight w:val="none"/>
                    </w:rPr>
                    <w:t>建立规范的管理和技术人员培训制度，定期针对管理和技术人员进行培训。</w:t>
                  </w:r>
                  <w:r>
                    <w:rPr>
                      <w:rFonts w:cs="Times New Roman" w:hint="eastAsia"/>
                      <w:color w:val="auto"/>
                      <w:lang w:eastAsia="zh-CN"/>
                      <w:highlight w:val="none"/>
                    </w:rPr>
                    <w:t>本项目按要求编制应急预案并开展演练。明确相应的风险防范措施和应急响应、救援等措施。</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p>
              </w:tc>
              <w:tc>
                <w:tcPr>
                  <w:tcW w:w="2214" w:type="pct"/>
                </w:tcPr>
                <w:p>
                  <w:pPr>
                    <w:adjustRightInd w:val="0"/>
                    <w:snapToGrid w:val="0"/>
                    <w:jc w:val="both"/>
                    <w:rPr>
                      <w:rFonts w:cs="Times New Roman"/>
                      <w:color w:val="auto"/>
                      <w:highlight w:val="none"/>
                    </w:rPr>
                  </w:pPr>
                  <w:r>
                    <w:rPr>
                      <w:rFonts w:cs="Times New Roman"/>
                      <w:color w:val="auto"/>
                      <w:lang w:eastAsia="zh-CN"/>
                      <w:highlight w:val="none"/>
                    </w:rPr>
                    <w:t xml:space="preserve">4.4 危险废物收集、贮存、运输单位应编制应急预案。应急预案编制可参照《危险废物经营单位编制应急预案指南》，涉及运输的相关内容还应符合交通行政主管部门的有关规定。针对危险废物收集、贮存、运输过程中的事故易发环节应定期组织应急演练。 </w:t>
                  </w:r>
                </w:p>
                <w:p>
                  <w:pPr>
                    <w:adjustRightInd w:val="0"/>
                    <w:snapToGrid w:val="0"/>
                    <w:jc w:val="both"/>
                    <w:rPr>
                      <w:rFonts w:cs="Times New Roman"/>
                      <w:color w:val="auto"/>
                      <w:highlight w:val="none"/>
                    </w:rPr>
                  </w:pPr>
                  <w:r>
                    <w:rPr>
                      <w:rFonts w:cs="Times New Roman"/>
                      <w:color w:val="auto"/>
                      <w:lang w:eastAsia="zh-CN"/>
                      <w:highlight w:val="none"/>
                    </w:rPr>
                    <w:t xml:space="preserve">4.5 危险废物收集、贮存、运输过程中一旦发生意外事故，收集、贮存、运输单位及相关部门应根据风险程度采取如下措施： </w:t>
                  </w:r>
                </w:p>
                <w:p>
                  <w:pPr>
                    <w:adjustRightInd w:val="0"/>
                    <w:snapToGrid w:val="0"/>
                    <w:jc w:val="both"/>
                    <w:rPr>
                      <w:rFonts w:cs="Times New Roman"/>
                      <w:color w:val="auto"/>
                      <w:highlight w:val="none"/>
                    </w:rPr>
                  </w:pPr>
                  <w:r>
                    <w:rPr>
                      <w:rFonts w:cs="Times New Roman"/>
                      <w:color w:val="auto"/>
                      <w:lang w:eastAsia="zh-CN"/>
                      <w:highlight w:val="none"/>
                    </w:rPr>
                    <w:t>(1)设立事故警戒线，启动应急预案，并按《环境保护行政主管部门突发环境事件信息报告办法</w:t>
                  </w:r>
                  <w:r>
                    <w:rPr>
                      <w:rFonts w:cs="Times New Roman"/>
                      <w:color w:val="auto"/>
                      <w:lang w:eastAsia="zh-CN"/>
                      <w:highlight w:val="none"/>
                    </w:rPr>
                    <w:t>（试行）</w:t>
                  </w:r>
                  <w:r>
                    <w:rPr>
                      <w:rFonts w:cs="Times New Roman"/>
                      <w:color w:val="auto"/>
                      <w:lang w:eastAsia="zh-CN"/>
                      <w:highlight w:val="none"/>
                    </w:rPr>
                    <w:t xml:space="preserve">》（环发[2006]50号）要求进行报告。 </w:t>
                  </w:r>
                </w:p>
                <w:p>
                  <w:pPr>
                    <w:adjustRightInd w:val="0"/>
                    <w:snapToGrid w:val="0"/>
                    <w:jc w:val="both"/>
                    <w:rPr>
                      <w:rFonts w:cs="Times New Roman"/>
                      <w:color w:val="auto"/>
                      <w:highlight w:val="none"/>
                    </w:rPr>
                  </w:pPr>
                  <w:r>
                    <w:rPr>
                      <w:rFonts w:cs="Times New Roman"/>
                      <w:color w:val="auto"/>
                      <w:lang w:eastAsia="zh-CN"/>
                      <w:highlight w:val="none"/>
                    </w:rPr>
                    <w:t>(2)若造成事故的</w:t>
                  </w:r>
                  <w:bookmarkStart w:id="32" w:name="_GoBack"/>
                  <w:bookmarkEnd w:id="32"/>
                  <w:r>
                    <w:rPr>
                      <w:rFonts w:cs="Times New Roman"/>
                      <w:color w:val="auto"/>
                      <w:lang w:eastAsia="zh-CN"/>
                      <w:highlight w:val="none"/>
                    </w:rPr>
                    <w:t xml:space="preserve">危险废物具有剧毒性、易燃性、爆炸性或高传染性，应立即疏散人群，并请求环境保护、消防、医疗、公安等相关部门支援。 </w:t>
                  </w:r>
                </w:p>
                <w:p>
                  <w:pPr>
                    <w:adjustRightInd w:val="0"/>
                    <w:snapToGrid w:val="0"/>
                    <w:jc w:val="both"/>
                    <w:rPr>
                      <w:rFonts w:cs="Times New Roman"/>
                      <w:color w:val="auto"/>
                      <w:highlight w:val="none"/>
                    </w:rPr>
                  </w:pPr>
                  <w:r>
                    <w:rPr>
                      <w:rFonts w:cs="Times New Roman"/>
                      <w:color w:val="auto"/>
                      <w:lang w:eastAsia="zh-CN"/>
                      <w:highlight w:val="none"/>
                    </w:rPr>
                    <w:t xml:space="preserve">(3)对事故现场受到污染的土壤和水体等环境介质应进行相应的清理和修复。 </w:t>
                  </w:r>
                </w:p>
                <w:p>
                  <w:pPr>
                    <w:adjustRightInd w:val="0"/>
                    <w:snapToGrid w:val="0"/>
                    <w:jc w:val="both"/>
                    <w:rPr>
                      <w:rFonts w:cs="Times New Roman"/>
                      <w:color w:val="auto"/>
                      <w:highlight w:val="none"/>
                    </w:rPr>
                  </w:pPr>
                  <w:r>
                    <w:rPr>
                      <w:rFonts w:cs="Times New Roman"/>
                      <w:color w:val="auto"/>
                      <w:lang w:eastAsia="zh-CN"/>
                      <w:highlight w:val="none"/>
                    </w:rPr>
                    <w:t xml:space="preserve">(4)清理过程中产生的所有废物均应按危险废物进行管理和处置。 </w:t>
                  </w:r>
                </w:p>
                <w:p>
                  <w:pPr>
                    <w:adjustRightInd w:val="0"/>
                    <w:snapToGrid w:val="0"/>
                    <w:jc w:val="both"/>
                    <w:rPr>
                      <w:rFonts w:cs="Times New Roman"/>
                      <w:color w:val="auto"/>
                      <w:highlight w:val="none"/>
                    </w:rPr>
                  </w:pPr>
                  <w:r>
                    <w:rPr>
                      <w:rFonts w:cs="Times New Roman"/>
                      <w:color w:val="auto"/>
                      <w:lang w:eastAsia="zh-CN"/>
                      <w:highlight w:val="none"/>
                    </w:rPr>
                    <w:t xml:space="preserve">(5)进入现场清理和包装危险废物的人员应受过专业培训，穿着防护服，并佩戴相应的防护用具。 </w:t>
                  </w:r>
                </w:p>
                <w:p>
                  <w:pPr>
                    <w:adjustRightInd w:val="0"/>
                    <w:snapToGrid w:val="0"/>
                    <w:jc w:val="both"/>
                    <w:rPr>
                      <w:rFonts w:cs="Times New Roman"/>
                      <w:color w:val="auto"/>
                      <w:highlight w:val="none"/>
                    </w:rPr>
                  </w:pPr>
                  <w:r>
                    <w:rPr>
                      <w:rFonts w:cs="Times New Roman"/>
                      <w:color w:val="auto"/>
                      <w:lang w:eastAsia="zh-CN"/>
                      <w:highlight w:val="none"/>
                    </w:rPr>
                    <w:t xml:space="preserve">4.7 废铅酸蓄电池的收集、贮存和运输应按HJ519执行。  </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本项目应按照要求编制应急预案，采取防范措施并开展应急演练。</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危险废物的收集</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5.4 危险废物收集和转运作业人员应根据工作需要配备必要的个人防护装备，如手套、防护镜、防护服、防毒面具或口罩等。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5.5 在危险废物的收集和转运过程中，应采取相应的安全防护和污染防治措施，包括防爆</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防火、防中毒、防感染、防泄露、防飞扬、防雨或其它防止污染环境的措施。  </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本项目操作人员</w:t>
                  </w:r>
                  <w:r>
                    <w:rPr>
                      <w:rFonts w:ascii="Times New Roman" w:eastAsia="宋体" w:cs="Times New Roman" w:hAnsi="Times New Roman" w:hint="eastAsia"/>
                      <w:color w:val="auto"/>
                      <w:lang w:val="en-US" w:eastAsia="zh-CN"/>
                      <w:highlight w:val="none"/>
                    </w:rPr>
                    <w:t>配备必要的个人防护装备，如手套、防护镜、防护服、防毒面具或口罩等</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采取相应的安全防护和污染防治措施</w:t>
                  </w:r>
                  <w:r>
                    <w:rPr>
                      <w:rFonts w:cs="Times New Roman" w:hint="eastAsia"/>
                      <w:color w:val="auto"/>
                      <w:lang w:val="en-US"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危险废物的贮存</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6.1 危险废物贮存可分为产生单位内部贮存、中转贮存及集中性贮存。所对应的贮存设施分别为：产生危险废物的单位用于暂时贮存的设施；拥有危险废物收集经营许可证的单位用于临时贮存废矿物油、废镍镉电池的设施；以及危险废物经营单位所配置的贮存设施。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6.2 危险废物贮存设施的选址、设计、建设、运行管理应满足GB18597、GBZ1和GBZ2的有 关要求。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6.3 危险废物贮存设施应配备通讯设备、照明设施和消防设施。 </w:t>
                  </w:r>
                </w:p>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 xml:space="preserve">6.4 贮存危险废物时应按危险废物的种类和特性进行分区贮存，每个贮存区域之间宜设置挡墙间隔，并应设置防雨、防火、防雷、防扬尘装置。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6.7 危险废物贮存期限应符合《中华人民共和国固体废物污染环境防治法》的有关规定。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6.8 危险废物贮存单位应建立危险废物贮存的台帐制度，危险废物出入库交接记录内容应参照本标准附录C执行。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6.9 危险废物贮存设施应根据贮存的废物种类和特性按照GB18597附录A设置标志。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6.10 危险废物贮存设施的关闭应按照 GB18597 和《危险废物经营许可证管理办法》的有关规定执行</w:t>
                  </w:r>
                  <w:r>
                    <w:rPr>
                      <w:rFonts w:cs="Times New Roman" w:hint="eastAsia"/>
                      <w:color w:val="auto"/>
                      <w:lang w:val="en-US" w:eastAsia="zh-CN"/>
                      <w:highlight w:val="none"/>
                    </w:rPr>
                    <w:t>。</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本项目为废铅蓄电池中转项目，本项目的选址</w:t>
                  </w:r>
                  <w:r>
                    <w:rPr>
                      <w:rFonts w:ascii="Times New Roman" w:eastAsia="宋体" w:cs="Times New Roman" w:hAnsi="Times New Roman" w:hint="eastAsia"/>
                      <w:color w:val="auto"/>
                      <w:lang w:val="en-US" w:eastAsia="zh-CN"/>
                      <w:highlight w:val="none"/>
                    </w:rPr>
                    <w:t>选址、设计、建设、运行管理应满足GB18597、GBZ1和GBZ2的有关要求</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贮存设施应配备通讯设备、照明设施和消防设施。</w:t>
                  </w:r>
                  <w:r>
                    <w:rPr>
                      <w:rFonts w:cs="Times New Roman" w:hint="eastAsia"/>
                      <w:color w:val="auto"/>
                      <w:lang w:val="en-US" w:eastAsia="zh-CN"/>
                      <w:highlight w:val="none"/>
                    </w:rPr>
                    <w:t>本项目</w:t>
                  </w:r>
                  <w:r>
                    <w:rPr>
                      <w:rFonts w:ascii="Times New Roman" w:eastAsia="宋体" w:cs="Times New Roman" w:hAnsi="Times New Roman" w:hint="eastAsia"/>
                      <w:color w:val="auto"/>
                      <w:lang w:val="en-US" w:eastAsia="zh-CN"/>
                      <w:highlight w:val="none"/>
                    </w:rPr>
                    <w:t>建立危险废物贮存的台帐制度。危险废物贮存设施应根据贮存的废物种类和特性按照GB18597附录A设置标志</w:t>
                  </w:r>
                  <w:r>
                    <w:rPr>
                      <w:rFonts w:cs="Times New Roman" w:hint="eastAsia"/>
                      <w:color w:val="auto"/>
                      <w:lang w:val="en-US"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危险废物的运输</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7.1 危险废物运输应由持有危险废物经营许可证的单位按照其许可证的经营范围组织实施</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 xml:space="preserve">承担危险废物运输的单位应获得交通运输部门颁发的危险货物运输资质。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7.2 危险废物公路运输应按照《道路危险货物运输管理规定》(交通部令[2005 年]第 9 号)、JT617 以及 JT618 执行；危险废物铁路运输应按《铁路危险货物运输管理规则》(铁运[2006]79号)规定执行；危险废物水路运输应按《水路危险货物运输规则》(交通部令[1996 年]第10号)规定执行。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7.3 废弃危险化学品的运输应执行《危险化学品安全管理条例》有关运输的规定。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7.4 运输单位承运危险废物时，应在危险废物包装上按照 GB18597 附录 A 设置标志，其中医疗废物包装容器上的标志应按 HJ421 要求设置。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7.5 危险废物公路运输时，运输车辆应按 GB13392 设置车辆标志。铁路运输和水路运输危险废物时应在集装箱外按 GB190 规定悬挂标志。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7.6 危险废物运输时的中转、装卸过程应遵守如下技术要求：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(1)卸载区的工作人员应熟悉废物的危险特性，并配备适当的个人防护装备，装卸剧毒废物应配备特殊的防护装备。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 xml:space="preserve">(2)卸载区应配备必要的消防设备和设施，并设置明显的指示标志。 </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(3)危险废物装卸区应设置隔离设施，液态废物卸载区应设置收集槽和缓冲罐。</w:t>
                  </w:r>
                </w:p>
              </w:tc>
              <w:tc>
                <w:tcPr>
                  <w:tcW w:w="1807"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val="en-US"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numPr>
                <w:ilvl w:val="0"/>
                <w:numId w:val="2"/>
              </w:numPr>
              <w:spacing w:line="360" w:lineRule="auto"/>
              <w:ind w:left="122" w:firstLine="473"/>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与《国务院办公厅关于印发强化危险废物监管和利用处置能力改革实施方案的通知》（国办函[2021]47号）的符合性分析</w:t>
            </w: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23</w:t>
            </w:r>
            <w:r>
              <w:rPr>
                <w:rFonts w:ascii="Times New Roman" w:eastAsia="宋体" w:cs="Times New Roman" w:hAnsi="Times New Roman" w:hint="eastAsia"/>
                <w:b/>
                <w:bCs/>
                <w:color w:val="auto"/>
                <w:sz w:val="24"/>
                <w:highlight w:val="none"/>
              </w:rPr>
              <w:t xml:space="preserve">  与《国务院办公厅关于印发强化危险废物监管和利用处置能力改革实施方案的通知》（国办函[2021]47号）符合性分析一览表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强化危险废物收集转运等过程监管</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一）推动收集转运贮存专业化。深入推进生活垃圾分类，建立有害垃圾收集转运体系。（住房城乡建设部牵头，相关部门参与）支持危险废物专业收集转运和利用处置单位建设区域性收集网点和贮存设施，开展小微企业、科研机构、学校等产生的危险废物有偿收集转运服务。开展工业园区危险废物集中收集贮存试点。鼓励在有条件的高校集中区域开展实验室危险废物分类收集和预处理示范项目建设。（生态环境部、交通运输部、教育部等按职责分工负责）</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二）推进转移运输便捷化。建立危险废物和医疗废物运输车辆备案制度，完善“点对点”的常备通行路线，实现危险废物和医疗废物运输车辆规范有序、安全便捷通行。（公安部、生态环境部、交通运输部、国家卫生健康委等按职责分工负责）根据企业环境信用记录和环境风险可控程度等，以“白名单”方式简化危险废物跨省转移审批程序。维护危险废物跨区域转移公平竞争市场秩序，各地不得设置不合理行政壁垒。（生态环境部负责）</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十三）严厉打击涉危险废物违法犯罪行为。强化危险废物环境执法，将其作为生态环境保护综合执法重要内容。严厉打击非法排放、倾倒、收集、贮存、转移、利用、处置危险废物等环境违法犯罪行为，实施生态环境损害赔偿制度，强化行政执法与刑事司法、检察公益诉讼的协调联动。（最高人民法院、最高人民检察院、公安部、生态环境部等按职责分工负责）对自查自纠并及时妥善处置历史遗留危险废物的企业，依法从轻处罚。（最高人民法院、最高人民检察院牵头，生态环境部等参与）</w:t>
                  </w:r>
                </w:p>
              </w:tc>
              <w:tc>
                <w:tcPr>
                  <w:tcW w:w="1807" w:type="pct"/>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为废铅蓄电池中转项目，项目的建设可为园区集中收集活动提供贮存场所</w:t>
                  </w:r>
                  <w:r>
                    <w:rPr>
                      <w:rFonts w:ascii="Times New Roman" w:eastAsia="宋体" w:cs="Times New Roman" w:hAnsi="Times New Roman"/>
                      <w:color w:val="auto"/>
                      <w:highlight w:val="none"/>
                    </w:rPr>
                    <w:t>。</w:t>
                  </w:r>
                </w:p>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本项目不涉及</w:t>
                  </w:r>
                  <w:r>
                    <w:rPr>
                      <w:rFonts w:cs="Times New Roman" w:hint="eastAsia"/>
                      <w:color w:val="auto"/>
                      <w:lang w:val="en-US" w:eastAsia="zh-CN"/>
                      <w:highlight w:val="none"/>
                    </w:rPr>
                    <w:t>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bl>
          <w:p>
            <w:pPr>
              <w:pStyle w:val="69"/>
              <w:numPr>
                <w:ilvl w:val="0"/>
                <w:numId w:val="2"/>
              </w:numPr>
              <w:spacing w:line="360" w:lineRule="auto"/>
              <w:ind w:left="122" w:firstLine="473"/>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与《废旧电池回收技术规范》（GB/T39224-2020）的符合性分析</w:t>
            </w:r>
          </w:p>
          <w:p>
            <w:pPr>
              <w:pStyle w:val="69"/>
              <w:widowControl/>
              <w:kinsoku w:val="0"/>
              <w:autoSpaceDE w:val="0"/>
              <w:autoSpaceDN w:val="0"/>
              <w:adjustRightInd w:val="0"/>
              <w:snapToGrid w:val="0"/>
              <w:spacing w:line="360" w:lineRule="auto"/>
              <w:jc w:val="left"/>
              <w:textAlignment w:val="baseline"/>
              <w:rPr>
                <w:rFonts w:ascii="Times New Roman" w:eastAsia="宋体" w:cs="Times New Roman" w:hAnsi="Times New Roman"/>
                <w:color w:val="auto"/>
                <w:kern w:val="2"/>
                <w:sz w:val="24"/>
                <w:szCs w:val="24"/>
                <w:lang w:val="en-US" w:eastAsia="zh-CN" w:bidi="ar-SA"/>
                <w:highlight w:val="none"/>
              </w:rPr>
            </w:pP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24</w:t>
            </w:r>
            <w:r>
              <w:rPr>
                <w:rFonts w:ascii="Times New Roman" w:eastAsia="宋体" w:cs="Times New Roman" w:hAnsi="Times New Roman" w:hint="eastAsia"/>
                <w:b/>
                <w:bCs/>
                <w:color w:val="auto"/>
                <w:sz w:val="24"/>
                <w:highlight w:val="none"/>
              </w:rPr>
              <w:t xml:space="preserve">  与</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废旧电池回收技术规范</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GB/T39224-2020</w:t>
            </w:r>
            <w:r>
              <w:rPr>
                <w:rFonts w:cs="Times New Roman"/>
                <w:b/>
                <w:bCs/>
                <w:color w:val="auto"/>
                <w:sz w:val="24"/>
                <w:highlight w:val="none"/>
              </w:rPr>
              <w:t>）</w:t>
            </w:r>
            <w:r>
              <w:rPr>
                <w:rFonts w:ascii="Times New Roman" w:eastAsia="宋体" w:cs="Times New Roman" w:hAnsi="Times New Roman" w:hint="eastAsia"/>
                <w:b/>
                <w:bCs/>
                <w:color w:val="auto"/>
                <w:sz w:val="24"/>
                <w:highlight w:val="none"/>
              </w:rPr>
              <w:t>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cs="Times New Roman" w:hint="eastAsia"/>
                      <w:color w:val="auto"/>
                      <w:lang w:eastAsia="zh-CN"/>
                      <w:highlight w:val="none"/>
                    </w:rPr>
                    <w:t>总体</w:t>
                  </w:r>
                  <w:r>
                    <w:rPr>
                      <w:rFonts w:ascii="Times New Roman" w:eastAsia="宋体" w:cs="Times New Roman" w:hAnsi="Times New Roman"/>
                      <w:color w:val="auto"/>
                      <w:highlight w:val="none"/>
                    </w:rPr>
                    <w:t>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4.1废旧电池回收企业应按照GB/T 19001、GB/T 24001、GB/T 45001等标准建立并运行管理体系。</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4.2废旧电池回收企业应建立劳动保护、消防安全责任管理制度和环境保护管理制度。</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4.3废旧电池回收企业应建立安全事故和环境污染预防机制，制定处理安全事故和环境污染事故的应急预案制度。</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4.4废旧动力蓄电池回收企业应建立废旧电池回收信息管理系统，记录每批次废旧电池的类别名称、特性、回收时间、地点、数量（重量）、来源、流向、交易情况等信息，上报统计信息，并保存有关信息至少两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4.5废旧电池回收过程中，应保持废旧电池的结构和外形完整，严禁私自破损废旧电池，已破损的废旧电池应单独收集、分拣、运输、贮存，防止出现泄漏、腐蚀、火灾等现象。</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4.6废旧电池回收过程中产生或夹杂的危险废物，或根据国家规定的危险废物鉴别标准和鉴别方法认定为危险废物的，应符合HJ 2025的有关要求，并交由有相关处理资质的单位进行处理。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4.7应进行岗前培训，能够对电解液泄漏、废旧电池起火、爆炸、交通事故等进行应急处理。</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4.8废旧动力蓄电池宜按照国家有关政策及标准等要求开展梯次利用，并应根据电池安全、性能等要求应用于相关目标领域。</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4.9回收后的废旧电池应交给具有国家法律法规规定的相关资质的综合利用企业处理。</w:t>
                  </w:r>
                </w:p>
              </w:tc>
              <w:tc>
                <w:tcPr>
                  <w:tcW w:w="1807" w:type="pct"/>
                </w:tcPr>
                <w:p>
                  <w:pPr>
                    <w:adjustRightInd w:val="0"/>
                    <w:snapToGrid w:val="0"/>
                    <w:jc w:val="both"/>
                    <w:rPr>
                      <w:rFonts w:cs="Times New Roman" w:hint="eastAsia"/>
                      <w:color w:val="auto"/>
                      <w:lang w:eastAsia="zh-CN"/>
                      <w:highlight w:val="none"/>
                    </w:rPr>
                  </w:pPr>
                  <w:r>
                    <w:rPr>
                      <w:rFonts w:ascii="Times New Roman" w:eastAsia="宋体" w:cs="Times New Roman" w:hAnsi="Times New Roman"/>
                      <w:color w:val="auto"/>
                      <w:highlight w:val="none"/>
                    </w:rPr>
                    <w:t>本项目</w:t>
                  </w:r>
                  <w:r>
                    <w:rPr>
                      <w:rFonts w:ascii="Times New Roman" w:eastAsia="宋体" w:cs="Times New Roman" w:hAnsi="Times New Roman" w:hint="eastAsia"/>
                      <w:color w:val="auto"/>
                      <w:highlight w:val="none"/>
                    </w:rPr>
                    <w:t>按照GB/T 19001、GB/T 24001、GB/T 45001等标准建立并运行管理体系</w:t>
                  </w:r>
                  <w:r>
                    <w:rPr>
                      <w:rFonts w:cs="Times New Roman" w:hint="eastAsia"/>
                      <w:color w:val="auto"/>
                      <w:lang w:eastAsia="zh-CN"/>
                      <w:highlight w:val="none"/>
                    </w:rPr>
                    <w:t>，同时</w:t>
                  </w:r>
                  <w:r>
                    <w:rPr>
                      <w:rFonts w:ascii="Times New Roman" w:eastAsia="宋体" w:cs="Times New Roman" w:hAnsi="Times New Roman" w:hint="eastAsia"/>
                      <w:color w:val="auto"/>
                      <w:highlight w:val="none"/>
                    </w:rPr>
                    <w:t>建立劳动保护、消防安全责任管理制度和环境保护管理制度</w:t>
                  </w:r>
                  <w:r>
                    <w:rPr>
                      <w:rFonts w:cs="Times New Roman" w:hint="eastAsia"/>
                      <w:color w:val="auto"/>
                      <w:lang w:eastAsia="zh-CN"/>
                      <w:highlight w:val="none"/>
                    </w:rPr>
                    <w:t>，</w:t>
                  </w:r>
                  <w:r>
                    <w:rPr>
                      <w:rFonts w:ascii="Times New Roman" w:eastAsia="宋体" w:cs="Times New Roman" w:hAnsi="Times New Roman" w:hint="eastAsia"/>
                      <w:color w:val="auto"/>
                      <w:highlight w:val="none"/>
                    </w:rPr>
                    <w:t>安全事故和环境污染预防机制，制定处理安全事故和环境污染事故的应急预案制度</w:t>
                  </w:r>
                  <w:r>
                    <w:rPr>
                      <w:rFonts w:cs="Times New Roman" w:hint="eastAsia"/>
                      <w:color w:val="auto"/>
                      <w:lang w:eastAsia="zh-CN"/>
                      <w:highlight w:val="none"/>
                    </w:rPr>
                    <w:t>。</w:t>
                  </w:r>
                </w:p>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highlight w:val="none"/>
                    </w:rPr>
                    <w:t>建立废旧电池回收信息管理系统，记录每批次废旧电池的类别名称、特性、回收时间、地点、数量（重量）、来源、流向、交易情况等信息，上报统计信息，并保存有关信息至少两年。</w:t>
                  </w:r>
                  <w:r>
                    <w:rPr>
                      <w:rFonts w:cs="Times New Roman" w:hint="eastAsia"/>
                      <w:color w:val="auto"/>
                      <w:lang w:eastAsia="zh-CN"/>
                      <w:highlight w:val="none"/>
                    </w:rPr>
                    <w:t>本项目收集完整的废铅蓄电池，若发现破损电池，单独分拣、收集和贮存。</w:t>
                  </w:r>
                </w:p>
                <w:p>
                  <w:pPr>
                    <w:adjustRightInd w:val="0"/>
                    <w:snapToGrid w:val="0"/>
                    <w:jc w:val="both"/>
                    <w:rPr>
                      <w:rFonts w:eastAsia="宋体" w:cs="Times New Roman" w:hint="eastAsia"/>
                      <w:color w:val="auto"/>
                      <w:lang w:eastAsia="zh-CN"/>
                      <w:highlight w:val="none"/>
                    </w:rPr>
                  </w:pPr>
                  <w:r>
                    <w:rPr>
                      <w:rFonts w:cs="Times New Roman" w:hint="eastAsia"/>
                      <w:color w:val="auto"/>
                      <w:lang w:eastAsia="zh-CN"/>
                      <w:highlight w:val="none"/>
                    </w:rPr>
                    <w:t>本项目对人员进行</w:t>
                  </w:r>
                  <w:r>
                    <w:rPr>
                      <w:rFonts w:ascii="Times New Roman" w:eastAsia="宋体" w:cs="Times New Roman" w:hAnsi="Times New Roman" w:hint="eastAsia"/>
                      <w:color w:val="auto"/>
                      <w:highlight w:val="none"/>
                    </w:rPr>
                    <w:t>岗前培训，能够对电解液泄漏、废旧电池起火等进行应急处理</w:t>
                  </w:r>
                  <w:r>
                    <w:rPr>
                      <w:rFonts w:cs="Times New Roman" w:hint="eastAsia"/>
                      <w:color w:val="auto"/>
                      <w:lang w:eastAsia="zh-CN"/>
                      <w:highlight w:val="none"/>
                    </w:rPr>
                    <w:t>。</w:t>
                  </w:r>
                  <w:r>
                    <w:rPr>
                      <w:rFonts w:ascii="Times New Roman" w:eastAsia="宋体" w:cs="Times New Roman" w:hAnsi="Times New Roman" w:hint="eastAsia"/>
                      <w:color w:val="auto"/>
                      <w:highlight w:val="none"/>
                    </w:rPr>
                    <w:t>废旧动力蓄电池宜按照国家有关政策及标准等要求开展梯次利用，并应根据电池安全、性能等要求应用于相关目标领域。回收后的废旧电池应交给具有国家法律法规规定的相关资质的综合利用企业处理</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收集要求</w:t>
                  </w:r>
                </w:p>
                <w:p>
                  <w:pPr>
                    <w:adjustRightInd w:val="0"/>
                    <w:snapToGrid w:val="0"/>
                    <w:jc w:val="center"/>
                    <w:rPr>
                      <w:rFonts w:cs="Times New Roman" w:hint="eastAsia"/>
                      <w:color w:val="auto"/>
                      <w:lang w:eastAsia="zh-CN"/>
                      <w:highlight w:val="none"/>
                    </w:rPr>
                  </w:pP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5.1废旧电池收集网点建设应符合SB/T 10719相关规定。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5.2废蓄电池的收集宜根据WB/T 1061中的相关规定执行。</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5.3收集过程中禁止去除电池原有编码、铭牌、标签、标志等。</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本项目主要涉及贮存废铅蓄电池。</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运输要求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7.1运输过程中，不同种类的废旧电池应带有相应的包装，防止出现暴晒、机械磨损、雨淋、泄漏、遗撒等现象。</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7.2可梯次利用废旧电池包或电池模组运输时，宜使用周转托盘。散装的软包电池、圆柱形电池、扣怯电池应使用周转箱运输。</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7.3废旧电池运输应符合GB/T 26493的有关规定。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7.4运输过程中禁止擅自倾倒和丢弃废旧电池。</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7.5车用退役动力电池的包装运输宜根据GB/T 38698.1中的相关规定执行。</w:t>
                  </w:r>
                </w:p>
              </w:tc>
              <w:tc>
                <w:tcPr>
                  <w:tcW w:w="1807" w:type="pct"/>
                </w:tcPr>
                <w:p>
                  <w:pPr>
                    <w:adjustRightInd w:val="0"/>
                    <w:snapToGrid w:val="0"/>
                    <w:jc w:val="both"/>
                    <w:rPr>
                      <w:rFonts w:ascii="Times New Roman" w:eastAsia="宋体" w:cs="Times New Roman" w:hAnsi="Times New Roman"/>
                      <w:color w:val="auto"/>
                      <w:highlight w:val="none"/>
                    </w:rPr>
                  </w:pPr>
                  <w:r>
                    <w:rPr>
                      <w:rFonts w:cs="Times New Roman" w:hint="eastAsia"/>
                      <w:color w:val="auto"/>
                      <w:lang w:val="en-US"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highlight w:val="none"/>
                    </w:rPr>
                    <w:t>贮存要求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8.1暂时贮存场所应具有独立的集中场地和足够的贮存空间，贮存量不应超过10 t。</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8.2集中贮存场所应选择在城市工业地块内，并符合当地环境保护和区域发展规划；新建的集中贮存场所建设项目应通过环境影响评价。贮存规模应与贮存场所的容量相匹配，贮存场所面积应不小于500 m</w:t>
                  </w:r>
                  <w:r>
                    <w:rPr>
                      <w:rFonts w:ascii="Times New Roman" w:eastAsia="宋体" w:cs="Times New Roman" w:hAnsi="Times New Roman" w:hint="eastAsia"/>
                      <w:color w:val="auto"/>
                      <w:vertAlign w:val="superscript"/>
                      <w:highlight w:val="none"/>
                    </w:rPr>
                    <w:t>2</w:t>
                  </w:r>
                  <w:r>
                    <w:rPr>
                      <w:rFonts w:cs="Times New Roman" w:hint="eastAsia"/>
                      <w:color w:val="auto"/>
                      <w:lang w:eastAsia="zh-CN"/>
                      <w:highlight w:val="none"/>
                    </w:rPr>
                    <w:t>，</w:t>
                  </w:r>
                  <w:r>
                    <w:rPr>
                      <w:rFonts w:ascii="Times New Roman" w:eastAsia="宋体" w:cs="Times New Roman" w:hAnsi="Times New Roman" w:hint="eastAsia"/>
                      <w:color w:val="auto"/>
                      <w:highlight w:val="none"/>
                    </w:rPr>
                    <w:t>废旧电池贮存时间不应超过1年。</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8.3暂时贮存场地和集中贮存场地均应具备防雨防汛功能，且地面硬化、防渗漏，污染控制应符合GB 18599相关要求。</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8.4贮存场所应按GB 50016和GB 50140要求设置消防安全设施，按照GB 2894和GB 15630要求设立消防安全和警示标志，并定期清理、清运。</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8.5废旧电池应存放在封闭或半封闭通风良好的环境中，不应露天堆放，废旧电池堆放应保持一定距离，并远离易燃、易爆等危险品仓库及高压输电线防护区域。</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8.6废旧电池贮存应符合GB/T 26493的有关规定。</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8.7漏电的废旧电池应先进行绝缘等防护处理后放置在绝缘、防火、隔热的容器。</w:t>
                  </w:r>
                </w:p>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highlight w:val="none"/>
                    </w:rPr>
                    <w:t>8.8废旧锂离子电池贮存前应进行安全性检测，避光贮存，应控制贮存场所的环境温度，避免因高温自燃等引起的安全与环境风险。</w:t>
                  </w:r>
                </w:p>
              </w:tc>
              <w:tc>
                <w:tcPr>
                  <w:tcW w:w="1807" w:type="pct"/>
                </w:tcPr>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本项目设有独立的贮存区域，库房面积为</w:t>
                  </w:r>
                  <w:r>
                    <w:rPr>
                      <w:rFonts w:cs="Times New Roman" w:hint="eastAsia"/>
                      <w:color w:val="auto"/>
                      <w:lang w:val="en-US" w:eastAsia="zh-CN"/>
                      <w:highlight w:val="none"/>
                    </w:rPr>
                    <w:t>1140m</w:t>
                  </w:r>
                  <w:r>
                    <w:rPr>
                      <w:rFonts w:cs="Times New Roman" w:hint="eastAsia"/>
                      <w:color w:val="auto"/>
                      <w:vertAlign w:val="superscript"/>
                      <w:lang w:val="en-US" w:eastAsia="zh-CN"/>
                      <w:highlight w:val="none"/>
                    </w:rPr>
                    <w:t>2</w:t>
                  </w:r>
                  <w:r>
                    <w:rPr>
                      <w:rFonts w:cs="Times New Roman" w:hint="eastAsia"/>
                      <w:color w:val="auto"/>
                      <w:lang w:val="en-US" w:eastAsia="zh-CN"/>
                      <w:highlight w:val="none"/>
                    </w:rPr>
                    <w:t>，</w:t>
                  </w:r>
                  <w:r>
                    <w:rPr>
                      <w:rFonts w:cs="Times New Roman" w:hint="eastAsia"/>
                      <w:color w:val="auto"/>
                      <w:lang w:eastAsia="zh-CN"/>
                      <w:highlight w:val="none"/>
                    </w:rPr>
                    <w:t>贮存量为</w:t>
                  </w:r>
                  <w:r>
                    <w:rPr>
                      <w:rFonts w:cs="Times New Roman" w:hint="eastAsia"/>
                      <w:color w:val="auto"/>
                      <w:lang w:val="en-US" w:eastAsia="zh-CN"/>
                      <w:highlight w:val="none"/>
                    </w:rPr>
                    <w:t>100t。本项目选址符合环保要求，</w:t>
                  </w:r>
                  <w:r>
                    <w:rPr>
                      <w:rFonts w:ascii="Times New Roman" w:eastAsia="宋体" w:cs="Times New Roman" w:hAnsi="Times New Roman" w:hint="eastAsia"/>
                      <w:color w:val="auto"/>
                      <w:highlight w:val="none"/>
                    </w:rPr>
                    <w:t>具备防雨防汛功能，且地面硬化、防渗漏，污染控制应符合GB 18599相关要求。</w:t>
                  </w:r>
                </w:p>
                <w:p>
                  <w:pPr>
                    <w:adjustRightInd w:val="0"/>
                    <w:snapToGrid w:val="0"/>
                    <w:jc w:val="both"/>
                    <w:rPr>
                      <w:rFonts w:ascii="Times New Roman" w:eastAsia="宋体" w:cs="Times New Roman" w:hAnsi="Times New Roman" w:hint="eastAsia"/>
                      <w:color w:val="auto"/>
                      <w:highlight w:val="none"/>
                    </w:rPr>
                  </w:pPr>
                  <w:r>
                    <w:rPr>
                      <w:rFonts w:cs="Times New Roman" w:hint="eastAsia"/>
                      <w:color w:val="auto"/>
                      <w:lang w:eastAsia="zh-CN"/>
                      <w:highlight w:val="none"/>
                    </w:rPr>
                    <w:t>本项目废铅蓄电池贮存在库房内，库房</w:t>
                  </w:r>
                  <w:r>
                    <w:rPr>
                      <w:rFonts w:ascii="Times New Roman" w:eastAsia="宋体" w:cs="Times New Roman" w:hAnsi="Times New Roman" w:hint="eastAsia"/>
                      <w:color w:val="auto"/>
                      <w:highlight w:val="none"/>
                    </w:rPr>
                    <w:t>按GB 50016和GB 50140要求设置消防安全设施，按照GB 2894和GB 15630要求设立消防安全和警示标志，</w:t>
                  </w:r>
                  <w:r>
                    <w:rPr>
                      <w:rFonts w:cs="Times New Roman" w:hint="eastAsia"/>
                      <w:color w:val="auto"/>
                      <w:lang w:eastAsia="zh-CN"/>
                      <w:highlight w:val="none"/>
                    </w:rPr>
                    <w:t>定期进行转运</w:t>
                  </w:r>
                  <w:r>
                    <w:rPr>
                      <w:rFonts w:ascii="Times New Roman" w:eastAsia="宋体" w:cs="Times New Roman" w:hAnsi="Times New Roman" w:hint="eastAsia"/>
                      <w:color w:val="auto"/>
                      <w:highlight w:val="none"/>
                    </w:rPr>
                    <w:t>。</w:t>
                  </w:r>
                </w:p>
                <w:p>
                  <w:pPr>
                    <w:adjustRightInd w:val="0"/>
                    <w:snapToGrid w:val="0"/>
                    <w:jc w:val="both"/>
                    <w:rPr>
                      <w:rFonts w:ascii="Times New Roman" w:eastAsia="宋体" w:cs="Times New Roman" w:hAnsi="Times New Roman"/>
                      <w:color w:val="auto"/>
                      <w:lang w:val="en-US" w:eastAsia="zh-CN"/>
                      <w:highlight w:val="none"/>
                    </w:rPr>
                  </w:pPr>
                </w:p>
              </w:tc>
              <w:tc>
                <w:tcPr>
                  <w:tcW w:w="465" w:type="pct"/>
                  <w:vAlign w:val="center"/>
                </w:tcPr>
                <w:p>
                  <w:pPr>
                    <w:adjustRightInd w:val="0"/>
                    <w:snapToGrid w:val="0"/>
                    <w:jc w:val="both"/>
                    <w:rPr>
                      <w:rFonts w:ascii="Times New Roman" w:eastAsia="宋体" w:cs="Times New Roman" w:hAnsi="Times New Roman"/>
                      <w:color w:val="auto"/>
                      <w:highlight w:val="none"/>
                    </w:rPr>
                  </w:pPr>
                  <w:r>
                    <w:rPr>
                      <w:rFonts w:ascii="Times New Roman" w:eastAsia="宋体" w:cs="Times New Roman" w:hAnsi="Times New Roman"/>
                      <w:color w:val="auto"/>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12</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废铅蓄电池污染防治行动方案</w:t>
            </w:r>
            <w:r>
              <w:rPr>
                <w:rFonts w:ascii="Times New Roman" w:cs="Times New Roman" w:hAnsi="Times New Roman"/>
                <w:color w:val="auto"/>
                <w:kern w:val="2"/>
                <w:sz w:val="24"/>
                <w:szCs w:val="24"/>
                <w:lang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环办固体〔2019〕3号</w:t>
            </w:r>
            <w:r>
              <w:rPr>
                <w:rFonts w:ascii="Times New Roman" w:cs="Times New Roman" w:hAnsi="Times New Roman"/>
                <w:color w:val="auto"/>
                <w:kern w:val="2"/>
                <w:sz w:val="24"/>
                <w:szCs w:val="24"/>
                <w:lang w:eastAsia="zh-CN" w:bidi="ar-SA"/>
                <w:highlight w:val="none"/>
              </w:rPr>
              <w:t>）</w:t>
            </w:r>
            <w:r>
              <w:rPr>
                <w:rFonts w:ascii="Times New Roman" w:cs="Times New Roman" w:hAnsi="Times New Roman" w:hint="eastAsia"/>
                <w:color w:val="auto"/>
                <w:kern w:val="2"/>
                <w:sz w:val="24"/>
                <w:szCs w:val="24"/>
                <w:lang w:val="en-US" w:bidi="ar-SA"/>
                <w:highlight w:val="none"/>
              </w:rPr>
              <w:t>的</w:t>
            </w:r>
            <w:r>
              <w:rPr>
                <w:rFonts w:ascii="Times New Roman" w:eastAsia="宋体" w:cs="Times New Roman" w:hAnsi="Times New Roman" w:hint="eastAsia"/>
                <w:color w:val="auto"/>
                <w:kern w:val="2"/>
                <w:sz w:val="24"/>
                <w:szCs w:val="24"/>
                <w:lang w:val="en-US" w:eastAsia="zh-CN" w:bidi="ar-SA"/>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25</w:t>
            </w:r>
            <w:r>
              <w:rPr>
                <w:rFonts w:ascii="Times New Roman" w:eastAsia="宋体" w:cs="Times New Roman" w:hAnsi="Times New Roman" w:hint="eastAsia"/>
                <w:b/>
                <w:bCs/>
                <w:color w:val="auto"/>
                <w:sz w:val="24"/>
                <w:highlight w:val="none"/>
              </w:rPr>
              <w:t xml:space="preserve">  与《废铅蓄电池污染防治行动方案》（环办固体〔2019〕3号）符合性分析一览表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46"/>
              <w:gridCol w:w="3333"/>
              <w:gridCol w:w="2720"/>
              <w:gridCol w:w="700"/>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（九）开展废铅蓄电池集中收集和跨区域转运制度试点</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为探索完善废铅蓄电池收集、转移管理制度，选择有条件的地区，开展废铅蓄电池集中收集和跨区域转运制度试点，对未破损的密封式免维护废铅蓄电池在收集、贮存、转移等环节有条件豁免或简化管理要求，降低成本，提高效率，推动建立规范有序的收集处理体系。</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为废铅蓄电池中转项目，主要收集未破损的密封式废铅蓄电池。</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（十三）严厉打击和严肃查处涉废铅蓄电池企业违法犯罪行为。</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严厉打击非法收集拆解废铅蓄电池、非法冶炼再生铅等环境违法犯罪行为。（生态环境部、公安部负责长期落实）加强对铅蓄电池生产企业、原生铅企业和再生铅企业的涉废铅蓄电池违法行为检查，对无危险废物经营许可证接收废铅蓄电池，不按规定执行危险废物转移联单制度，非法处置废酸液，以及非法接收“倒酸”电池、再生粗铅、铅膏铅板等行为依法予以查处。</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本项目将按要求申领危险废物经营许可证，并按规定执行危险废物转移联单。本项目不涉及拆解废铅蓄电池。</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bl>
          <w:p>
            <w:pPr>
              <w:pStyle w:val="69"/>
              <w:spacing w:line="360" w:lineRule="auto"/>
              <w:ind w:left="122" w:firstLine="473"/>
              <w:rPr>
                <w:rFonts w:ascii="Times New Roman" w:eastAsia="宋体" w:cs="Times New Roman" w:hAnsi="Times New Roman"/>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hint="eastAsia"/>
                <w:color w:val="auto"/>
                <w:kern w:val="2"/>
                <w:sz w:val="24"/>
                <w:szCs w:val="24"/>
                <w:lang w:val="en-US" w:eastAsia="zh-CN" w:bidi="ar-SA"/>
                <w:highlight w:val="none"/>
              </w:rPr>
              <w:t>13</w:t>
            </w:r>
            <w:r>
              <w:rPr>
                <w:rFonts w:ascii="Times New Roman" w:eastAsia="宋体" w:cs="Times New Roman" w:hAnsi="Times New Roman" w:hint="eastAsia"/>
                <w:color w:val="auto"/>
                <w:kern w:val="2"/>
                <w:sz w:val="24"/>
                <w:szCs w:val="24"/>
                <w:lang w:val="en-US" w:eastAsia="zh-CN" w:bidi="ar-SA"/>
                <w:highlight w:val="none"/>
              </w:rPr>
              <w:t>）与</w:t>
            </w:r>
            <w:r>
              <w:rPr>
                <w:rFonts w:ascii="Times New Roman" w:cs="Times New Roman" w:hAnsi="Times New Roman"/>
                <w:color w:val="auto"/>
                <w:kern w:val="2"/>
                <w:sz w:val="24"/>
                <w:szCs w:val="24"/>
                <w:lang w:eastAsia="zh-CN" w:bidi="ar-SA"/>
                <w:highlight w:val="none"/>
              </w:rPr>
              <w:t>《河北省废铅蓄电池集中收集和跨区域转运制度试点工作方案》</w:t>
            </w:r>
            <w:r>
              <w:rPr>
                <w:rFonts w:ascii="Times New Roman" w:cs="Times New Roman" w:hAnsi="Times New Roman" w:hint="eastAsia"/>
                <w:color w:val="auto"/>
                <w:kern w:val="2"/>
                <w:sz w:val="24"/>
                <w:szCs w:val="24"/>
                <w:lang w:val="en-US" w:bidi="ar-SA"/>
                <w:highlight w:val="none"/>
              </w:rPr>
              <w:t>的</w:t>
            </w:r>
            <w:r>
              <w:rPr>
                <w:rFonts w:ascii="Times New Roman" w:eastAsia="宋体" w:cs="Times New Roman" w:hAnsi="Times New Roman" w:hint="eastAsia"/>
                <w:color w:val="auto"/>
                <w:kern w:val="2"/>
                <w:sz w:val="24"/>
                <w:szCs w:val="24"/>
                <w:lang w:val="en-US" w:eastAsia="zh-CN" w:bidi="ar-SA"/>
                <w:highlight w:val="none"/>
              </w:rPr>
              <w:t>符合性分析</w:t>
            </w:r>
          </w:p>
          <w:p>
            <w:pPr>
              <w:ind w:firstLineChars="200" w:firstLine="480"/>
              <w:jc w:val="center"/>
              <w:rPr>
                <w:rFonts w:ascii="Times New Roman" w:eastAsia="宋体" w:cs="Times New Roman" w:hAnsi="Times New Roman" w:hint="eastAsia"/>
                <w:b/>
                <w:bCs/>
                <w:color w:val="auto"/>
                <w:sz w:val="24"/>
                <w:highlight w:val="none"/>
              </w:rPr>
            </w:pPr>
            <w:r>
              <w:rPr>
                <w:rFonts w:ascii="Times New Roman" w:eastAsia="宋体" w:cs="Times New Roman" w:hAnsi="Times New Roman" w:hint="eastAsia"/>
                <w:b/>
                <w:bCs/>
                <w:color w:val="auto"/>
                <w:sz w:val="24"/>
                <w:highlight w:val="none"/>
              </w:rPr>
              <w:t>表1-</w:t>
            </w:r>
            <w:r>
              <w:rPr>
                <w:rFonts w:cs="Times New Roman" w:hint="eastAsia"/>
                <w:b/>
                <w:bCs/>
                <w:color w:val="auto"/>
                <w:sz w:val="24"/>
                <w:lang w:val="en-US" w:eastAsia="zh-CN"/>
                <w:highlight w:val="none"/>
              </w:rPr>
              <w:t>26</w:t>
            </w:r>
            <w:r>
              <w:rPr>
                <w:rFonts w:ascii="Times New Roman" w:eastAsia="宋体" w:cs="Times New Roman" w:hAnsi="Times New Roman" w:hint="eastAsia"/>
                <w:b/>
                <w:bCs/>
                <w:color w:val="auto"/>
                <w:sz w:val="24"/>
                <w:highlight w:val="none"/>
              </w:rPr>
              <w:t xml:space="preserve">  与《河北省废铅蓄电池集中收集和跨区域转运制度试点工作方案》符合性分析一览表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0"/>
              <w:gridCol w:w="3365"/>
              <w:gridCol w:w="2746"/>
              <w:gridCol w:w="707"/>
            </w:tblGrid>
            <w:tr>
              <w:trPr>
                <w:cantSplit/>
                <w:trHeight w:val="318"/>
                <w:tblHeader/>
              </w:trPr>
              <w:tc>
                <w:tcPr>
                  <w:tcW w:w="513" w:type="pct"/>
                  <w:vAlign w:val="center"/>
                </w:tcPr>
                <w:p>
                  <w:pPr>
                    <w:snapToGrid w:val="0"/>
                    <w:jc w:val="center"/>
                    <w:rPr>
                      <w:rFonts w:hint="eastAsia"/>
                      <w:b/>
                      <w:color w:val="auto"/>
                      <w:szCs w:val="21"/>
                    </w:rPr>
                  </w:pPr>
                  <w:r>
                    <w:rPr>
                      <w:rFonts w:hint="eastAsia"/>
                      <w:b/>
                      <w:color w:val="auto"/>
                      <w:szCs w:val="21"/>
                    </w:rPr>
                    <w:t>项目</w:t>
                  </w:r>
                </w:p>
              </w:tc>
              <w:tc>
                <w:tcPr>
                  <w:tcW w:w="2214" w:type="pct"/>
                  <w:vAlign w:val="center"/>
                </w:tcPr>
                <w:p>
                  <w:pPr>
                    <w:snapToGrid w:val="0"/>
                    <w:jc w:val="center"/>
                    <w:rPr>
                      <w:rFonts w:hint="eastAsia"/>
                      <w:b/>
                      <w:color w:val="auto"/>
                      <w:szCs w:val="21"/>
                    </w:rPr>
                  </w:pPr>
                  <w:r>
                    <w:rPr>
                      <w:rFonts w:hint="eastAsia"/>
                      <w:b/>
                      <w:color w:val="auto"/>
                      <w:szCs w:val="21"/>
                    </w:rPr>
                    <w:t>规范要求</w:t>
                  </w:r>
                </w:p>
              </w:tc>
              <w:tc>
                <w:tcPr>
                  <w:tcW w:w="1807" w:type="pct"/>
                  <w:vAlign w:val="center"/>
                </w:tcPr>
                <w:p>
                  <w:pPr>
                    <w:snapToGrid w:val="0"/>
                    <w:jc w:val="center"/>
                    <w:rPr>
                      <w:rFonts w:hint="eastAsia"/>
                      <w:b/>
                      <w:color w:val="auto"/>
                      <w:szCs w:val="21"/>
                    </w:rPr>
                  </w:pPr>
                  <w:r>
                    <w:rPr>
                      <w:rFonts w:hint="eastAsia"/>
                      <w:b/>
                      <w:color w:val="auto"/>
                      <w:szCs w:val="21"/>
                    </w:rPr>
                    <w:t>项目建设条件</w:t>
                  </w:r>
                </w:p>
              </w:tc>
              <w:tc>
                <w:tcPr>
                  <w:tcW w:w="465" w:type="pct"/>
                  <w:vAlign w:val="center"/>
                </w:tcPr>
                <w:p>
                  <w:pPr>
                    <w:snapToGrid w:val="0"/>
                    <w:jc w:val="center"/>
                    <w:rPr>
                      <w:rFonts w:hint="eastAsia"/>
                      <w:b/>
                      <w:color w:val="auto"/>
                      <w:szCs w:val="21"/>
                    </w:rPr>
                  </w:pPr>
                  <w:r>
                    <w:rPr>
                      <w:rFonts w:hint="eastAsia"/>
                      <w:b/>
                      <w:color w:val="auto"/>
                      <w:szCs w:val="21"/>
                    </w:rPr>
                    <w:t>相符性</w:t>
                  </w:r>
                </w:p>
              </w:tc>
            </w:tr>
            <w:tr>
              <w:trPr>
                <w:cantSplit/>
                <w:trHeight w:val="318"/>
              </w:trPr>
              <w:tc>
                <w:tcPr>
                  <w:tcW w:w="513" w:type="pct"/>
                  <w:vAlign w:val="center"/>
                </w:tcPr>
                <w:p>
                  <w:pPr>
                    <w:adjustRightInd w:val="0"/>
                    <w:snapToGrid w:val="0"/>
                    <w:jc w:val="center"/>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建立废铅蓄电池集中收集体系</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收集网点可以利用现有场所暂时存放少量的废铅蓄电池，但应当划分出专门存放区域，采取防止废铅蓄电池破损及酸液泄漏的措施，并在显著位置张贴废铅蓄电池收集提示性信息。根据环境风险大小将废铅蓄电池分为两类管理</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未破损的密封式免维护废铅蓄电池(以下简称第I类废铅蓄电池)</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开口式废铅蓄电池和破损的密封式免维护废铅蓄电池(以下简称第II类废铅蓄电池)。第II类废铅蓄电池应当放置在耐腐蚀、不易破损变形的专用容器内，防止酸液泄漏造成环境污染。</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ascii="Times New Roman" w:eastAsia="宋体" w:cs="Times New Roman" w:hAnsi="Times New Roman"/>
                      <w:color w:val="auto"/>
                      <w:highlight w:val="none"/>
                    </w:rPr>
                    <w:t>本项目</w:t>
                  </w:r>
                  <w:r>
                    <w:rPr>
                      <w:rFonts w:cs="Times New Roman" w:hint="eastAsia"/>
                      <w:color w:val="auto"/>
                      <w:lang w:eastAsia="zh-CN"/>
                      <w:highlight w:val="none"/>
                    </w:rPr>
                    <w:t>为废铅蓄电池中转项目，主要收集未破损的密封式废铅蓄电池（</w:t>
                  </w:r>
                  <w:r>
                    <w:rPr>
                      <w:rFonts w:ascii="Times New Roman" w:eastAsia="宋体" w:cs="Times New Roman" w:hAnsi="Times New Roman" w:hint="eastAsia"/>
                      <w:color w:val="auto"/>
                      <w:lang w:val="en-US" w:eastAsia="zh-CN"/>
                      <w:highlight w:val="none"/>
                    </w:rPr>
                    <w:t>第I类废铅蓄电池</w:t>
                  </w:r>
                  <w:r>
                    <w:rPr>
                      <w:rFonts w:cs="Times New Roman" w:hint="eastAsia"/>
                      <w:color w:val="auto"/>
                      <w:lang w:eastAsia="zh-CN"/>
                      <w:highlight w:val="none"/>
                    </w:rPr>
                    <w:t>），分拣过程中发现的破损电池按</w:t>
                  </w:r>
                  <w:r>
                    <w:rPr>
                      <w:rFonts w:ascii="Times New Roman" w:eastAsia="宋体" w:cs="Times New Roman" w:hAnsi="Times New Roman" w:hint="eastAsia"/>
                      <w:color w:val="auto"/>
                      <w:lang w:val="en-US" w:eastAsia="zh-CN"/>
                      <w:highlight w:val="none"/>
                    </w:rPr>
                    <w:t>第II类废铅蓄电池</w:t>
                  </w:r>
                  <w:r>
                    <w:rPr>
                      <w:rFonts w:cs="Times New Roman" w:hint="eastAsia"/>
                      <w:color w:val="auto"/>
                      <w:lang w:val="en-US" w:eastAsia="zh-CN"/>
                      <w:highlight w:val="none"/>
                    </w:rPr>
                    <w:t>管理，</w:t>
                  </w:r>
                  <w:r>
                    <w:rPr>
                      <w:rFonts w:ascii="Times New Roman" w:eastAsia="宋体" w:cs="Times New Roman" w:hAnsi="Times New Roman" w:hint="eastAsia"/>
                      <w:color w:val="auto"/>
                      <w:lang w:val="en-US" w:eastAsia="zh-CN"/>
                      <w:highlight w:val="none"/>
                    </w:rPr>
                    <w:t>放置在耐腐蚀、不易破损变形的专用容器内，防止酸液泄漏造成环境污染</w:t>
                  </w:r>
                  <w:r>
                    <w:rPr>
                      <w:rFonts w:cs="Times New Roman" w:hint="eastAsia"/>
                      <w:color w:val="auto"/>
                      <w:lang w:eastAsia="zh-CN"/>
                      <w:highlight w:val="none"/>
                    </w:rPr>
                    <w:t>。</w:t>
                  </w:r>
                </w:p>
              </w:tc>
              <w:tc>
                <w:tcPr>
                  <w:tcW w:w="465" w:type="pct"/>
                  <w:vAlign w:val="center"/>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color w:val="auto"/>
                      <w:highlight w:val="none"/>
                    </w:rPr>
                    <w:t>符合</w:t>
                  </w:r>
                </w:p>
              </w:tc>
            </w:tr>
            <w:tr>
              <w:trPr>
                <w:cantSplit/>
                <w:trHeight w:val="318"/>
              </w:trPr>
              <w:tc>
                <w:tcPr>
                  <w:tcW w:w="513" w:type="pct"/>
                  <w:vAlign w:val="center"/>
                </w:tcPr>
                <w:p>
                  <w:pPr>
                    <w:adjustRightInd w:val="0"/>
                    <w:snapToGrid w:val="0"/>
                    <w:jc w:val="center"/>
                    <w:rPr>
                      <w:rFonts w:cs="Times New Roman" w:hint="eastAsia"/>
                      <w:color w:val="auto"/>
                      <w:lang w:eastAsia="zh-CN"/>
                      <w:highlight w:val="none"/>
                    </w:rPr>
                  </w:pPr>
                  <w:r>
                    <w:rPr>
                      <w:rFonts w:ascii="Times New Roman" w:eastAsia="宋体" w:cs="Times New Roman" w:hAnsi="Times New Roman" w:hint="eastAsia"/>
                      <w:color w:val="auto"/>
                      <w:lang w:val="en-US" w:eastAsia="zh-CN"/>
                      <w:highlight w:val="none"/>
                    </w:rPr>
                    <w:t>规范废铅蓄电池转运管理要求</w:t>
                  </w:r>
                </w:p>
              </w:tc>
              <w:tc>
                <w:tcPr>
                  <w:tcW w:w="2214" w:type="pct"/>
                </w:tcPr>
                <w:p>
                  <w:pPr>
                    <w:adjustRightInd w:val="0"/>
                    <w:snapToGrid w:val="0"/>
                    <w:jc w:val="both"/>
                    <w:rPr>
                      <w:rFonts w:ascii="Times New Roman" w:eastAsia="宋体" w:cs="Times New Roman" w:hAnsi="Times New Roman" w:hint="eastAsia"/>
                      <w:color w:val="auto"/>
                      <w:highlight w:val="none"/>
                    </w:rPr>
                  </w:pPr>
                  <w:r>
                    <w:rPr>
                      <w:rFonts w:ascii="Times New Roman" w:eastAsia="宋体" w:cs="Times New Roman" w:hAnsi="Times New Roman" w:hint="eastAsia"/>
                      <w:color w:val="auto"/>
                      <w:lang w:val="en-US" w:eastAsia="zh-CN"/>
                      <w:highlight w:val="none"/>
                    </w:rPr>
                    <w:t>收集网点向集中转运点转移第I类废铅蓄电池，应当做好台账记录，如实记录废铅蓄电池的数量、重量、来源、去向等信息。收集网点向集中转运点转移第I类废铅蓄电池的，以及企业事业工业源产废单位向集中转运点、集中转运点向废铅蓄电池利用处置单位转移废铅蓄电池的，应填写危险废物转移联单，危险废物转移联单中，应根据《危险货物道路运输规则》(JT/T617)注明废铅蓄电池对应的危险货物联合国编号。</w:t>
                  </w:r>
                </w:p>
              </w:tc>
              <w:tc>
                <w:tcPr>
                  <w:tcW w:w="1807" w:type="pct"/>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本项目不涉及运输，委托专业、有资质单位进行运输。</w:t>
                  </w:r>
                </w:p>
              </w:tc>
              <w:tc>
                <w:tcPr>
                  <w:tcW w:w="465" w:type="pct"/>
                  <w:vAlign w:val="center"/>
                </w:tcPr>
                <w:p>
                  <w:pPr>
                    <w:adjustRightInd w:val="0"/>
                    <w:snapToGrid w:val="0"/>
                    <w:jc w:val="both"/>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Merge w:val="restart"/>
                  <w:vAlign w:val="center"/>
                </w:tcPr>
                <w:p>
                  <w:pPr>
                    <w:adjustRightInd w:val="0"/>
                    <w:snapToGrid w:val="0"/>
                    <w:jc w:val="center"/>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强化废铅蓄电池收集转运信息化监督管理</w:t>
                  </w:r>
                </w:p>
              </w:tc>
              <w:tc>
                <w:tcPr>
                  <w:tcW w:w="2214" w:type="pct"/>
                </w:tcPr>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试点单位应建立废铅蓄电池收集处理数据信息管理系统，如实记录收集、贮存、转移废铅蓄电池的数量、重量、来源、去向等信息，并实现与全国固体废物管理信息系统和我省固体废物信息平台的数据对接。废铅蓄电池转移需要填写危险废物转移联单的，应当通过我省固体废物信息平台运行危险废物电子转移联单</w:t>
                  </w:r>
                  <w:r>
                    <w:rPr>
                      <w:rFonts w:cs="Times New Roman" w:hint="eastAsia"/>
                      <w:color w:val="auto"/>
                      <w:lang w:val="en-US" w:eastAsia="zh-CN"/>
                      <w:highlight w:val="none"/>
                    </w:rPr>
                    <w:t>。</w:t>
                  </w:r>
                </w:p>
              </w:tc>
              <w:tc>
                <w:tcPr>
                  <w:tcW w:w="1807"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w:t>
                  </w:r>
                  <w:r>
                    <w:rPr>
                      <w:rFonts w:ascii="Times New Roman" w:eastAsia="宋体" w:cs="Times New Roman" w:hAnsi="Times New Roman" w:hint="eastAsia"/>
                      <w:color w:val="auto"/>
                      <w:lang w:val="en-US" w:eastAsia="zh-CN"/>
                      <w:highlight w:val="none"/>
                    </w:rPr>
                    <w:t>如实记录收集、贮存、转移废铅蓄电池的数量、重量、来源、去向等信息</w:t>
                  </w:r>
                  <w:r>
                    <w:rPr>
                      <w:rFonts w:cs="Times New Roman" w:hint="eastAsia"/>
                      <w:color w:val="auto"/>
                      <w:lang w:val="en-US" w:eastAsia="zh-CN"/>
                      <w:highlight w:val="none"/>
                    </w:rPr>
                    <w:t>，</w:t>
                  </w:r>
                  <w:r>
                    <w:rPr>
                      <w:rFonts w:ascii="Times New Roman" w:eastAsia="宋体" w:cs="Times New Roman" w:hAnsi="Times New Roman" w:hint="eastAsia"/>
                      <w:color w:val="auto"/>
                      <w:lang w:val="en-US" w:eastAsia="zh-CN"/>
                      <w:highlight w:val="none"/>
                    </w:rPr>
                    <w:t>转移</w:t>
                  </w:r>
                  <w:r>
                    <w:rPr>
                      <w:rFonts w:cs="Times New Roman" w:hint="eastAsia"/>
                      <w:color w:val="auto"/>
                      <w:lang w:val="en-US" w:eastAsia="zh-CN"/>
                      <w:highlight w:val="none"/>
                    </w:rPr>
                    <w:t>过程填写</w:t>
                  </w:r>
                  <w:r>
                    <w:rPr>
                      <w:rFonts w:ascii="Times New Roman" w:eastAsia="宋体" w:cs="Times New Roman" w:hAnsi="Times New Roman" w:hint="eastAsia"/>
                      <w:color w:val="auto"/>
                      <w:lang w:val="en-US" w:eastAsia="zh-CN"/>
                      <w:highlight w:val="none"/>
                    </w:rPr>
                    <w:t>危险废物转移联单</w:t>
                  </w:r>
                  <w:r>
                    <w:rPr>
                      <w:rFonts w:cs="Times New Roman" w:hint="eastAsia"/>
                      <w:color w:val="auto"/>
                      <w:lang w:val="en-US" w:eastAsia="zh-CN"/>
                      <w:highlight w:val="none"/>
                    </w:rPr>
                    <w:t>。</w:t>
                  </w:r>
                </w:p>
              </w:tc>
              <w:tc>
                <w:tcPr>
                  <w:tcW w:w="465" w:type="pct"/>
                  <w:vAlign w:val="center"/>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符合</w:t>
                  </w:r>
                </w:p>
              </w:tc>
            </w:tr>
            <w:tr>
              <w:trPr>
                <w:cantSplit/>
                <w:trHeight w:val="318"/>
              </w:trPr>
              <w:tc>
                <w:tcPr>
                  <w:tcW w:w="513" w:type="pct"/>
                  <w:vMerge/>
                  <w:vAlign w:val="center"/>
                </w:tcPr>
                <w:p/>
              </w:tc>
              <w:tc>
                <w:tcPr>
                  <w:tcW w:w="2214" w:type="pct"/>
                </w:tcPr>
                <w:p>
                  <w:pPr>
                    <w:adjustRightInd w:val="0"/>
                    <w:snapToGrid w:val="0"/>
                    <w:jc w:val="both"/>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各收集试点单位的集中转运点应按照原省环保厅《关于建设全省危险废物智能监控体系的通知》(冀环办发[2017]112号)要求建设智能监控系统。鼓励有条件的收集网点配置视频录像设备，通过平台将收集到的废铅蓄电池信息、运输车辆信息、收集网点和回收中心信息及跨区域转移信息集成，实现废铅蓄电池流转全过程可视化管理。</w:t>
                  </w:r>
                </w:p>
              </w:tc>
              <w:tc>
                <w:tcPr>
                  <w:tcW w:w="1807" w:type="pct"/>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本项目按要求</w:t>
                  </w:r>
                  <w:r>
                    <w:rPr>
                      <w:rFonts w:ascii="Times New Roman" w:eastAsia="宋体" w:cs="Times New Roman" w:hAnsi="Times New Roman" w:hint="eastAsia"/>
                      <w:color w:val="auto"/>
                      <w:lang w:val="en-US" w:eastAsia="zh-CN"/>
                      <w:highlight w:val="none"/>
                    </w:rPr>
                    <w:t>建设智能监控系统</w:t>
                  </w:r>
                  <w:r>
                    <w:rPr>
                      <w:rFonts w:cs="Times New Roman" w:hint="eastAsia"/>
                      <w:color w:val="auto"/>
                      <w:lang w:val="en-US" w:eastAsia="zh-CN"/>
                      <w:highlight w:val="none"/>
                    </w:rPr>
                    <w:t>。</w:t>
                  </w:r>
                </w:p>
              </w:tc>
              <w:tc>
                <w:tcPr>
                  <w:tcW w:w="465" w:type="pct"/>
                  <w:vAlign w:val="center"/>
                </w:tcPr>
                <w:p>
                  <w:pPr>
                    <w:adjustRightInd w:val="0"/>
                    <w:snapToGrid w:val="0"/>
                    <w:jc w:val="both"/>
                    <w:rPr>
                      <w:rFonts w:cs="Times New Roman" w:hint="eastAsia"/>
                      <w:color w:val="auto"/>
                      <w:lang w:eastAsia="zh-CN"/>
                      <w:highlight w:val="none"/>
                    </w:rPr>
                  </w:pPr>
                  <w:r>
                    <w:rPr>
                      <w:rFonts w:cs="Times New Roman" w:hint="eastAsia"/>
                      <w:color w:val="auto"/>
                      <w:lang w:eastAsia="zh-CN"/>
                      <w:highlight w:val="none"/>
                    </w:rPr>
                    <w:t>符合</w:t>
                  </w:r>
                </w:p>
              </w:tc>
            </w:tr>
          </w:tbl>
          <w:p>
            <w:pPr>
              <w:tabs>
                <w:tab w:val="left" w:pos="6521"/>
              </w:tabs>
              <w:spacing w:line="460" w:lineRule="exact"/>
              <w:ind w:firstLineChars="200" w:firstLine="480"/>
              <w:rPr>
                <w:rFonts w:ascii="Times New Roman" w:cs="Times New Roman" w:hAnsi="Times New Roman"/>
                <w:color w:val="auto"/>
                <w:sz w:val="24"/>
                <w:highlight w:val="yellow"/>
              </w:rPr>
            </w:pPr>
            <w:r>
              <w:rPr>
                <w:rFonts w:ascii="Times New Roman" w:cs="Times New Roman" w:hAnsi="Times New Roman"/>
                <w:color w:val="auto"/>
                <w:sz w:val="24"/>
                <w:highlight w:val="none"/>
              </w:rPr>
              <w:t>综上所述，本项目符合</w:t>
            </w:r>
            <w:r>
              <w:rPr>
                <w:rFonts w:ascii="Times New Roman" w:eastAsia="宋体" w:cs="Times New Roman" w:hAnsi="Times New Roman" w:hint="eastAsia"/>
                <w:color w:val="auto"/>
                <w:kern w:val="2"/>
                <w:sz w:val="24"/>
                <w:szCs w:val="24"/>
                <w:lang w:val="en-US" w:eastAsia="zh-CN" w:bidi="ar-SA"/>
                <w:highlight w:val="none"/>
              </w:rPr>
              <w:t>《危险废物贮存污染控制标准》（GB 18597-2023）</w:t>
            </w:r>
            <w:r>
              <w:rPr>
                <w:rFonts w:cs="Times New Roman" w:hint="eastAsia"/>
                <w:color w:val="auto"/>
                <w:kern w:val="2"/>
                <w:sz w:val="24"/>
                <w:szCs w:val="24"/>
                <w:lang w:val="en-US" w:eastAsia="zh-CN" w:bidi="ar-SA"/>
                <w:highlight w:val="none"/>
              </w:rPr>
              <w:t>、</w:t>
            </w:r>
            <w:r>
              <w:rPr>
                <w:rFonts w:ascii="Times New Roman" w:cs="Times New Roman" w:hAnsi="Times New Roman"/>
                <w:color w:val="auto"/>
                <w:sz w:val="24"/>
                <w:highlight w:val="none"/>
              </w:rPr>
              <w:t>《电池废料贮运规范》（GB/T26493-2011）</w:t>
            </w:r>
            <w:r>
              <w:rPr>
                <w:rFonts w:cs="Times New Roman" w:hint="eastAsia"/>
                <w:color w:val="auto"/>
                <w:sz w:val="24"/>
                <w:lang w:eastAsia="zh-CN"/>
                <w:highlight w:val="none"/>
              </w:rPr>
              <w:t>、</w:t>
            </w:r>
            <w:r>
              <w:rPr>
                <w:rFonts w:ascii="Times New Roman" w:cs="Times New Roman" w:hAnsi="Times New Roman"/>
                <w:color w:val="auto"/>
                <w:sz w:val="24"/>
                <w:highlight w:val="none"/>
              </w:rPr>
              <w:t>《废电池污染防治技术政策》</w:t>
            </w:r>
            <w:r>
              <w:rPr>
                <w:rFonts w:cs="Times New Roman" w:hint="eastAsia"/>
                <w:color w:val="auto"/>
                <w:sz w:val="24"/>
                <w:lang w:eastAsia="zh-CN"/>
                <w:highlight w:val="none"/>
              </w:rPr>
              <w:t>、</w:t>
            </w:r>
            <w:r>
              <w:rPr>
                <w:rFonts w:ascii="Times New Roman" w:eastAsia="宋体" w:cs="Times New Roman" w:hAnsi="Times New Roman"/>
                <w:color w:val="auto"/>
                <w:kern w:val="2"/>
                <w:sz w:val="24"/>
                <w:szCs w:val="24"/>
                <w:lang w:val="en-US" w:eastAsia="zh-CN" w:bidi="ar-SA"/>
                <w:highlight w:val="none"/>
              </w:rPr>
              <w:t>《废铅蓄电池危险废物经营单位审查和许可指南（试行）》</w:t>
            </w:r>
            <w:r>
              <w:rPr>
                <w:rFonts w:ascii="Times New Roman" w:eastAsia="宋体" w:cs="Times New Roman" w:hAnsi="Times New Roman" w:hint="eastAsia"/>
                <w:color w:val="auto"/>
                <w:kern w:val="2"/>
                <w:sz w:val="24"/>
                <w:szCs w:val="24"/>
                <w:lang w:val="en-US" w:eastAsia="zh-CN" w:bidi="ar-SA"/>
                <w:highlight w:val="none"/>
              </w:rPr>
              <w:t>、</w:t>
            </w:r>
            <w:r>
              <w:rPr>
                <w:rFonts w:ascii="Times New Roman" w:cs="Times New Roman" w:hAnsi="Times New Roman"/>
                <w:color w:val="auto"/>
                <w:sz w:val="24"/>
                <w:highlight w:val="none"/>
              </w:rPr>
              <w:t>《废铅酸蓄电池回收技术规范》（GB/T37281-2019）</w:t>
            </w:r>
            <w:r>
              <w:rPr>
                <w:rFonts w:cs="Times New Roman" w:hint="eastAsia"/>
                <w:color w:val="auto"/>
                <w:sz w:val="24"/>
                <w:lang w:eastAsia="zh-CN"/>
                <w:highlight w:val="none"/>
              </w:rPr>
              <w:t>、</w:t>
            </w:r>
            <w:r>
              <w:rPr>
                <w:rFonts w:ascii="Times New Roman" w:eastAsia="宋体" w:cs="Times New Roman" w:hAnsi="Times New Roman" w:hint="eastAsia"/>
                <w:color w:val="auto"/>
                <w:kern w:val="2"/>
                <w:sz w:val="24"/>
                <w:szCs w:val="24"/>
                <w:lang w:val="en-US" w:eastAsia="zh-CN" w:bidi="ar-SA"/>
                <w:highlight w:val="none"/>
              </w:rPr>
              <w:t>《废铅蓄电池处理污染控制技术规范》（HJ 519—2020）</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《河北省环境保护厅办公室关于建设全省危险废物智能监控体系的通知》（冀环办发【2017】112号）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《河北省废铅蓄电池污染专项整治工作方案》（冀土领办[2019]1号）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《关于进一步加强全省废铅蓄电池环境管理工作的指导意见》</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冀环固体〔2021〕368号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《国务院办公厅关于印发强化危险废物监管和利用处置能力改革实施方案的通知》（国办函[2021]47号）</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废旧电池回收技术规范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GB/T39224-2020</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废铅蓄电池污染防治行动方案</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环办固体〔2019〕3号</w:t>
            </w:r>
            <w:r>
              <w:rPr>
                <w:rFonts w:cs="Times New Roman" w:hint="eastAsia"/>
                <w:color w:val="auto"/>
                <w:kern w:val="2"/>
                <w:sz w:val="24"/>
                <w:szCs w:val="24"/>
                <w:lang w:val="en-US" w:eastAsia="zh-CN" w:bidi="ar-SA"/>
                <w:highlight w:val="none"/>
              </w:rPr>
              <w:t>）、《河北省废铅蓄电池集中收集和跨区域转运制度试点工作方案》等</w:t>
            </w:r>
            <w:r>
              <w:rPr>
                <w:rFonts w:ascii="Times New Roman" w:cs="Times New Roman" w:hAnsi="Times New Roman"/>
                <w:color w:val="auto"/>
                <w:sz w:val="24"/>
                <w:highlight w:val="none"/>
              </w:rPr>
              <w:t>相关要求。</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tc>
      </w:tr>
    </w:tbl>
    <w:p>
      <w:pPr>
        <w:pStyle w:val="35"/>
        <w:jc w:val="center"/>
        <w:rPr>
          <w:rFonts w:ascii="黑体" w:eastAsia="黑体" w:hAnsi="黑体" w:hint="eastAsia"/>
          <w:snapToGrid w:val="0"/>
          <w:color w:val="auto"/>
          <w:sz w:val="30"/>
          <w:szCs w:val="30"/>
          <w:highlight w:val="none"/>
        </w:rPr>
        <w:sectPr>
          <w:footerReference w:type="default" r:id="rId4"/>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start="1"/>
          <w:cols w:num="1" w:space="720"/>
          <w:docGrid w:linePitch="312" w:charSpace="0"/>
        </w:sectPr>
      </w:pPr>
    </w:p>
    <w:p>
      <w:pPr>
        <w:pStyle w:val="35"/>
        <w:jc w:val="center"/>
        <w:outlineLvl w:val="0"/>
        <w:rPr>
          <w:rFonts w:ascii="黑体" w:eastAsia="黑体" w:hAnsi="黑体" w:hint="eastAsia"/>
          <w:snapToGrid w:val="0"/>
          <w:color w:val="auto"/>
          <w:sz w:val="30"/>
          <w:szCs w:val="30"/>
          <w:highlight w:val="none"/>
        </w:rPr>
      </w:pPr>
      <w:bookmarkStart w:id="33" w:name="_Toc2463"/>
      <w:bookmarkStart w:id="34" w:name="_Toc9990"/>
      <w:bookmarkStart w:id="35" w:name="_Toc7286"/>
      <w:bookmarkStart w:id="36" w:name="_Toc20783"/>
      <w:bookmarkStart w:id="37" w:name="_Toc25921"/>
      <w:r>
        <w:rPr>
          <w:rFonts w:ascii="黑体" w:eastAsia="黑体" w:hAnsi="黑体" w:hint="eastAsia"/>
          <w:snapToGrid w:val="0"/>
          <w:color w:val="auto"/>
          <w:sz w:val="30"/>
          <w:szCs w:val="30"/>
          <w:highlight w:val="none"/>
        </w:rPr>
        <w:t>二、建设项目工程分析</w:t>
      </w:r>
      <w:bookmarkEnd w:id="33"/>
      <w:bookmarkEnd w:id="34"/>
      <w:bookmarkEnd w:id="35"/>
      <w:bookmarkEnd w:id="36"/>
      <w:bookmarkEnd w:id="37"/>
    </w:p>
    <w:tbl>
      <w:tblPr>
        <w:jc w:val="cente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19"/>
        <w:gridCol w:w="8330"/>
      </w:tblGrid>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color w:val="auto"/>
                <w:szCs w:val="24"/>
                <w:highlight w:val="none"/>
              </w:rPr>
              <w:t>建设内容</w:t>
            </w:r>
          </w:p>
        </w:tc>
        <w:tc>
          <w:tcPr>
            <w:tcW w:w="4602" w:type="pct"/>
            <w:vAlign w:val="center"/>
          </w:tcPr>
          <w:p>
            <w:pPr>
              <w:keepNext w:val="0"/>
              <w:keepLines w:val="0"/>
              <w:pageBreakBefore w:val="0"/>
              <w:kinsoku/>
              <w:wordWrap/>
              <w:overflowPunct/>
              <w:topLinePunct w:val="0"/>
              <w:autoSpaceDE/>
              <w:autoSpaceDN/>
              <w:bidi w:val="0"/>
              <w:spacing w:line="460" w:lineRule="exact"/>
              <w:ind w:firstLineChars="200" w:firstLine="480"/>
              <w:rPr>
                <w:rFonts w:eastAsia="宋体"/>
                <w:b/>
                <w:color w:val="auto"/>
                <w:sz w:val="24"/>
                <w:lang w:val="en-US" w:eastAsia="zh-CN"/>
                <w:highlight w:val="none"/>
              </w:rPr>
            </w:pPr>
            <w:r>
              <w:rPr>
                <w:rFonts w:hint="eastAsia"/>
                <w:b/>
                <w:color w:val="auto"/>
                <w:sz w:val="24"/>
                <w:lang w:val="en-US" w:eastAsia="zh-CN"/>
                <w:highlight w:val="none"/>
              </w:rPr>
              <w:t>1、项目由来</w:t>
            </w:r>
          </w:p>
          <w:p>
            <w:pPr>
              <w:keepNext w:val="0"/>
              <w:keepLines w:val="0"/>
              <w:pageBreakBefore w:val="0"/>
              <w:widowControl/>
              <w:suppressLineNumbers w:val="0"/>
              <w:kinsoku/>
              <w:wordWrap/>
              <w:overflowPunct/>
              <w:topLinePunct w:val="0"/>
              <w:autoSpaceDE/>
              <w:autoSpaceDN/>
              <w:bidi w:val="0"/>
              <w:spacing w:line="460" w:lineRule="exact"/>
              <w:ind w:firstLineChars="200" w:firstLine="480"/>
              <w:jc w:val="both"/>
              <w:textAlignment w:val="auto"/>
              <w:rPr>
                <w:color w:val="auto"/>
                <w:sz w:val="24"/>
                <w:lang w:val="en-US" w:eastAsia="zh-CN"/>
                <w:highlight w:val="yellow"/>
              </w:rPr>
            </w:pPr>
            <w:r>
              <w:rPr>
                <w:rFonts w:hint="eastAsia"/>
                <w:color w:val="auto"/>
                <w:sz w:val="24"/>
                <w:lang w:eastAsia="zh-CN"/>
                <w:highlight w:val="none"/>
              </w:rPr>
              <w:t>铅蓄电池凭借性能稳定、成本低廉、适配大电流放电等优势，广泛应用于车辆、通信基站、不间断电源、基础设施的‌备用电源‌和‌应急动力源、储能设备等领域。随着我国机动车保有量持续增长、通信与储能产业不断发展、数据中心和电子政务系统逐步提升，铅蓄电池的需求量也不断攀升。铅蓄电池设计使用寿命普遍在2～4年，因此，每年持续产生大量退役废旧电池，形成稳定、刚性的资源供给市场。为此，河北嘉道环保科技有限公司拟投资</w:t>
            </w:r>
            <w:r>
              <w:rPr>
                <w:rFonts w:hint="eastAsia"/>
                <w:color w:val="auto"/>
                <w:sz w:val="24"/>
                <w:lang w:val="en-US" w:eastAsia="zh-CN"/>
                <w:highlight w:val="none"/>
              </w:rPr>
              <w:t>150万元建设</w:t>
            </w:r>
            <w:r>
              <w:rPr>
                <w:rFonts w:hint="eastAsia"/>
                <w:color w:val="auto"/>
                <w:sz w:val="24"/>
                <w:lang w:eastAsia="zh-CN"/>
                <w:highlight w:val="none"/>
              </w:rPr>
              <w:t>废旧电池中转项目。本项目废旧铅蓄电池主要来源于园区、医院、机关单位等部门退役的废铅蓄电池，由专业单位转运至本项目厂区。本项目仅对废旧铅蓄电池进行贮存，不涉及运输和拆解，贮存后由有资质单位进行后续处理。</w:t>
            </w:r>
          </w:p>
          <w:p>
            <w:pPr>
              <w:keepNext w:val="0"/>
              <w:keepLines w:val="0"/>
              <w:pageBreakBefore w:val="0"/>
              <w:widowControl/>
              <w:suppressLineNumbers w:val="0"/>
              <w:kinsoku/>
              <w:wordWrap/>
              <w:overflowPunct/>
              <w:topLinePunct w:val="0"/>
              <w:autoSpaceDE/>
              <w:autoSpaceDN/>
              <w:bidi w:val="0"/>
              <w:spacing w:line="460" w:lineRule="exact"/>
              <w:ind w:firstLineChars="200" w:firstLine="480"/>
              <w:jc w:val="both"/>
              <w:textAlignment w:val="auto"/>
              <w:rPr>
                <w:rFonts w:ascii="Times New Roman" w:eastAsia="宋体" w:cs="Times New Roman" w:hAnsi="Times New Roman"/>
                <w:color w:val="auto"/>
                <w:kern w:val="0"/>
                <w:sz w:val="24"/>
                <w:szCs w:val="20"/>
                <w:lang w:val="en-US" w:eastAsia="zh-CN" w:bidi="ar-SA"/>
                <w:highlight w:val="none"/>
              </w:rPr>
            </w:pPr>
            <w:r>
              <w:rPr>
                <w:rFonts w:ascii="Times New Roman" w:eastAsia="宋体" w:cs="Times New Roman" w:hAnsi="Times New Roman"/>
                <w:color w:val="auto"/>
                <w:kern w:val="0"/>
                <w:sz w:val="24"/>
                <w:szCs w:val="20"/>
                <w:lang w:val="en-US" w:eastAsia="zh-CN" w:bidi="ar-SA"/>
                <w:highlight w:val="none"/>
              </w:rPr>
              <w:t>根据《中华人民共和国环境影响评价法》《建设项目环境保护管理条例》（国务院第682号令）及《建设项目环境影响评价分类管理目录（2021年版）》的有关规定，项目属于</w:t>
            </w:r>
            <w:r>
              <w:rPr>
                <w:rFonts w:cs="Times New Roman" w:hint="eastAsia"/>
                <w:color w:val="auto"/>
                <w:kern w:val="0"/>
                <w:sz w:val="24"/>
                <w:szCs w:val="20"/>
                <w:lang w:val="en-US" w:eastAsia="zh-CN" w:bidi="ar-SA"/>
                <w:highlight w:val="none"/>
              </w:rPr>
              <w:t>“</w:t>
            </w:r>
            <w:r>
              <w:rPr>
                <w:rFonts w:hint="eastAsia"/>
                <w:color w:val="auto"/>
                <w:sz w:val="24"/>
                <w:szCs w:val="24"/>
              </w:rPr>
              <w:t>四十七、生态保护和环境治理业101危险废物（不含医疗废物）利用及处置—其他</w:t>
            </w:r>
            <w:r>
              <w:rPr>
                <w:rFonts w:hint="eastAsia"/>
                <w:color w:val="auto"/>
                <w:sz w:val="24"/>
                <w:szCs w:val="24"/>
                <w:lang w:eastAsia="zh-CN"/>
              </w:rPr>
              <w:t>；五十三、装卸搬运和仓储业 59其他（含有毒、有害、危险品的仓储；含液化天然气库）</w:t>
            </w:r>
            <w:r>
              <w:rPr>
                <w:rFonts w:cs="Times New Roman" w:hint="eastAsia"/>
                <w:color w:val="auto"/>
                <w:kern w:val="0"/>
                <w:sz w:val="24"/>
                <w:szCs w:val="20"/>
                <w:lang w:val="en-US" w:eastAsia="zh-CN" w:bidi="ar-SA"/>
                <w:highlight w:val="none"/>
              </w:rPr>
              <w:t>”</w:t>
            </w:r>
            <w:r>
              <w:rPr>
                <w:rFonts w:ascii="Times New Roman" w:cs="Times New Roman" w:hAnsi="Times New Roman" w:hint="eastAsia"/>
                <w:color w:val="auto"/>
                <w:kern w:val="0"/>
                <w:sz w:val="24"/>
                <w:szCs w:val="20"/>
                <w:lang w:val="en-US" w:eastAsia="zh-CN" w:bidi="ar-SA"/>
                <w:highlight w:val="none"/>
              </w:rPr>
              <w:t>，</w:t>
            </w:r>
            <w:r>
              <w:rPr>
                <w:rFonts w:ascii="Times New Roman" w:eastAsia="宋体" w:cs="Times New Roman" w:hAnsi="Times New Roman"/>
                <w:color w:val="auto"/>
                <w:kern w:val="0"/>
                <w:sz w:val="24"/>
                <w:szCs w:val="20"/>
                <w:lang w:val="en-US" w:eastAsia="zh-CN" w:bidi="ar-SA"/>
                <w:highlight w:val="none"/>
              </w:rPr>
              <w:t>应编制环境影响报告表。</w:t>
            </w:r>
          </w:p>
          <w:p>
            <w:pPr>
              <w:pStyle w:val="16"/>
              <w:keepNext w:val="0"/>
              <w:keepLines w:val="0"/>
              <w:pageBreakBefore w:val="0"/>
              <w:kinsoku/>
              <w:wordWrap/>
              <w:overflowPunct/>
              <w:topLinePunct w:val="0"/>
              <w:autoSpaceDE/>
              <w:autoSpaceDN/>
              <w:bidi w:val="0"/>
              <w:spacing w:line="460" w:lineRule="exact"/>
              <w:ind w:firstLineChars="200" w:firstLine="480"/>
              <w:textAlignment w:val="auto"/>
              <w:rPr>
                <w:rFonts w:ascii="Times New Roman" w:hAnsi="Times New Roman" w:hint="eastAsia"/>
                <w:color w:val="auto"/>
                <w:sz w:val="24"/>
                <w:highlight w:val="none"/>
              </w:rPr>
            </w:pPr>
            <w:r>
              <w:rPr>
                <w:rFonts w:ascii="Calibri" w:eastAsia="宋体" w:cs="Times New Roman" w:hAnsi="Calibri" w:hint="eastAsia"/>
                <w:color w:val="auto"/>
                <w:kern w:val="0"/>
                <w:sz w:val="24"/>
                <w:szCs w:val="24"/>
                <w:lang w:val="en-US" w:eastAsia="zh-CN" w:bidi="ar-SA"/>
                <w:highlight w:val="none"/>
              </w:rPr>
              <w:t>为此，</w:t>
            </w:r>
            <w:r>
              <w:rPr>
                <w:rFonts w:cs="Times New Roman" w:hint="eastAsia"/>
                <w:color w:val="auto"/>
                <w:kern w:val="0"/>
                <w:sz w:val="24"/>
                <w:szCs w:val="24"/>
                <w:lang w:val="en-US" w:eastAsia="zh-CN" w:bidi="ar-SA"/>
                <w:highlight w:val="none"/>
              </w:rPr>
              <w:t>河北嘉道环保科技有限公司</w:t>
            </w:r>
            <w:r>
              <w:rPr>
                <w:rFonts w:ascii="Times New Roman" w:hAnsi="Times New Roman" w:hint="eastAsia"/>
                <w:color w:val="auto"/>
                <w:sz w:val="24"/>
                <w:highlight w:val="none"/>
              </w:rPr>
              <w:t>委托我单位承担该项目环境影响评价工作。我单位接受委托后，立即组织有关人员进行了现场踏勘、资料收集等工作，并依据《建设项目环境影响报告表编制技术指南（污染影响类）（试行）》的要求编制了该项目的环境影响报告表。</w:t>
            </w:r>
          </w:p>
          <w:p>
            <w:pPr>
              <w:keepNext w:val="0"/>
              <w:keepLines w:val="0"/>
              <w:pageBreakBefore w:val="0"/>
              <w:kinsoku/>
              <w:wordWrap/>
              <w:overflowPunct/>
              <w:topLinePunct w:val="0"/>
              <w:autoSpaceDE/>
              <w:autoSpaceDN/>
              <w:bidi w:val="0"/>
              <w:spacing w:line="460" w:lineRule="exact"/>
              <w:ind w:firstLineChars="200" w:firstLine="480"/>
              <w:rPr>
                <w:b/>
                <w:color w:val="auto"/>
                <w:sz w:val="24"/>
                <w:highlight w:val="none"/>
              </w:rPr>
            </w:pPr>
            <w:r>
              <w:rPr>
                <w:rFonts w:hint="eastAsia"/>
                <w:b/>
                <w:color w:val="auto"/>
                <w:sz w:val="24"/>
                <w:lang w:val="en-US" w:eastAsia="zh-CN"/>
                <w:highlight w:val="none"/>
              </w:rPr>
              <w:t>2</w:t>
            </w:r>
            <w:r>
              <w:rPr>
                <w:rFonts w:hint="eastAsia"/>
                <w:b/>
                <w:color w:val="auto"/>
                <w:sz w:val="24"/>
                <w:highlight w:val="none"/>
              </w:rPr>
              <w:t>、项目基本情况</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（1）项目名称：</w:t>
            </w:r>
            <w:r>
              <w:rPr>
                <w:rFonts w:hint="eastAsia"/>
                <w:color w:val="auto"/>
                <w:sz w:val="24"/>
                <w:lang w:eastAsia="zh-CN"/>
                <w:highlight w:val="none"/>
              </w:rPr>
              <w:t>河北嘉道环保科技有限公司废旧电池中转项目</w:t>
            </w:r>
            <w:r>
              <w:rPr>
                <w:rFonts w:hint="eastAsia"/>
                <w:color w:val="auto"/>
                <w:sz w:val="24"/>
                <w:highlight w:val="none"/>
              </w:rPr>
              <w:t>；</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（2）建设单位：</w:t>
            </w:r>
            <w:r>
              <w:rPr>
                <w:rFonts w:hint="eastAsia"/>
                <w:color w:val="auto"/>
                <w:sz w:val="24"/>
                <w:lang w:eastAsia="zh-CN"/>
                <w:highlight w:val="none"/>
              </w:rPr>
              <w:t>河北嘉道环保科技有限公司</w:t>
            </w:r>
            <w:r>
              <w:rPr>
                <w:rFonts w:hint="eastAsia"/>
                <w:color w:val="auto"/>
                <w:sz w:val="24"/>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（3）项目投资：总投资</w:t>
            </w:r>
            <w:r>
              <w:rPr>
                <w:rFonts w:hint="eastAsia"/>
                <w:color w:val="auto"/>
                <w:sz w:val="24"/>
                <w:lang w:val="en-US" w:eastAsia="zh-CN"/>
                <w:highlight w:val="none"/>
              </w:rPr>
              <w:t>150</w:t>
            </w:r>
            <w:r>
              <w:rPr>
                <w:rFonts w:hint="eastAsia"/>
                <w:color w:val="auto"/>
                <w:sz w:val="24"/>
                <w:highlight w:val="none"/>
              </w:rPr>
              <w:t>万元，其中环保投资</w:t>
            </w:r>
            <w:r>
              <w:rPr>
                <w:rFonts w:hint="eastAsia"/>
                <w:color w:val="auto"/>
                <w:sz w:val="24"/>
                <w:lang w:val="en-US" w:eastAsia="zh-CN"/>
                <w:highlight w:val="none"/>
              </w:rPr>
              <w:t>30</w:t>
            </w:r>
            <w:r>
              <w:rPr>
                <w:rFonts w:hint="eastAsia"/>
                <w:color w:val="auto"/>
                <w:sz w:val="24"/>
                <w:highlight w:val="none"/>
              </w:rPr>
              <w:t>万元，占总投资的</w:t>
            </w:r>
            <w:r>
              <w:rPr>
                <w:rFonts w:hint="eastAsia"/>
                <w:color w:val="auto"/>
                <w:sz w:val="24"/>
                <w:lang w:val="en-US" w:eastAsia="zh-CN"/>
                <w:highlight w:val="none"/>
              </w:rPr>
              <w:t>20</w:t>
            </w:r>
            <w:r>
              <w:rPr>
                <w:rFonts w:hint="eastAsia"/>
                <w:color w:val="auto"/>
                <w:sz w:val="24"/>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lang w:val="en-US"/>
                <w:highlight w:val="none"/>
              </w:rPr>
            </w:pPr>
            <w:r>
              <w:rPr>
                <w:rFonts w:hint="eastAsia"/>
                <w:color w:val="auto"/>
                <w:sz w:val="24"/>
                <w:highlight w:val="none"/>
              </w:rPr>
              <w:t>（4）建设地点及周边关系：项目位于</w:t>
            </w:r>
            <w:r>
              <w:rPr>
                <w:rFonts w:cs="Times New Roman" w:hint="eastAsia"/>
                <w:color w:val="auto"/>
                <w:sz w:val="24"/>
                <w:lang w:eastAsia="zh-CN"/>
                <w:highlight w:val="none"/>
              </w:rPr>
              <w:t>石家庄市栾城区装备制造基地楼底镇段家营村裕翔街168号103厂房（南）</w:t>
            </w:r>
            <w:r>
              <w:rPr>
                <w:rFonts w:hint="eastAsia"/>
                <w:color w:val="auto"/>
                <w:sz w:val="24"/>
                <w:highlight w:val="none"/>
              </w:rPr>
              <w:t>，</w:t>
            </w:r>
            <w:r>
              <w:rPr>
                <w:rFonts w:ascii="Times New Roman" w:eastAsia="宋体" w:cs="Times New Roman" w:hAnsi="Times New Roman"/>
                <w:color w:val="auto"/>
                <w:kern w:val="2"/>
                <w:sz w:val="24"/>
                <w:szCs w:val="24"/>
                <w:lang w:val="en-US" w:eastAsia="zh-CN" w:bidi="ar-SA"/>
                <w:highlight w:val="none"/>
              </w:rPr>
              <w:t>租赁</w:t>
            </w:r>
            <w:r>
              <w:rPr>
                <w:rFonts w:cs="Times New Roman" w:hint="eastAsia"/>
                <w:color w:val="auto"/>
                <w:kern w:val="2"/>
                <w:sz w:val="24"/>
                <w:szCs w:val="24"/>
                <w:lang w:val="en-US" w:eastAsia="zh-CN" w:bidi="ar-SA"/>
                <w:highlight w:val="none"/>
              </w:rPr>
              <w:t>河北泽豪环保新材料科技有限公司闲置库房和两间办公室</w:t>
            </w:r>
            <w:r>
              <w:rPr>
                <w:rFonts w:ascii="Times New Roman" w:eastAsia="宋体" w:cs="Times New Roman" w:hAnsi="Times New Roman" w:hint="eastAsia"/>
                <w:color w:val="auto"/>
                <w:sz w:val="24"/>
                <w:lang w:val="en-US" w:eastAsia="zh-CN"/>
                <w:highlight w:val="none"/>
              </w:rPr>
              <w:t>，</w:t>
            </w:r>
            <w:r>
              <w:rPr>
                <w:rFonts w:hint="eastAsia"/>
                <w:color w:val="auto"/>
                <w:kern w:val="0"/>
                <w:sz w:val="24"/>
                <w:highlight w:val="none"/>
              </w:rPr>
              <w:t>中心位置地理坐标为</w:t>
            </w:r>
            <w:r>
              <w:rPr>
                <w:rFonts w:hint="eastAsia"/>
                <w:color w:val="auto"/>
                <w:sz w:val="24"/>
                <w:highlight w:val="none"/>
              </w:rPr>
              <w:t>北纬37°54′52.017″，东经114°31′34.373″。</w:t>
            </w:r>
            <w:r>
              <w:rPr>
                <w:rFonts w:cs="Times New Roman" w:hint="eastAsia"/>
                <w:color w:val="auto"/>
                <w:kern w:val="2"/>
                <w:sz w:val="24"/>
                <w:szCs w:val="24"/>
                <w:lang w:val="en-US" w:eastAsia="zh-CN" w:bidi="ar-SA"/>
                <w:highlight w:val="none"/>
              </w:rPr>
              <w:t>泽豪厂区东侧为河北泊易达科技产业园，北侧为空地，西侧和南侧为耕地。本项目租赁的库房位于泽豪厂区东南部，库房北侧和西侧为其他闲置仓库、石家庄市睿群印务有限公司，库房东侧为辅助用房，库房南侧为石家庄凯贸机械设备制造有限公司。</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项目地理位置图见附图1，项目周边关系图见附图2。</w:t>
            </w:r>
          </w:p>
          <w:p>
            <w:pPr>
              <w:keepNext w:val="0"/>
              <w:keepLines w:val="0"/>
              <w:pageBreakBefore w:val="0"/>
              <w:kinsoku/>
              <w:wordWrap/>
              <w:overflowPunct/>
              <w:topLinePunct w:val="0"/>
              <w:autoSpaceDE/>
              <w:autoSpaceDN/>
              <w:bidi w:val="0"/>
              <w:spacing w:line="460" w:lineRule="exact"/>
              <w:ind w:firstLineChars="200" w:firstLine="480"/>
              <w:rPr>
                <w:b/>
                <w:bCs/>
                <w:color w:val="auto"/>
                <w:sz w:val="24"/>
                <w:highlight w:val="none"/>
              </w:rPr>
            </w:pPr>
            <w:r>
              <w:rPr>
                <w:rFonts w:hint="eastAsia"/>
                <w:b/>
                <w:bCs/>
                <w:color w:val="auto"/>
                <w:sz w:val="24"/>
                <w:lang w:val="en-US" w:eastAsia="zh-CN"/>
                <w:highlight w:val="none"/>
              </w:rPr>
              <w:t>3</w:t>
            </w:r>
            <w:r>
              <w:rPr>
                <w:rFonts w:hint="eastAsia"/>
                <w:b/>
                <w:bCs/>
                <w:color w:val="auto"/>
                <w:sz w:val="24"/>
                <w:highlight w:val="none"/>
              </w:rPr>
              <w:t>、主要建设工程内容</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jc w:val="both"/>
              <w:textAlignment w:val="auto"/>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本项目租赁闲置库房，改造后用于废铅酸电池收集中转，库房建筑面积</w:t>
            </w:r>
            <w:r>
              <w:rPr>
                <w:rFonts w:cs="Times New Roman" w:hint="eastAsia"/>
                <w:color w:val="auto"/>
                <w:sz w:val="24"/>
                <w:lang w:val="en-US" w:eastAsia="zh-CN"/>
                <w:highlight w:val="none"/>
              </w:rPr>
              <w:t>1140</w:t>
            </w:r>
            <w:r>
              <w:rPr>
                <w:rFonts w:ascii="Times New Roman" w:eastAsia="宋体" w:cs="Times New Roman" w:hAnsi="Times New Roman" w:hint="eastAsia"/>
                <w:color w:val="auto"/>
                <w:sz w:val="24"/>
                <w:lang w:val="en-US" w:eastAsia="zh-CN"/>
                <w:highlight w:val="none"/>
              </w:rPr>
              <w:t>平方米，建设配备碱喷淋应急装置，地面做防渗防腐环氧地坪漆处理、铺设防轧实心橡胶地垫、配备电池存放铁箱、安装24小时现场监控设备。建成后预计年回收中转废铅酸蓄电池约6000吨，厂区最大暂存量为100吨。生产操作流程为</w:t>
            </w:r>
            <w:r>
              <w:rPr>
                <w:rFonts w:cs="Times New Roman" w:hint="eastAsia"/>
                <w:color w:val="auto"/>
                <w:sz w:val="24"/>
                <w:lang w:val="en-US" w:eastAsia="zh-CN"/>
                <w:highlight w:val="none"/>
              </w:rPr>
              <w:t>：</w:t>
            </w:r>
            <w:r>
              <w:rPr>
                <w:rFonts w:ascii="Times New Roman" w:eastAsia="宋体" w:cs="Times New Roman" w:hAnsi="Times New Roman" w:hint="eastAsia"/>
                <w:color w:val="auto"/>
                <w:sz w:val="24"/>
                <w:lang w:val="en-US" w:eastAsia="zh-CN"/>
                <w:highlight w:val="none"/>
              </w:rPr>
              <w:t>回收废旧电池-过磅、检查和记录-转运至库房-分类、分区储存-外运至废物处置单位。</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jc w:val="both"/>
              <w:textAlignment w:val="auto"/>
              <w:rPr>
                <w:color w:val="auto"/>
                <w:sz w:val="24"/>
                <w:highlight w:val="none"/>
              </w:rPr>
            </w:pPr>
            <w:r>
              <w:rPr>
                <w:rFonts w:hint="eastAsia"/>
                <w:color w:val="auto"/>
                <w:sz w:val="24"/>
                <w:highlight w:val="none"/>
              </w:rPr>
              <w:t>本项目工程建设内容见表2-1。</w:t>
            </w:r>
          </w:p>
          <w:p>
            <w:pPr>
              <w:jc w:val="center"/>
              <w:rPr>
                <w:b/>
                <w:bCs/>
                <w:color w:val="auto"/>
                <w:sz w:val="24"/>
                <w:highlight w:val="none"/>
              </w:rPr>
            </w:pPr>
            <w:r>
              <w:rPr>
                <w:b/>
                <w:bCs/>
                <w:color w:val="auto"/>
                <w:sz w:val="24"/>
                <w:highlight w:val="none"/>
              </w:rPr>
              <w:t>表2-1  项目主要建设情况一览表</w:t>
            </w:r>
          </w:p>
          <w:tbl>
            <w:tblPr>
              <w:jc w:val="left"/>
              <w:tblInd w:w="5" w:type="dxa"/>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540"/>
              <w:gridCol w:w="984"/>
              <w:gridCol w:w="6577"/>
            </w:tblGrid>
            <w:tr>
              <w:trPr>
                <w:cantSplit/>
                <w:trHeight w:val="397"/>
              </w:trPr>
              <w:tc>
                <w:tcPr>
                  <w:tcW w:w="333" w:type="pct"/>
                  <w:tcBorders>
                    <w:tl2br w:val="nil"/>
                    <w:tr2bl w:val="nil"/>
                  </w:tcBorders>
                  <w:vAlign w:val="center"/>
                </w:tcPr>
                <w:p>
                  <w:pPr>
                    <w:jc w:val="center"/>
                    <w:rPr>
                      <w:b/>
                      <w:bCs/>
                      <w:color w:val="auto"/>
                      <w:szCs w:val="21"/>
                      <w:highlight w:val="none"/>
                    </w:rPr>
                  </w:pPr>
                  <w:r>
                    <w:rPr>
                      <w:rFonts w:hint="eastAsia"/>
                      <w:b/>
                      <w:bCs/>
                      <w:color w:val="auto"/>
                      <w:szCs w:val="21"/>
                      <w:highlight w:val="none"/>
                    </w:rPr>
                    <w:t>名称</w:t>
                  </w:r>
                </w:p>
              </w:tc>
              <w:tc>
                <w:tcPr>
                  <w:tcW w:w="607" w:type="pct"/>
                  <w:tcBorders>
                    <w:tl2br w:val="nil"/>
                    <w:tr2bl w:val="nil"/>
                  </w:tcBorders>
                  <w:vAlign w:val="center"/>
                </w:tcPr>
                <w:p>
                  <w:pPr>
                    <w:jc w:val="center"/>
                    <w:rPr>
                      <w:b/>
                      <w:bCs/>
                      <w:color w:val="auto"/>
                      <w:szCs w:val="21"/>
                      <w:highlight w:val="none"/>
                    </w:rPr>
                  </w:pPr>
                  <w:r>
                    <w:rPr>
                      <w:rFonts w:hint="eastAsia"/>
                      <w:b/>
                      <w:bCs/>
                      <w:color w:val="auto"/>
                      <w:szCs w:val="21"/>
                      <w:highlight w:val="none"/>
                    </w:rPr>
                    <w:t>项目组成</w:t>
                  </w:r>
                </w:p>
              </w:tc>
              <w:tc>
                <w:tcPr>
                  <w:tcW w:w="4058" w:type="pct"/>
                  <w:tcBorders>
                    <w:tl2br w:val="nil"/>
                    <w:tr2bl w:val="nil"/>
                  </w:tcBorders>
                  <w:vAlign w:val="center"/>
                </w:tcPr>
                <w:p>
                  <w:pPr>
                    <w:jc w:val="center"/>
                    <w:rPr>
                      <w:b/>
                      <w:bCs/>
                      <w:color w:val="auto"/>
                      <w:szCs w:val="21"/>
                      <w:highlight w:val="none"/>
                    </w:rPr>
                  </w:pPr>
                  <w:r>
                    <w:rPr>
                      <w:rFonts w:hint="eastAsia"/>
                      <w:b/>
                      <w:bCs/>
                      <w:color w:val="auto"/>
                      <w:szCs w:val="21"/>
                      <w:highlight w:val="none"/>
                    </w:rPr>
                    <w:t>项目建筑内容及规模</w:t>
                  </w:r>
                </w:p>
              </w:tc>
            </w:tr>
            <w:tr>
              <w:trPr>
                <w:cantSplit/>
                <w:trHeight w:val="397"/>
              </w:trPr>
              <w:tc>
                <w:tcPr>
                  <w:tcW w:w="333" w:type="pct"/>
                  <w:tcBorders>
                    <w:tl2br w:val="nil"/>
                    <w:tr2bl w:val="nil"/>
                  </w:tcBorders>
                  <w:vAlign w:val="center"/>
                </w:tcPr>
                <w:p>
                  <w:pPr>
                    <w:jc w:val="center"/>
                    <w:rPr>
                      <w:color w:val="auto"/>
                      <w:szCs w:val="21"/>
                      <w:highlight w:val="none"/>
                    </w:rPr>
                  </w:pPr>
                  <w:r>
                    <w:rPr>
                      <w:rFonts w:hint="eastAsia"/>
                      <w:color w:val="auto"/>
                      <w:szCs w:val="21"/>
                      <w:highlight w:val="none"/>
                    </w:rPr>
                    <w:t>主体工程</w:t>
                  </w:r>
                </w:p>
              </w:tc>
              <w:tc>
                <w:tcPr>
                  <w:tcW w:w="60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仓库</w:t>
                  </w:r>
                </w:p>
              </w:tc>
              <w:tc>
                <w:tcPr>
                  <w:tcW w:w="4058" w:type="pct"/>
                  <w:tcBorders>
                    <w:tl2br w:val="nil"/>
                    <w:tr2bl w:val="nil"/>
                  </w:tcBorders>
                  <w:vAlign w:val="center"/>
                </w:tcPr>
                <w:p>
                  <w:pPr>
                    <w:jc w:val="both"/>
                    <w:rPr>
                      <w:color w:val="auto"/>
                      <w:szCs w:val="21"/>
                      <w:highlight w:val="none"/>
                    </w:rPr>
                  </w:pPr>
                  <w:r>
                    <w:rPr>
                      <w:rFonts w:hint="eastAsia"/>
                      <w:color w:val="auto"/>
                      <w:szCs w:val="21"/>
                      <w:lang w:val="en-US"/>
                      <w:highlight w:val="none"/>
                    </w:rPr>
                    <w:t>租用泽豪闲置库房</w:t>
                  </w:r>
                  <w:r>
                    <w:rPr>
                      <w:rFonts w:hint="eastAsia"/>
                      <w:color w:val="auto"/>
                      <w:szCs w:val="21"/>
                      <w:lang w:val="en-US" w:eastAsia="zh-CN"/>
                      <w:highlight w:val="none"/>
                    </w:rPr>
                    <w:t>2座（大库房和小库房）</w:t>
                  </w:r>
                  <w:r>
                    <w:rPr>
                      <w:rFonts w:hint="eastAsia"/>
                      <w:color w:val="auto"/>
                      <w:szCs w:val="21"/>
                      <w:highlight w:val="none"/>
                    </w:rPr>
                    <w:t>，</w:t>
                  </w:r>
                  <w:r>
                    <w:rPr>
                      <w:rFonts w:hint="eastAsia"/>
                      <w:color w:val="auto"/>
                      <w:szCs w:val="21"/>
                      <w:lang w:val="en-US" w:eastAsia="zh-CN"/>
                      <w:highlight w:val="none"/>
                    </w:rPr>
                    <w:t>总面积1140m</w:t>
                  </w:r>
                  <w:r>
                    <w:rPr>
                      <w:rFonts w:hint="eastAsia"/>
                      <w:color w:val="auto"/>
                      <w:szCs w:val="21"/>
                      <w:vertAlign w:val="superscript"/>
                      <w:lang w:val="en-US" w:eastAsia="zh-CN"/>
                      <w:highlight w:val="none"/>
                    </w:rPr>
                    <w:t>2</w:t>
                  </w:r>
                  <w:r>
                    <w:rPr>
                      <w:rFonts w:hint="eastAsia"/>
                      <w:color w:val="auto"/>
                      <w:szCs w:val="21"/>
                      <w:lang w:val="en-US" w:eastAsia="zh-CN"/>
                      <w:highlight w:val="none"/>
                    </w:rPr>
                    <w:t>，砖结构，高约8m，改造后用于废电池贮存</w:t>
                  </w:r>
                  <w:r>
                    <w:rPr>
                      <w:rFonts w:ascii="Times New Roman" w:eastAsia="宋体" w:cs="Times New Roman" w:hAnsi="Times New Roman" w:hint="eastAsia"/>
                      <w:color w:val="auto"/>
                      <w:szCs w:val="21"/>
                      <w:lang w:val="en-US" w:eastAsia="zh-CN"/>
                      <w:highlight w:val="none"/>
                    </w:rPr>
                    <w:t>。</w:t>
                  </w:r>
                </w:p>
              </w:tc>
            </w:tr>
            <w:tr>
              <w:trPr>
                <w:cantSplit/>
                <w:trHeight w:val="397"/>
              </w:trPr>
              <w:tc>
                <w:tcPr>
                  <w:tcW w:w="333" w:type="pct"/>
                  <w:tcBorders>
                    <w:tl2br w:val="nil"/>
                    <w:tr2bl w:val="nil"/>
                  </w:tcBorders>
                  <w:vAlign w:val="center"/>
                </w:tcPr>
                <w:p>
                  <w:pPr>
                    <w:jc w:val="center"/>
                    <w:rPr>
                      <w:color w:val="auto"/>
                      <w:szCs w:val="21"/>
                      <w:highlight w:val="none"/>
                    </w:rPr>
                  </w:pPr>
                  <w:r>
                    <w:rPr>
                      <w:rFonts w:hint="eastAsia"/>
                      <w:color w:val="auto"/>
                      <w:szCs w:val="21"/>
                      <w:highlight w:val="none"/>
                    </w:rPr>
                    <w:t>辅助工程</w:t>
                  </w:r>
                </w:p>
              </w:tc>
              <w:tc>
                <w:tcPr>
                  <w:tcW w:w="607" w:type="pct"/>
                  <w:tcBorders>
                    <w:tl2br w:val="nil"/>
                    <w:tr2bl w:val="nil"/>
                  </w:tcBorders>
                  <w:vAlign w:val="center"/>
                </w:tcPr>
                <w:p>
                  <w:pPr>
                    <w:jc w:val="center"/>
                    <w:rPr>
                      <w:rFonts w:hint="eastAsia"/>
                      <w:color w:val="auto"/>
                      <w:szCs w:val="21"/>
                      <w:lang w:eastAsia="zh-CN"/>
                      <w:highlight w:val="none"/>
                    </w:rPr>
                  </w:pPr>
                  <w:r>
                    <w:rPr>
                      <w:rFonts w:hint="eastAsia"/>
                      <w:color w:val="auto"/>
                      <w:szCs w:val="21"/>
                      <w:lang w:eastAsia="zh-CN"/>
                      <w:highlight w:val="none"/>
                    </w:rPr>
                    <w:t>监控室</w:t>
                  </w:r>
                </w:p>
                <w:p>
                  <w:pPr>
                    <w:jc w:val="center"/>
                    <w:rPr>
                      <w:color w:val="auto"/>
                      <w:szCs w:val="21"/>
                      <w:highlight w:val="none"/>
                    </w:rPr>
                  </w:pPr>
                  <w:r>
                    <w:rPr>
                      <w:rFonts w:hint="eastAsia"/>
                      <w:color w:val="auto"/>
                      <w:szCs w:val="21"/>
                      <w:highlight w:val="none"/>
                    </w:rPr>
                    <w:t>办公室</w:t>
                  </w:r>
                </w:p>
              </w:tc>
              <w:tc>
                <w:tcPr>
                  <w:tcW w:w="4058" w:type="pct"/>
                  <w:tcBorders>
                    <w:tl2br w:val="nil"/>
                    <w:tr2bl w:val="nil"/>
                  </w:tcBorders>
                  <w:vAlign w:val="center"/>
                </w:tcPr>
                <w:p>
                  <w:pPr>
                    <w:jc w:val="both"/>
                    <w:rPr>
                      <w:rFonts w:eastAsia="宋体" w:hint="eastAsia"/>
                      <w:color w:val="auto"/>
                      <w:szCs w:val="21"/>
                      <w:lang w:eastAsia="zh-CN"/>
                      <w:highlight w:val="none"/>
                    </w:rPr>
                  </w:pPr>
                  <w:r>
                    <w:rPr>
                      <w:rFonts w:hint="eastAsia"/>
                      <w:color w:val="auto"/>
                      <w:szCs w:val="21"/>
                      <w:lang w:val="en-US" w:eastAsia="zh-CN"/>
                      <w:highlight w:val="none"/>
                    </w:rPr>
                    <w:t>租用泽豪现有办公用房，共2间，</w:t>
                  </w:r>
                  <w:r>
                    <w:rPr>
                      <w:rFonts w:hint="eastAsia"/>
                      <w:color w:val="auto"/>
                      <w:szCs w:val="21"/>
                      <w:highlight w:val="none"/>
                    </w:rPr>
                    <w:t>用于日常办公</w:t>
                  </w:r>
                  <w:r>
                    <w:rPr>
                      <w:rFonts w:hint="eastAsia"/>
                      <w:color w:val="auto"/>
                      <w:szCs w:val="21"/>
                      <w:lang w:eastAsia="zh-CN"/>
                      <w:highlight w:val="none"/>
                    </w:rPr>
                    <w:t>和监控室。</w:t>
                  </w:r>
                </w:p>
              </w:tc>
            </w:tr>
            <w:tr>
              <w:trPr>
                <w:cantSplit/>
                <w:trHeight w:val="397"/>
              </w:trPr>
              <w:tc>
                <w:tcPr>
                  <w:tcW w:w="333" w:type="pct"/>
                  <w:vMerge w:val="restart"/>
                  <w:tcBorders>
                    <w:tl2br w:val="nil"/>
                    <w:tr2bl w:val="nil"/>
                  </w:tcBorders>
                  <w:vAlign w:val="center"/>
                </w:tcPr>
                <w:p>
                  <w:pPr>
                    <w:jc w:val="center"/>
                    <w:rPr>
                      <w:rFonts w:hint="eastAsia"/>
                      <w:color w:val="auto"/>
                      <w:szCs w:val="21"/>
                      <w:highlight w:val="none"/>
                    </w:rPr>
                  </w:pPr>
                  <w:bookmarkStart w:id="38" w:name="_Hlk161671537"/>
                  <w:r>
                    <w:rPr>
                      <w:rFonts w:hint="eastAsia"/>
                      <w:color w:val="auto"/>
                      <w:szCs w:val="21"/>
                      <w:highlight w:val="none"/>
                    </w:rPr>
                    <w:t>储运工程</w:t>
                  </w:r>
                </w:p>
              </w:tc>
              <w:tc>
                <w:tcPr>
                  <w:tcW w:w="60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分拣区</w:t>
                  </w:r>
                </w:p>
              </w:tc>
              <w:tc>
                <w:tcPr>
                  <w:tcW w:w="4058" w:type="pct"/>
                  <w:tcBorders>
                    <w:tl2br w:val="nil"/>
                    <w:tr2bl w:val="nil"/>
                  </w:tcBorders>
                  <w:vAlign w:val="center"/>
                </w:tcPr>
                <w:p>
                  <w:pPr>
                    <w:jc w:val="both"/>
                    <w:rPr>
                      <w:rFonts w:hint="eastAsia"/>
                      <w:color w:val="auto"/>
                      <w:szCs w:val="21"/>
                      <w:lang w:val="en-US" w:eastAsia="zh-CN"/>
                      <w:highlight w:val="none"/>
                    </w:rPr>
                  </w:pPr>
                  <w:r>
                    <w:rPr>
                      <w:rFonts w:hint="eastAsia"/>
                      <w:color w:val="auto"/>
                      <w:szCs w:val="21"/>
                      <w:lang w:val="en-US" w:eastAsia="zh-CN"/>
                      <w:highlight w:val="none"/>
                    </w:rPr>
                    <w:t>位于大库房内，用于废铅蓄电池装卸及分拣。</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lang w:val="en-US" w:eastAsia="zh-CN"/>
                      <w:highlight w:val="none"/>
                    </w:rPr>
                    <w:t>电池暂存区</w:t>
                  </w:r>
                </w:p>
              </w:tc>
              <w:tc>
                <w:tcPr>
                  <w:tcW w:w="4058" w:type="pct"/>
                  <w:tcBorders>
                    <w:tl2br w:val="nil"/>
                    <w:tr2bl w:val="nil"/>
                  </w:tcBorders>
                  <w:shd w:val="clear" w:color="auto" w:fill="auto"/>
                  <w:vAlign w:val="center"/>
                </w:tcPr>
                <w:p>
                  <w:pPr>
                    <w:jc w:val="both"/>
                    <w:rPr>
                      <w:rFonts w:ascii="Times New Roman" w:eastAsia="宋体" w:cs="Times New Roman" w:hAnsi="Times New Roman" w:hint="eastAsia"/>
                      <w:color w:val="auto"/>
                      <w:kern w:val="2"/>
                      <w:sz w:val="21"/>
                      <w:szCs w:val="21"/>
                      <w:lang w:val="en-US" w:eastAsia="zh-CN" w:bidi="ar-SA"/>
                      <w:highlight w:val="none"/>
                    </w:rPr>
                  </w:pPr>
                  <w:r>
                    <w:rPr>
                      <w:rFonts w:hint="eastAsia"/>
                      <w:snapToGrid w:val="0"/>
                      <w:color w:val="auto"/>
                      <w:kern w:val="0"/>
                      <w:szCs w:val="21"/>
                      <w:highlight w:val="none"/>
                    </w:rPr>
                    <w:t>位于</w:t>
                  </w:r>
                  <w:r>
                    <w:rPr>
                      <w:rFonts w:hint="eastAsia"/>
                      <w:snapToGrid w:val="0"/>
                      <w:color w:val="auto"/>
                      <w:kern w:val="0"/>
                      <w:szCs w:val="21"/>
                      <w:lang w:eastAsia="zh-CN"/>
                      <w:highlight w:val="none"/>
                    </w:rPr>
                    <w:t>大库房和小库房内，分区用于</w:t>
                  </w:r>
                  <w:r>
                    <w:rPr>
                      <w:rFonts w:hint="eastAsia"/>
                      <w:color w:val="auto"/>
                      <w:kern w:val="0"/>
                      <w:lang w:eastAsia="zh-CN"/>
                      <w:highlight w:val="none"/>
                    </w:rPr>
                    <w:t>第</w:t>
                  </w:r>
                  <w:r>
                    <w:rPr>
                      <w:rFonts w:hint="eastAsia"/>
                      <w:snapToGrid w:val="0"/>
                      <w:color w:val="auto"/>
                      <w:kern w:val="0"/>
                      <w:szCs w:val="21"/>
                      <w:lang w:eastAsia="zh-CN"/>
                      <w:highlight w:val="none"/>
                    </w:rPr>
                    <w:t>I类废铅蓄电池贮存</w:t>
                  </w:r>
                  <w:r>
                    <w:rPr>
                      <w:rFonts w:hint="eastAsia"/>
                      <w:snapToGrid w:val="0"/>
                      <w:color w:val="auto"/>
                      <w:kern w:val="0"/>
                      <w:szCs w:val="21"/>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破损电池存放间</w:t>
                  </w:r>
                </w:p>
              </w:tc>
              <w:tc>
                <w:tcPr>
                  <w:tcW w:w="4058" w:type="pct"/>
                  <w:tcBorders>
                    <w:tl2br w:val="nil"/>
                    <w:tr2bl w:val="nil"/>
                  </w:tcBorders>
                  <w:shd w:val="clear" w:color="auto" w:fill="auto"/>
                  <w:vAlign w:val="center"/>
                </w:tcPr>
                <w:p>
                  <w:pPr>
                    <w:jc w:val="both"/>
                    <w:rPr>
                      <w:rFonts w:ascii="Times New Roman" w:eastAsia="宋体" w:cs="Times New Roman" w:hAnsi="Times New Roman" w:hint="eastAsia"/>
                      <w:color w:val="auto"/>
                      <w:kern w:val="2"/>
                      <w:sz w:val="21"/>
                      <w:szCs w:val="21"/>
                      <w:lang w:val="en-US" w:eastAsia="zh-CN" w:bidi="ar-SA"/>
                      <w:highlight w:val="none"/>
                    </w:rPr>
                  </w:pPr>
                  <w:r>
                    <w:rPr>
                      <w:rFonts w:hint="eastAsia"/>
                      <w:color w:val="auto"/>
                      <w:kern w:val="0"/>
                      <w:lang w:eastAsia="zh-CN"/>
                      <w:highlight w:val="none"/>
                    </w:rPr>
                    <w:t>破损电池按照第II类废铅蓄电池管理要求管理，单独放置于密闭的破损电池存放间内，该存放间位于大库房内，面积</w:t>
                  </w:r>
                  <w:r>
                    <w:rPr>
                      <w:rFonts w:hint="eastAsia"/>
                      <w:color w:val="auto"/>
                      <w:sz w:val="21"/>
                      <w:szCs w:val="21"/>
                      <w:lang w:val="en-US" w:eastAsia="zh-CN"/>
                      <w:highlight w:val="none"/>
                    </w:rPr>
                    <w:t>18m</w:t>
                  </w:r>
                  <w:r>
                    <w:rPr>
                      <w:rFonts w:hint="eastAsia"/>
                      <w:color w:val="auto"/>
                      <w:sz w:val="21"/>
                      <w:szCs w:val="21"/>
                      <w:vertAlign w:val="superscript"/>
                      <w:lang w:val="en-US" w:eastAsia="zh-CN"/>
                      <w:highlight w:val="none"/>
                    </w:rPr>
                    <w:t>2</w:t>
                  </w:r>
                  <w:r>
                    <w:rPr>
                      <w:rFonts w:hint="eastAsia"/>
                      <w:color w:val="auto"/>
                      <w:kern w:val="0"/>
                      <w:lang w:eastAsia="zh-CN"/>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shd w:val="clear" w:color="auto" w:fill="auto"/>
                  <w:vAlign w:val="center"/>
                </w:tcPr>
                <w:p>
                  <w:pPr>
                    <w:jc w:val="center"/>
                    <w:rPr>
                      <w:rFonts w:cs="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危废暂存间</w:t>
                  </w:r>
                </w:p>
              </w:tc>
              <w:tc>
                <w:tcPr>
                  <w:tcW w:w="4058" w:type="pct"/>
                  <w:tcBorders>
                    <w:tl2br w:val="nil"/>
                    <w:tr2bl w:val="nil"/>
                  </w:tcBorders>
                  <w:shd w:val="clear" w:color="auto" w:fill="auto"/>
                  <w:vAlign w:val="center"/>
                </w:tcPr>
                <w:p>
                  <w:pPr>
                    <w:jc w:val="both"/>
                    <w:rPr>
                      <w:rFonts w:hint="eastAsia"/>
                      <w:color w:val="auto"/>
                      <w:kern w:val="0"/>
                      <w:lang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电解液、废碱液、</w:t>
                  </w:r>
                  <w:r>
                    <w:rPr>
                      <w:rFonts w:hint="eastAsia"/>
                      <w:color w:val="auto"/>
                      <w:sz w:val="21"/>
                      <w:szCs w:val="21"/>
                      <w:lang w:eastAsia="zh-CN"/>
                      <w:highlight w:val="none"/>
                    </w:rPr>
                    <w:t>废防护用具等置于独立的危废间，危废间</w:t>
                  </w:r>
                  <w:r>
                    <w:rPr>
                      <w:rFonts w:hint="eastAsia"/>
                      <w:color w:val="auto"/>
                      <w:kern w:val="0"/>
                      <w:lang w:eastAsia="zh-CN"/>
                      <w:highlight w:val="none"/>
                    </w:rPr>
                    <w:t>位于大库房内，面积</w:t>
                  </w:r>
                  <w:r>
                    <w:rPr>
                      <w:rFonts w:hint="eastAsia"/>
                      <w:color w:val="auto"/>
                      <w:sz w:val="21"/>
                      <w:szCs w:val="21"/>
                      <w:lang w:val="en-US" w:eastAsia="zh-CN"/>
                      <w:highlight w:val="none"/>
                    </w:rPr>
                    <w:t>14m</w:t>
                  </w:r>
                  <w:r>
                    <w:rPr>
                      <w:rFonts w:hint="eastAsia"/>
                      <w:color w:val="auto"/>
                      <w:sz w:val="21"/>
                      <w:szCs w:val="21"/>
                      <w:vertAlign w:val="superscript"/>
                      <w:lang w:val="en-US" w:eastAsia="zh-CN"/>
                      <w:highlight w:val="none"/>
                    </w:rPr>
                    <w:t>2</w:t>
                  </w: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运输</w:t>
                  </w:r>
                </w:p>
              </w:tc>
              <w:tc>
                <w:tcPr>
                  <w:tcW w:w="4058" w:type="pct"/>
                  <w:tcBorders>
                    <w:tl2br w:val="nil"/>
                    <w:tr2bl w:val="nil"/>
                  </w:tcBorders>
                  <w:vAlign w:val="center"/>
                </w:tcPr>
                <w:p>
                  <w:pPr>
                    <w:jc w:val="both"/>
                    <w:rPr>
                      <w:rFonts w:eastAsia="宋体" w:hint="eastAsia"/>
                      <w:snapToGrid w:val="0"/>
                      <w:color w:val="auto"/>
                      <w:kern w:val="0"/>
                      <w:szCs w:val="21"/>
                      <w:lang w:eastAsia="zh-CN"/>
                      <w:highlight w:val="none"/>
                    </w:rPr>
                  </w:pPr>
                  <w:r>
                    <w:rPr>
                      <w:rFonts w:hint="eastAsia"/>
                      <w:snapToGrid w:val="0"/>
                      <w:color w:val="auto"/>
                      <w:kern w:val="0"/>
                      <w:szCs w:val="21"/>
                      <w:lang w:eastAsia="zh-CN"/>
                      <w:highlight w:val="none"/>
                    </w:rPr>
                    <w:t>本项目不涉及废电池的运输，委托有资质单位开展运输工作。</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监控系统</w:t>
                  </w:r>
                </w:p>
              </w:tc>
              <w:tc>
                <w:tcPr>
                  <w:tcW w:w="4058" w:type="pct"/>
                  <w:tcBorders>
                    <w:tl2br w:val="nil"/>
                    <w:tr2bl w:val="nil"/>
                  </w:tcBorders>
                  <w:vAlign w:val="center"/>
                </w:tcPr>
                <w:p>
                  <w:pPr>
                    <w:jc w:val="both"/>
                    <w:rPr>
                      <w:rFonts w:hint="eastAsia"/>
                      <w:snapToGrid w:val="0"/>
                      <w:color w:val="auto"/>
                      <w:kern w:val="0"/>
                      <w:szCs w:val="21"/>
                      <w:lang w:eastAsia="zh-CN"/>
                      <w:highlight w:val="none"/>
                    </w:rPr>
                  </w:pPr>
                  <w:r>
                    <w:rPr>
                      <w:rFonts w:hint="eastAsia"/>
                      <w:snapToGrid w:val="0"/>
                      <w:color w:val="auto"/>
                      <w:kern w:val="0"/>
                      <w:szCs w:val="21"/>
                      <w:lang w:eastAsia="zh-CN"/>
                      <w:highlight w:val="none"/>
                    </w:rPr>
                    <w:t>厂区出入口、外围围墙边界、内部</w:t>
                  </w:r>
                  <w:r>
                    <w:rPr>
                      <w:rFonts w:ascii="Times New Roman" w:eastAsia="宋体" w:cs="Times New Roman" w:hAnsi="Times New Roman" w:hint="eastAsia"/>
                      <w:color w:val="auto"/>
                      <w:lang w:val="en-US" w:eastAsia="zh-CN"/>
                      <w:highlight w:val="none"/>
                    </w:rPr>
                    <w:t>人车通道</w:t>
                  </w:r>
                  <w:r>
                    <w:rPr>
                      <w:rFonts w:ascii="Times New Roman" w:eastAsia="宋体" w:cs="Times New Roman" w:hAnsi="Times New Roman"/>
                      <w:color w:val="auto"/>
                      <w:lang w:val="en-US" w:eastAsia="zh-CN"/>
                      <w:highlight w:val="none"/>
                    </w:rPr>
                    <w:t>、</w:t>
                  </w:r>
                  <w:r>
                    <w:rPr>
                      <w:rFonts w:cs="Times New Roman" w:hint="eastAsia"/>
                      <w:color w:val="auto"/>
                      <w:lang w:val="en-US" w:eastAsia="zh-CN"/>
                      <w:highlight w:val="none"/>
                    </w:rPr>
                    <w:t>地磅、</w:t>
                  </w:r>
                  <w:r>
                    <w:rPr>
                      <w:rFonts w:ascii="Times New Roman" w:eastAsia="宋体" w:cs="Times New Roman" w:hAnsi="Times New Roman" w:hint="eastAsia"/>
                      <w:color w:val="auto"/>
                      <w:lang w:val="en-US" w:eastAsia="zh-CN"/>
                      <w:highlight w:val="none"/>
                    </w:rPr>
                    <w:t>贮存</w:t>
                  </w:r>
                  <w:r>
                    <w:rPr>
                      <w:rFonts w:cs="Times New Roman" w:hint="eastAsia"/>
                      <w:color w:val="auto"/>
                      <w:lang w:val="en-US" w:eastAsia="zh-CN"/>
                      <w:highlight w:val="none"/>
                    </w:rPr>
                    <w:t>区域</w:t>
                  </w:r>
                  <w:r>
                    <w:rPr>
                      <w:rFonts w:ascii="Times New Roman" w:eastAsia="宋体" w:cs="Times New Roman" w:hAnsi="Times New Roman" w:hint="eastAsia"/>
                      <w:color w:val="auto"/>
                      <w:lang w:val="en-US" w:eastAsia="zh-CN"/>
                      <w:highlight w:val="none"/>
                    </w:rPr>
                    <w:t>等重点部位安装视频监控</w:t>
                  </w:r>
                  <w:r>
                    <w:rPr>
                      <w:rFonts w:cs="Times New Roman" w:hint="eastAsia"/>
                      <w:color w:val="auto"/>
                      <w:lang w:val="en-US" w:eastAsia="zh-CN"/>
                      <w:highlight w:val="none"/>
                    </w:rPr>
                    <w:t>，</w:t>
                  </w:r>
                  <w:r>
                    <w:rPr>
                      <w:rFonts w:hint="eastAsia"/>
                      <w:snapToGrid w:val="0"/>
                      <w:color w:val="auto"/>
                      <w:kern w:val="0"/>
                      <w:szCs w:val="21"/>
                      <w:lang w:eastAsia="zh-CN"/>
                      <w:highlight w:val="none"/>
                    </w:rPr>
                    <w:t>24小时持续录像</w:t>
                  </w:r>
                  <w:r>
                    <w:rPr>
                      <w:rFonts w:cs="Times New Roman" w:hint="eastAsia"/>
                      <w:color w:val="auto"/>
                      <w:lang w:val="en-US" w:eastAsia="zh-CN"/>
                      <w:highlight w:val="none"/>
                    </w:rPr>
                    <w:t>。同时设有</w:t>
                  </w:r>
                  <w:r>
                    <w:rPr>
                      <w:rFonts w:ascii="Times New Roman" w:eastAsia="宋体" w:cs="Times New Roman" w:hAnsi="Times New Roman" w:hint="eastAsia"/>
                      <w:color w:val="auto"/>
                      <w:lang w:val="en-US" w:eastAsia="zh-CN"/>
                      <w:highlight w:val="none"/>
                    </w:rPr>
                    <w:t>智能地磅</w:t>
                  </w:r>
                  <w:r>
                    <w:rPr>
                      <w:rFonts w:cs="Times New Roman" w:hint="eastAsia"/>
                      <w:color w:val="auto"/>
                      <w:lang w:val="en-US" w:eastAsia="zh-CN"/>
                      <w:highlight w:val="none"/>
                    </w:rPr>
                    <w:t>和称重设备，</w:t>
                  </w:r>
                  <w:r>
                    <w:rPr>
                      <w:rFonts w:ascii="Times New Roman" w:eastAsia="宋体" w:cs="Times New Roman" w:hAnsi="Times New Roman" w:hint="eastAsia"/>
                      <w:color w:val="auto"/>
                      <w:highlight w:val="none"/>
                    </w:rPr>
                    <w:t>记录来源、种类、数量等信息</w:t>
                  </w:r>
                  <w:r>
                    <w:rPr>
                      <w:rFonts w:hint="eastAsia"/>
                      <w:snapToGrid w:val="0"/>
                      <w:color w:val="auto"/>
                      <w:kern w:val="0"/>
                      <w:szCs w:val="21"/>
                      <w:lang w:eastAsia="zh-CN"/>
                      <w:highlight w:val="none"/>
                    </w:rPr>
                    <w:t>。与生态环境部门固体废物信息平台链接，实时自动上传相关影像、称重数据信息。</w:t>
                  </w:r>
                </w:p>
              </w:tc>
            </w:tr>
            <w:tr>
              <w:trPr>
                <w:cantSplit/>
                <w:trHeight w:val="397"/>
              </w:trPr>
              <w:tc>
                <w:tcPr>
                  <w:tcW w:w="333" w:type="pct"/>
                  <w:vMerge w:val="restart"/>
                  <w:tcBorders>
                    <w:tl2br w:val="nil"/>
                    <w:tr2bl w:val="nil"/>
                  </w:tcBorders>
                  <w:vAlign w:val="center"/>
                </w:tcPr>
                <w:p>
                  <w:pPr>
                    <w:jc w:val="center"/>
                    <w:rPr>
                      <w:rFonts w:eastAsia="宋体" w:hint="eastAsia"/>
                      <w:color w:val="auto"/>
                      <w:szCs w:val="21"/>
                      <w:lang w:eastAsia="zh-CN"/>
                      <w:highlight w:val="none"/>
                    </w:rPr>
                  </w:pPr>
                  <w:bookmarkEnd w:id="38"/>
                  <w:r>
                    <w:rPr>
                      <w:rFonts w:hint="eastAsia"/>
                      <w:color w:val="auto"/>
                      <w:szCs w:val="21"/>
                      <w:highlight w:val="none"/>
                    </w:rPr>
                    <w:t>公用工程</w:t>
                  </w: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给水</w:t>
                  </w:r>
                </w:p>
              </w:tc>
              <w:tc>
                <w:tcPr>
                  <w:tcW w:w="4058" w:type="pct"/>
                  <w:tcBorders>
                    <w:tl2br w:val="nil"/>
                    <w:tr2bl w:val="nil"/>
                  </w:tcBorders>
                  <w:vAlign w:val="center"/>
                </w:tcPr>
                <w:p>
                  <w:pPr>
                    <w:jc w:val="both"/>
                    <w:rPr>
                      <w:rFonts w:eastAsia="宋体" w:hint="eastAsia"/>
                      <w:color w:val="auto"/>
                      <w:szCs w:val="21"/>
                      <w:lang w:eastAsia="zh-CN"/>
                      <w:highlight w:val="none"/>
                    </w:rPr>
                  </w:pPr>
                  <w:r>
                    <w:rPr>
                      <w:rFonts w:hint="eastAsia"/>
                      <w:color w:val="auto"/>
                      <w:szCs w:val="21"/>
                      <w:lang w:eastAsia="zh-CN"/>
                      <w:highlight w:val="none"/>
                    </w:rPr>
                    <w:t>本项目供水依托</w:t>
                  </w:r>
                  <w:r>
                    <w:rPr>
                      <w:rFonts w:ascii="Times New Roman" w:eastAsia="宋体" w:cs="Times New Roman" w:hAnsi="Times New Roman"/>
                      <w:color w:val="auto"/>
                      <w:kern w:val="2"/>
                      <w:sz w:val="21"/>
                      <w:szCs w:val="21"/>
                      <w:lang w:val="en-US" w:eastAsia="zh-CN" w:bidi="ar-SA"/>
                      <w:highlight w:val="none"/>
                    </w:rPr>
                    <w:t>河北泽豪环保新材料科技有限公司</w:t>
                  </w:r>
                  <w:r>
                    <w:rPr>
                      <w:rFonts w:cs="Times New Roman" w:hint="eastAsia"/>
                      <w:color w:val="auto"/>
                      <w:kern w:val="2"/>
                      <w:sz w:val="21"/>
                      <w:szCs w:val="21"/>
                      <w:lang w:val="en-US" w:eastAsia="zh-CN" w:bidi="ar-SA"/>
                      <w:highlight w:val="none"/>
                    </w:rPr>
                    <w:t>新鲜水，该用水</w:t>
                  </w:r>
                  <w:r>
                    <w:rPr>
                      <w:rFonts w:hint="eastAsia"/>
                      <w:color w:val="auto"/>
                      <w:szCs w:val="21"/>
                      <w:highlight w:val="none"/>
                    </w:rPr>
                    <w:t>由</w:t>
                  </w:r>
                  <w:r>
                    <w:rPr>
                      <w:rFonts w:hint="eastAsia"/>
                      <w:color w:val="auto"/>
                      <w:szCs w:val="21"/>
                      <w:lang w:val="en-US" w:eastAsia="zh-CN"/>
                      <w:highlight w:val="none"/>
                    </w:rPr>
                    <w:t>园区</w:t>
                  </w:r>
                  <w:r>
                    <w:rPr>
                      <w:rFonts w:hint="eastAsia"/>
                      <w:color w:val="auto"/>
                      <w:szCs w:val="21"/>
                      <w:highlight w:val="none"/>
                    </w:rPr>
                    <w:t>供水管网提供</w:t>
                  </w:r>
                  <w:r>
                    <w:rPr>
                      <w:rFonts w:hint="eastAsia"/>
                      <w:color w:val="auto"/>
                      <w:szCs w:val="21"/>
                      <w:lang w:eastAsia="zh-CN"/>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排水</w:t>
                  </w:r>
                </w:p>
              </w:tc>
              <w:tc>
                <w:tcPr>
                  <w:tcW w:w="4058" w:type="pct"/>
                  <w:tcBorders>
                    <w:tl2br w:val="nil"/>
                    <w:tr2bl w:val="nil"/>
                  </w:tcBorders>
                  <w:vAlign w:val="center"/>
                </w:tcPr>
                <w:p>
                  <w:pPr>
                    <w:pStyle w:val="16"/>
                    <w:keepNext w:val="0"/>
                    <w:keepLines w:val="0"/>
                    <w:pageBreakBefore w:val="0"/>
                    <w:widowControl w:val="0"/>
                    <w:kinsoku/>
                    <w:wordWrap/>
                    <w:overflowPunct/>
                    <w:topLinePunct w:val="0"/>
                    <w:autoSpaceDE/>
                    <w:autoSpaceDN/>
                    <w:bidi w:val="0"/>
                    <w:adjustRightInd w:val="0"/>
                    <w:snapToGrid w:val="0"/>
                    <w:spacing w:line="240" w:lineRule="auto"/>
                    <w:ind w:firstLineChars="0" w:firstLine="0"/>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rPr>
                    <w:t>本项目碱液喷淋装置碱液循环使用，定期更换，</w:t>
                  </w:r>
                  <w:r>
                    <w:rPr>
                      <w:rFonts w:cs="Times New Roman" w:hint="eastAsia"/>
                      <w:bCs/>
                      <w:color w:val="auto"/>
                      <w:kern w:val="0"/>
                      <w:sz w:val="21"/>
                      <w:szCs w:val="21"/>
                      <w:lang w:val="en-US" w:eastAsia="zh-CN" w:bidi="ar-SA"/>
                    </w:rPr>
                    <w:t>废碱液</w:t>
                  </w:r>
                  <w:r>
                    <w:rPr>
                      <w:rFonts w:ascii="Times New Roman" w:eastAsia="宋体" w:cs="Times New Roman" w:hAnsi="Times New Roman" w:hint="eastAsia"/>
                      <w:bCs/>
                      <w:color w:val="auto"/>
                      <w:kern w:val="0"/>
                      <w:sz w:val="21"/>
                      <w:szCs w:val="21"/>
                      <w:lang w:val="en-US" w:eastAsia="zh-CN" w:bidi="ar-SA"/>
                    </w:rPr>
                    <w:t>交由有资质单位处置；</w:t>
                  </w: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color w:val="auto"/>
                      <w:kern w:val="0"/>
                      <w:sz w:val="21"/>
                      <w:szCs w:val="21"/>
                      <w:lang w:val="en-US" w:eastAsia="zh-CN" w:bidi="ar-SA"/>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供电</w:t>
                  </w:r>
                </w:p>
              </w:tc>
              <w:tc>
                <w:tcPr>
                  <w:tcW w:w="4058" w:type="pct"/>
                  <w:tcBorders>
                    <w:tl2br w:val="nil"/>
                    <w:tr2bl w:val="nil"/>
                  </w:tcBorders>
                  <w:vAlign w:val="center"/>
                </w:tcPr>
                <w:p>
                  <w:pPr>
                    <w:keepNext w:val="0"/>
                    <w:keepLines w:val="0"/>
                    <w:pageBreakBefore w:val="0"/>
                    <w:widowControl w:val="0"/>
                    <w:kinsoku/>
                    <w:wordWrap/>
                    <w:overflowPunct/>
                    <w:topLinePunct w:val="0"/>
                    <w:autoSpaceDE/>
                    <w:autoSpaceDN/>
                    <w:bidi w:val="0"/>
                    <w:snapToGrid/>
                    <w:spacing w:line="240" w:lineRule="auto"/>
                    <w:jc w:val="both"/>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lang w:eastAsia="zh-CN"/>
                      <w:highlight w:val="none"/>
                    </w:rPr>
                    <w:t>本项目供电依托</w:t>
                  </w:r>
                  <w:r>
                    <w:rPr>
                      <w:rFonts w:ascii="Times New Roman" w:eastAsia="宋体" w:cs="Times New Roman" w:hAnsi="Times New Roman"/>
                      <w:color w:val="auto"/>
                      <w:kern w:val="2"/>
                      <w:sz w:val="21"/>
                      <w:szCs w:val="21"/>
                      <w:lang w:val="en-US" w:eastAsia="zh-CN" w:bidi="ar-SA"/>
                      <w:highlight w:val="none"/>
                    </w:rPr>
                    <w:t>河北泽豪环保新材料科技有限公司</w:t>
                  </w:r>
                  <w:r>
                    <w:rPr>
                      <w:rFonts w:cs="Times New Roman" w:hint="eastAsia"/>
                      <w:color w:val="auto"/>
                      <w:kern w:val="2"/>
                      <w:sz w:val="21"/>
                      <w:szCs w:val="21"/>
                      <w:lang w:val="en-US" w:eastAsia="zh-CN" w:bidi="ar-SA"/>
                      <w:highlight w:val="none"/>
                    </w:rPr>
                    <w:t>供电设施，</w:t>
                  </w:r>
                  <w:r>
                    <w:rPr>
                      <w:rFonts w:ascii="Times New Roman" w:eastAsia="宋体" w:cs="Times New Roman" w:hAnsi="Times New Roman" w:hint="eastAsia"/>
                      <w:color w:val="auto"/>
                      <w:kern w:val="2"/>
                      <w:sz w:val="21"/>
                      <w:szCs w:val="21"/>
                      <w:lang w:val="en-US" w:eastAsia="zh-CN" w:bidi="ar-SA"/>
                      <w:highlight w:val="none"/>
                    </w:rPr>
                    <w:t>由园区供电管网提供</w:t>
                  </w:r>
                  <w:r>
                    <w:rPr>
                      <w:rFonts w:cs="Times New Roman" w:hint="eastAsia"/>
                      <w:color w:val="auto"/>
                      <w:kern w:val="2"/>
                      <w:sz w:val="21"/>
                      <w:szCs w:val="21"/>
                      <w:lang w:val="en-US" w:eastAsia="zh-CN" w:bidi="ar-SA"/>
                      <w:highlight w:val="none"/>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供热及制冷</w:t>
                  </w:r>
                </w:p>
              </w:tc>
              <w:tc>
                <w:tcPr>
                  <w:tcW w:w="4058"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废电池暂存过程无需供热及制冷；</w:t>
                  </w:r>
                  <w:r>
                    <w:rPr>
                      <w:rFonts w:ascii="Times New Roman" w:eastAsia="宋体" w:cs="Times New Roman" w:hAnsi="Times New Roman" w:hint="eastAsia"/>
                      <w:color w:val="auto"/>
                      <w:kern w:val="2"/>
                      <w:sz w:val="21"/>
                      <w:szCs w:val="21"/>
                      <w:lang w:val="en-US" w:eastAsia="zh-CN" w:bidi="ar-SA"/>
                      <w:highlight w:val="none"/>
                    </w:rPr>
                    <w:t>职工冬季采暖、夏季制冷均由空调提供。</w:t>
                  </w:r>
                </w:p>
              </w:tc>
            </w:tr>
            <w:tr>
              <w:trPr>
                <w:cantSplit/>
                <w:trHeight w:val="397"/>
              </w:trPr>
              <w:tc>
                <w:tcPr>
                  <w:tcW w:w="333" w:type="pct"/>
                  <w:vMerge w:val="restart"/>
                  <w:tcBorders>
                    <w:tl2br w:val="nil"/>
                    <w:tr2bl w:val="nil"/>
                  </w:tcBorders>
                  <w:vAlign w:val="center"/>
                </w:tcPr>
                <w:p>
                  <w:pPr>
                    <w:jc w:val="center"/>
                    <w:rPr>
                      <w:color w:val="auto"/>
                      <w:szCs w:val="21"/>
                      <w:highlight w:val="none"/>
                    </w:rPr>
                  </w:pPr>
                  <w:r>
                    <w:rPr>
                      <w:rFonts w:hint="eastAsia"/>
                      <w:color w:val="auto"/>
                      <w:szCs w:val="21"/>
                      <w:highlight w:val="none"/>
                    </w:rPr>
                    <w:t>环保工程</w:t>
                  </w:r>
                </w:p>
              </w:tc>
              <w:tc>
                <w:tcPr>
                  <w:tcW w:w="607" w:type="pct"/>
                  <w:tcBorders>
                    <w:tl2br w:val="nil"/>
                    <w:tr2bl w:val="nil"/>
                  </w:tcBorders>
                  <w:vAlign w:val="center"/>
                </w:tcPr>
                <w:p>
                  <w:pPr>
                    <w:jc w:val="center"/>
                    <w:rPr>
                      <w:color w:val="auto"/>
                      <w:szCs w:val="21"/>
                      <w:highlight w:val="none"/>
                    </w:rPr>
                  </w:pPr>
                  <w:r>
                    <w:rPr>
                      <w:rFonts w:hint="eastAsia"/>
                      <w:color w:val="auto"/>
                      <w:szCs w:val="21"/>
                      <w:highlight w:val="none"/>
                    </w:rPr>
                    <w:t>废气</w:t>
                  </w:r>
                </w:p>
              </w:tc>
              <w:tc>
                <w:tcPr>
                  <w:tcW w:w="4058" w:type="pct"/>
                  <w:tcBorders>
                    <w:tl2br w:val="nil"/>
                    <w:tr2bl w:val="nil"/>
                  </w:tcBorders>
                  <w:vAlign w:val="center"/>
                </w:tcPr>
                <w:p>
                  <w:pPr>
                    <w:pStyle w:val="65"/>
                    <w:keepNext w:val="0"/>
                    <w:keepLines w:val="0"/>
                    <w:pageBreakBefore w:val="0"/>
                    <w:widowControl w:val="0"/>
                    <w:kinsoku/>
                    <w:wordWrap/>
                    <w:overflowPunct/>
                    <w:topLinePunct w:val="0"/>
                    <w:autoSpaceDE/>
                    <w:autoSpaceDN/>
                    <w:bidi w:val="0"/>
                    <w:snapToGrid/>
                    <w:spacing w:line="240" w:lineRule="auto"/>
                    <w:contextualSpacing/>
                    <w:jc w:val="both"/>
                    <w:rPr>
                      <w:rFonts w:ascii="Times New Roman" w:eastAsia="Segoe UI" w:cs="Times New Roman" w:hAnsi="Times New Roman" w:hint="eastAsia"/>
                      <w:bCs w:val="0"/>
                      <w:i w:val="0"/>
                      <w:iCs w:val="0"/>
                      <w:caps w:val="0"/>
                      <w:smallCaps w:val="0"/>
                      <w:color w:val="auto"/>
                      <w:spacing w:val="0"/>
                      <w:kern w:val="0"/>
                      <w:sz w:val="21"/>
                      <w:szCs w:val="21"/>
                      <w:shd w:val="clear" w:color="auto" w:fill="FFFFFF"/>
                      <w:lang w:val="en-US" w:eastAsia="zh-CN" w:bidi="ar-SA"/>
                      <w:highlight w:val="none"/>
                    </w:rPr>
                  </w:pPr>
                  <w:r>
                    <w:rPr>
                      <w:rFonts w:hint="eastAsia"/>
                      <w:color w:val="auto"/>
                      <w:kern w:val="0"/>
                      <w:lang w:eastAsia="zh-CN"/>
                    </w:rPr>
                    <w:t>主要为废气风险防范措施，对非正常工况下产生的酸雾废气经负压收集后采用碱液喷淋设施处理后由1</w:t>
                  </w:r>
                  <w:r>
                    <w:rPr>
                      <w:color w:val="auto"/>
                      <w:kern w:val="0"/>
                      <w:lang w:eastAsia="zh-CN"/>
                    </w:rPr>
                    <w:t>5</w:t>
                  </w:r>
                  <w:r>
                    <w:rPr>
                      <w:rFonts w:hint="eastAsia"/>
                      <w:color w:val="auto"/>
                      <w:kern w:val="0"/>
                      <w:lang w:eastAsia="zh-CN"/>
                    </w:rPr>
                    <w:t>m高排气筒排放。</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废水</w:t>
                  </w:r>
                </w:p>
              </w:tc>
              <w:tc>
                <w:tcPr>
                  <w:tcW w:w="4058" w:type="pct"/>
                  <w:tcBorders>
                    <w:tl2br w:val="nil"/>
                    <w:tr2bl w:val="nil"/>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textAlignment w:val="baseline"/>
                    <w:rPr>
                      <w:rFonts w:ascii="Times New Roman" w:eastAsia="Segoe UI" w:cs="Times New Roman" w:hAnsi="Times New Roman"/>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hint="eastAsia"/>
                      <w:bCs/>
                      <w:color w:val="auto"/>
                      <w:kern w:val="0"/>
                      <w:sz w:val="21"/>
                      <w:szCs w:val="21"/>
                      <w:lang w:val="en-US" w:eastAsia="zh-CN" w:bidi="ar-SA"/>
                    </w:rPr>
                    <w:t>本项目碱液喷淋装置碱液循环使用，定期更换，</w:t>
                  </w:r>
                  <w:r>
                    <w:rPr>
                      <w:rFonts w:cs="Times New Roman" w:hint="eastAsia"/>
                      <w:bCs/>
                      <w:color w:val="auto"/>
                      <w:kern w:val="0"/>
                      <w:sz w:val="21"/>
                      <w:szCs w:val="21"/>
                      <w:lang w:val="en-US" w:eastAsia="zh-CN" w:bidi="ar-SA"/>
                    </w:rPr>
                    <w:t>废碱液</w:t>
                  </w:r>
                  <w:r>
                    <w:rPr>
                      <w:rFonts w:ascii="Times New Roman" w:eastAsia="宋体" w:cs="Times New Roman" w:hAnsi="Times New Roman" w:hint="eastAsia"/>
                      <w:bCs/>
                      <w:color w:val="auto"/>
                      <w:kern w:val="0"/>
                      <w:sz w:val="21"/>
                      <w:szCs w:val="21"/>
                      <w:lang w:val="en-US" w:eastAsia="zh-CN" w:bidi="ar-SA"/>
                    </w:rPr>
                    <w:t>交由有资质单位处置；</w:t>
                  </w: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r>
                    <w:rPr>
                      <w:rFonts w:ascii="Times New Roman" w:eastAsia="宋体" w:cs="Times New Roman" w:hAnsi="Times New Roman" w:hint="eastAsia"/>
                      <w:bCs/>
                      <w:color w:val="auto"/>
                      <w:kern w:val="0"/>
                      <w:sz w:val="21"/>
                      <w:szCs w:val="21"/>
                      <w:lang w:val="en-US" w:eastAsia="zh-CN" w:bidi="ar-SA"/>
                    </w:rPr>
                    <w:t>。</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Cs w:val="21"/>
                      <w:lang w:val="zh-CN"/>
                      <w:highlight w:val="none"/>
                    </w:rPr>
                  </w:pPr>
                  <w:r>
                    <w:rPr>
                      <w:rFonts w:hint="eastAsia"/>
                      <w:color w:val="auto"/>
                      <w:szCs w:val="21"/>
                      <w:lang w:val="zh-CN"/>
                      <w:highlight w:val="none"/>
                    </w:rPr>
                    <w:t>噪声</w:t>
                  </w:r>
                </w:p>
              </w:tc>
              <w:tc>
                <w:tcPr>
                  <w:tcW w:w="4058" w:type="pct"/>
                  <w:tcBorders>
                    <w:tl2br w:val="nil"/>
                    <w:tr2bl w:val="nil"/>
                  </w:tcBorders>
                  <w:vAlign w:val="center"/>
                </w:tcPr>
                <w:p>
                  <w:pPr>
                    <w:jc w:val="both"/>
                    <w:rPr>
                      <w:color w:val="auto"/>
                      <w:sz w:val="21"/>
                      <w:szCs w:val="21"/>
                      <w:lang w:val="zh-CN"/>
                      <w:highlight w:val="none"/>
                    </w:rPr>
                  </w:pPr>
                  <w:r>
                    <w:rPr>
                      <w:rFonts w:hint="eastAsia"/>
                      <w:color w:val="auto"/>
                      <w:sz w:val="21"/>
                      <w:szCs w:val="21"/>
                      <w:highlight w:val="none"/>
                    </w:rPr>
                    <w:t>设备</w:t>
                  </w:r>
                  <w:r>
                    <w:rPr>
                      <w:rFonts w:hint="eastAsia"/>
                      <w:color w:val="auto"/>
                      <w:sz w:val="21"/>
                      <w:szCs w:val="21"/>
                      <w:lang w:val="zh-CN"/>
                      <w:highlight w:val="none"/>
                    </w:rPr>
                    <w:t>选用低噪声设备，采取基础减振、</w:t>
                  </w:r>
                  <w:r>
                    <w:rPr>
                      <w:rFonts w:hint="eastAsia"/>
                      <w:color w:val="auto"/>
                      <w:sz w:val="21"/>
                      <w:szCs w:val="21"/>
                      <w:highlight w:val="none"/>
                    </w:rPr>
                    <w:t>建筑隔声、</w:t>
                  </w:r>
                  <w:r>
                    <w:rPr>
                      <w:rFonts w:hint="eastAsia"/>
                      <w:color w:val="auto"/>
                      <w:sz w:val="21"/>
                      <w:szCs w:val="21"/>
                      <w:lang w:val="zh-CN"/>
                      <w:highlight w:val="none"/>
                    </w:rPr>
                    <w:t>距离衰减等措施。</w:t>
                  </w:r>
                </w:p>
              </w:tc>
            </w:tr>
            <w:tr>
              <w:trPr>
                <w:cantSplit/>
                <w:trHeight w:val="397"/>
              </w:trPr>
              <w:tc>
                <w:tcPr>
                  <w:tcW w:w="333" w:type="pct"/>
                  <w:vMerge/>
                  <w:tcBorders>
                    <w:tl2br w:val="nil"/>
                    <w:tr2bl w:val="nil"/>
                  </w:tcBorders>
                  <w:vAlign w:val="center"/>
                </w:tcPr>
                <w:p/>
              </w:tc>
              <w:tc>
                <w:tcPr>
                  <w:tcW w:w="607" w:type="pct"/>
                  <w:tcBorders>
                    <w:tl2br w:val="nil"/>
                    <w:tr2bl w:val="nil"/>
                  </w:tcBorders>
                  <w:vAlign w:val="center"/>
                </w:tcPr>
                <w:p>
                  <w:pPr>
                    <w:jc w:val="center"/>
                    <w:rPr>
                      <w:color w:val="auto"/>
                      <w:sz w:val="21"/>
                      <w:szCs w:val="21"/>
                      <w:highlight w:val="none"/>
                    </w:rPr>
                  </w:pPr>
                  <w:r>
                    <w:rPr>
                      <w:rFonts w:hint="eastAsia"/>
                      <w:color w:val="auto"/>
                      <w:sz w:val="21"/>
                      <w:szCs w:val="21"/>
                      <w:highlight w:val="none"/>
                    </w:rPr>
                    <w:t>固废</w:t>
                  </w:r>
                </w:p>
              </w:tc>
              <w:tc>
                <w:tcPr>
                  <w:tcW w:w="4058" w:type="pct"/>
                  <w:tcBorders>
                    <w:tl2br w:val="nil"/>
                    <w:tr2bl w:val="nil"/>
                  </w:tcBorders>
                  <w:vAlign w:val="center"/>
                </w:tcPr>
                <w:p>
                  <w:pPr>
                    <w:rPr>
                      <w:color w:val="auto"/>
                      <w:sz w:val="21"/>
                      <w:szCs w:val="21"/>
                      <w:lang w:val="zh-CN"/>
                      <w:highlight w:val="none"/>
                    </w:rPr>
                  </w:pPr>
                  <w:r>
                    <w:rPr>
                      <w:rFonts w:hint="eastAsia"/>
                      <w:color w:val="auto"/>
                      <w:kern w:val="0"/>
                    </w:rPr>
                    <w:t>按危废暂存相关标准要求对</w:t>
                  </w:r>
                  <w:r>
                    <w:rPr>
                      <w:rFonts w:hint="eastAsia"/>
                      <w:color w:val="auto"/>
                      <w:kern w:val="0"/>
                      <w:lang w:val="en-US" w:eastAsia="zh-CN"/>
                    </w:rPr>
                    <w:t>库房</w:t>
                  </w:r>
                  <w:r>
                    <w:rPr>
                      <w:rStyle w:val="51"/>
                      <w:rFonts w:cs="Times New Roman" w:hint="eastAsia"/>
                      <w:color w:val="auto"/>
                      <w:lang w:val="en-US" w:eastAsia="zh-CN"/>
                    </w:rPr>
                    <w:t>暂存区</w:t>
                  </w:r>
                  <w:r>
                    <w:rPr>
                      <w:rFonts w:hint="eastAsia"/>
                      <w:color w:val="auto"/>
                      <w:kern w:val="0"/>
                    </w:rPr>
                    <w:t>进行改造</w:t>
                  </w:r>
                  <w:r>
                    <w:rPr>
                      <w:rFonts w:hint="eastAsia"/>
                      <w:color w:val="auto"/>
                      <w:kern w:val="0"/>
                      <w:highlight w:val="none"/>
                    </w:rPr>
                    <w:t>，</w:t>
                  </w:r>
                  <w:r>
                    <w:rPr>
                      <w:rFonts w:hint="eastAsia"/>
                      <w:color w:val="auto"/>
                      <w:kern w:val="0"/>
                      <w:lang w:eastAsia="zh-CN"/>
                      <w:highlight w:val="none"/>
                    </w:rPr>
                    <w:t>并设有</w:t>
                  </w:r>
                  <w:r>
                    <w:rPr>
                      <w:rFonts w:hint="eastAsia"/>
                      <w:color w:val="auto"/>
                      <w:kern w:val="0"/>
                      <w:lang w:val="en-US" w:eastAsia="zh-CN"/>
                      <w:highlight w:val="none"/>
                    </w:rPr>
                    <w:t>1个废液收集池，内置PE桶</w:t>
                  </w:r>
                  <w:r>
                    <w:rPr>
                      <w:rFonts w:hint="eastAsia"/>
                      <w:color w:val="auto"/>
                      <w:kern w:val="0"/>
                      <w:lang w:eastAsia="zh-CN"/>
                      <w:highlight w:val="none"/>
                    </w:rPr>
                    <w:t>。破损电池放置于单独的贮存间内，</w:t>
                  </w: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电解液、废碱液、</w:t>
                  </w:r>
                  <w:r>
                    <w:rPr>
                      <w:rFonts w:hint="eastAsia"/>
                      <w:color w:val="auto"/>
                      <w:sz w:val="21"/>
                      <w:szCs w:val="21"/>
                      <w:lang w:eastAsia="zh-CN"/>
                      <w:highlight w:val="none"/>
                    </w:rPr>
                    <w:t>废防护用具等置于独立的危废间，全部交由有资质单位处置。生活垃圾由环卫部门统一清运处理。</w:t>
                  </w:r>
                </w:p>
              </w:tc>
            </w:tr>
            <w:tr>
              <w:trPr>
                <w:cantSplit/>
                <w:trHeight w:val="397"/>
              </w:trPr>
              <w:tc>
                <w:tcPr>
                  <w:tcW w:w="333" w:type="pct"/>
                  <w:tcBorders>
                    <w:tl2br w:val="nil"/>
                    <w:tr2bl w:val="nil"/>
                  </w:tcBorders>
                  <w:vAlign w:val="center"/>
                </w:tcPr>
                <w:p>
                  <w:pPr>
                    <w:jc w:val="center"/>
                    <w:rPr>
                      <w:color w:val="auto"/>
                      <w:szCs w:val="21"/>
                      <w:highlight w:val="none"/>
                    </w:rPr>
                  </w:pPr>
                </w:p>
              </w:tc>
              <w:tc>
                <w:tcPr>
                  <w:tcW w:w="607" w:type="pct"/>
                  <w:tcBorders>
                    <w:tl2br w:val="nil"/>
                    <w:tr2bl w:val="nil"/>
                  </w:tcBorders>
                  <w:vAlign w:val="center"/>
                </w:tcPr>
                <w:p>
                  <w:pPr>
                    <w:jc w:val="center"/>
                    <w:rPr>
                      <w:rFonts w:eastAsia="宋体" w:hint="eastAsia"/>
                      <w:color w:val="auto"/>
                      <w:sz w:val="21"/>
                      <w:szCs w:val="21"/>
                      <w:lang w:eastAsia="zh-CN"/>
                      <w:highlight w:val="none"/>
                    </w:rPr>
                  </w:pPr>
                  <w:r>
                    <w:rPr>
                      <w:rFonts w:hint="eastAsia"/>
                      <w:color w:val="auto"/>
                      <w:sz w:val="21"/>
                      <w:szCs w:val="21"/>
                      <w:lang w:eastAsia="zh-CN"/>
                      <w:highlight w:val="none"/>
                    </w:rPr>
                    <w:t>管理</w:t>
                  </w:r>
                </w:p>
              </w:tc>
              <w:tc>
                <w:tcPr>
                  <w:tcW w:w="4058" w:type="pct"/>
                  <w:tcBorders>
                    <w:tl2br w:val="nil"/>
                    <w:tr2bl w:val="nil"/>
                  </w:tcBorders>
                  <w:vAlign w:val="center"/>
                </w:tcPr>
                <w:p>
                  <w:pPr>
                    <w:rPr>
                      <w:rFonts w:hint="eastAsia"/>
                      <w:color w:val="auto"/>
                      <w:kern w:val="0"/>
                    </w:rPr>
                  </w:pPr>
                  <w:r>
                    <w:rPr>
                      <w:rFonts w:hint="eastAsia"/>
                      <w:color w:val="auto"/>
                      <w:kern w:val="0"/>
                    </w:rPr>
                    <w:t>企业要建立危险废物经营情况记录簿，详细记录每日接收、贮存、利用、处置废铅蓄电池的类别、来源、重量、工况运行及环境监测等情况。危险废物经营情况记录簿要保存10年以上。</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eastAsia="宋体" w:hint="eastAsia"/>
                <w:b/>
                <w:bCs/>
                <w:color w:val="auto"/>
                <w:sz w:val="24"/>
                <w:lang w:eastAsia="zh-CN"/>
                <w:highlight w:val="none"/>
              </w:rPr>
            </w:pPr>
            <w:r>
              <w:rPr>
                <w:rFonts w:hint="eastAsia"/>
                <w:b/>
                <w:bCs/>
                <w:color w:val="auto"/>
                <w:sz w:val="24"/>
                <w:lang w:val="en-US" w:eastAsia="zh-CN"/>
                <w:highlight w:val="none"/>
              </w:rPr>
              <w:t>4</w:t>
            </w:r>
            <w:r>
              <w:rPr>
                <w:rFonts w:hint="eastAsia"/>
                <w:b/>
                <w:bCs/>
                <w:color w:val="auto"/>
                <w:sz w:val="24"/>
                <w:highlight w:val="none"/>
              </w:rPr>
              <w:t>、</w:t>
            </w:r>
            <w:r>
              <w:rPr>
                <w:rFonts w:hint="eastAsia"/>
                <w:b/>
                <w:bCs/>
                <w:color w:val="auto"/>
                <w:sz w:val="24"/>
                <w:lang w:eastAsia="zh-CN"/>
                <w:highlight w:val="none"/>
              </w:rPr>
              <w:t>贮存方案</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w:t>
            </w:r>
            <w:r>
              <w:rPr>
                <w:rFonts w:hint="eastAsia"/>
                <w:color w:val="auto"/>
                <w:sz w:val="24"/>
                <w:lang w:val="en-US" w:eastAsia="zh-CN"/>
                <w:highlight w:val="none"/>
              </w:rPr>
              <w:t>贮存方案</w:t>
            </w:r>
            <w:r>
              <w:rPr>
                <w:rFonts w:hint="eastAsia"/>
                <w:color w:val="auto"/>
                <w:sz w:val="24"/>
                <w:highlight w:val="none"/>
              </w:rPr>
              <w:t>见表2-2。</w:t>
            </w:r>
          </w:p>
          <w:p>
            <w:pPr>
              <w:jc w:val="center"/>
              <w:rPr>
                <w:b/>
                <w:bCs/>
                <w:color w:val="auto"/>
                <w:sz w:val="24"/>
                <w:highlight w:val="none"/>
              </w:rPr>
            </w:pPr>
            <w:bookmarkStart w:id="39" w:name="_Hlk180481875"/>
            <w:r>
              <w:rPr>
                <w:b/>
                <w:bCs/>
                <w:color w:val="auto"/>
                <w:sz w:val="24"/>
                <w:highlight w:val="none"/>
              </w:rPr>
              <w:t xml:space="preserve">表2-2  </w:t>
            </w:r>
            <w:r>
              <w:rPr>
                <w:rFonts w:hint="eastAsia"/>
                <w:b/>
                <w:bCs/>
                <w:color w:val="auto"/>
                <w:sz w:val="24"/>
                <w:highlight w:val="none"/>
              </w:rPr>
              <w:t>项目</w:t>
            </w:r>
            <w:r>
              <w:rPr>
                <w:rFonts w:hint="eastAsia"/>
                <w:b/>
                <w:bCs/>
                <w:color w:val="auto"/>
                <w:sz w:val="24"/>
                <w:lang w:val="en-US" w:eastAsia="zh-CN"/>
                <w:highlight w:val="none"/>
              </w:rPr>
              <w:t>废电池贮存方案</w:t>
            </w:r>
            <w:r>
              <w:rPr>
                <w:b/>
                <w:bCs/>
                <w:color w:val="auto"/>
                <w:sz w:val="24"/>
                <w:highlight w:val="none"/>
              </w:rPr>
              <w:t>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14"/>
              <w:gridCol w:w="1363"/>
              <w:gridCol w:w="1188"/>
              <w:gridCol w:w="1023"/>
              <w:gridCol w:w="1089"/>
              <w:gridCol w:w="1188"/>
              <w:gridCol w:w="1434"/>
            </w:tblGrid>
            <w:tr>
              <w:trPr>
                <w:trHeight w:val="397"/>
              </w:trPr>
              <w:tc>
                <w:tcPr>
                  <w:tcW w:w="502"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bookmarkStart w:id="40" w:name="_Hlk161671440"/>
                  <w:r>
                    <w:rPr>
                      <w:rFonts w:cs="Times New Roman" w:hint="eastAsia"/>
                      <w:b/>
                      <w:bCs/>
                      <w:color w:val="auto"/>
                      <w:szCs w:val="21"/>
                      <w:lang w:eastAsia="zh-CN"/>
                      <w:highlight w:val="none"/>
                    </w:rPr>
                    <w:t>电池种类</w:t>
                  </w:r>
                </w:p>
              </w:tc>
              <w:tc>
                <w:tcPr>
                  <w:tcW w:w="841" w:type="pct"/>
                  <w:tcBorders>
                    <w:tl2br w:val="nil"/>
                    <w:tr2bl w:val="nil"/>
                  </w:tcBorders>
                  <w:vAlign w:val="center"/>
                </w:tcPr>
                <w:p>
                  <w:pPr>
                    <w:jc w:val="center"/>
                    <w:rPr>
                      <w:rFonts w:ascii="Times New Roman" w:eastAsia="宋体" w:cs="Times New Roman" w:hAnsi="Times New Roman"/>
                      <w:b/>
                      <w:bCs/>
                      <w:color w:val="auto"/>
                      <w:szCs w:val="21"/>
                      <w:lang w:val="en-US" w:eastAsia="zh-CN"/>
                      <w:highlight w:val="none"/>
                    </w:rPr>
                  </w:pPr>
                  <w:r>
                    <w:rPr>
                      <w:rFonts w:cs="Times New Roman" w:hint="eastAsia"/>
                      <w:b/>
                      <w:bCs/>
                      <w:color w:val="auto"/>
                      <w:szCs w:val="21"/>
                      <w:lang w:val="en-US" w:eastAsia="zh-CN"/>
                      <w:highlight w:val="none"/>
                    </w:rPr>
                    <w:t>来源</w:t>
                  </w:r>
                </w:p>
              </w:tc>
              <w:tc>
                <w:tcPr>
                  <w:tcW w:w="733" w:type="pct"/>
                  <w:tcBorders>
                    <w:tl2br w:val="nil"/>
                    <w:tr2bl w:val="nil"/>
                  </w:tcBorders>
                  <w:vAlign w:val="center"/>
                </w:tcPr>
                <w:p>
                  <w:pPr>
                    <w:jc w:val="center"/>
                    <w:rPr>
                      <w:rFonts w:cs="Times New Roman"/>
                      <w:b/>
                      <w:bCs/>
                      <w:color w:val="auto"/>
                      <w:szCs w:val="21"/>
                      <w:lang w:val="en-US" w:eastAsia="zh-CN"/>
                      <w:highlight w:val="none"/>
                    </w:rPr>
                  </w:pPr>
                  <w:r>
                    <w:rPr>
                      <w:rFonts w:cs="Times New Roman" w:hint="eastAsia"/>
                      <w:b/>
                      <w:bCs/>
                      <w:color w:val="auto"/>
                      <w:szCs w:val="21"/>
                      <w:lang w:val="en-US" w:eastAsia="zh-CN"/>
                      <w:highlight w:val="none"/>
                    </w:rPr>
                    <w:t>库房最大贮存（t/d）</w:t>
                  </w:r>
                </w:p>
              </w:tc>
              <w:tc>
                <w:tcPr>
                  <w:tcW w:w="631"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val="en-US" w:eastAsia="zh-CN"/>
                      <w:highlight w:val="none"/>
                    </w:rPr>
                    <w:t>周转周期（天）</w:t>
                  </w:r>
                </w:p>
              </w:tc>
              <w:tc>
                <w:tcPr>
                  <w:tcW w:w="672" w:type="pct"/>
                  <w:tcBorders>
                    <w:tl2br w:val="nil"/>
                    <w:tr2bl w:val="nil"/>
                  </w:tcBorders>
                  <w:vAlign w:val="center"/>
                </w:tcPr>
                <w:p>
                  <w:pPr>
                    <w:jc w:val="center"/>
                    <w:rPr>
                      <w:rFonts w:cs="Times New Roman"/>
                      <w:b/>
                      <w:bCs/>
                      <w:color w:val="auto"/>
                      <w:szCs w:val="21"/>
                      <w:lang w:val="en-US" w:eastAsia="zh-CN"/>
                      <w:highlight w:val="none"/>
                    </w:rPr>
                  </w:pPr>
                  <w:r>
                    <w:rPr>
                      <w:rFonts w:cs="Times New Roman" w:hint="eastAsia"/>
                      <w:b/>
                      <w:bCs/>
                      <w:color w:val="auto"/>
                      <w:szCs w:val="21"/>
                      <w:lang w:val="en-US" w:eastAsia="zh-CN"/>
                      <w:highlight w:val="none"/>
                    </w:rPr>
                    <w:t>年中转能力（t/a）</w:t>
                  </w:r>
                </w:p>
              </w:tc>
              <w:tc>
                <w:tcPr>
                  <w:tcW w:w="733" w:type="pct"/>
                  <w:tcBorders>
                    <w:tl2br w:val="nil"/>
                    <w:tr2bl w:val="nil"/>
                  </w:tcBorders>
                  <w:vAlign w:val="center"/>
                </w:tcPr>
                <w:p>
                  <w:pPr>
                    <w:jc w:val="center"/>
                    <w:rPr>
                      <w:rFonts w:cs="Times New Roman" w:hint="eastAsia"/>
                      <w:b/>
                      <w:bCs/>
                      <w:color w:val="auto"/>
                      <w:szCs w:val="21"/>
                      <w:lang w:val="en-US" w:eastAsia="zh-CN"/>
                      <w:highlight w:val="none"/>
                    </w:rPr>
                  </w:pPr>
                  <w:r>
                    <w:rPr>
                      <w:rFonts w:cs="Times New Roman" w:hint="eastAsia"/>
                      <w:b/>
                      <w:bCs/>
                      <w:color w:val="auto"/>
                      <w:szCs w:val="21"/>
                      <w:lang w:val="en-US" w:eastAsia="zh-CN"/>
                      <w:highlight w:val="none"/>
                    </w:rPr>
                    <w:t>废物类别及代码</w:t>
                  </w:r>
                </w:p>
              </w:tc>
              <w:tc>
                <w:tcPr>
                  <w:tcW w:w="885" w:type="pct"/>
                  <w:tcBorders>
                    <w:tl2br w:val="nil"/>
                    <w:tr2bl w:val="nil"/>
                  </w:tcBorders>
                  <w:vAlign w:val="center"/>
                </w:tcPr>
                <w:p>
                  <w:pPr>
                    <w:jc w:val="center"/>
                    <w:rPr>
                      <w:rFonts w:cs="Times New Roman" w:hint="eastAsia"/>
                      <w:b/>
                      <w:bCs/>
                      <w:color w:val="auto"/>
                      <w:szCs w:val="21"/>
                      <w:lang w:val="en-US" w:eastAsia="zh-CN"/>
                      <w:highlight w:val="none"/>
                    </w:rPr>
                  </w:pPr>
                  <w:r>
                    <w:rPr>
                      <w:rFonts w:cs="Times New Roman" w:hint="eastAsia"/>
                      <w:b/>
                      <w:bCs/>
                      <w:color w:val="auto"/>
                      <w:szCs w:val="21"/>
                      <w:lang w:val="en-US" w:eastAsia="zh-CN"/>
                      <w:highlight w:val="none"/>
                    </w:rPr>
                    <w:t>备注</w:t>
                  </w:r>
                </w:p>
              </w:tc>
            </w:tr>
            <w:tr>
              <w:trPr>
                <w:trHeight w:val="397"/>
              </w:trPr>
              <w:tc>
                <w:tcPr>
                  <w:tcW w:w="502" w:type="pct"/>
                  <w:tcBorders>
                    <w:tl2br w:val="nil"/>
                    <w:tr2bl w:val="nil"/>
                  </w:tcBorders>
                  <w:vAlign w:val="center"/>
                </w:tcPr>
                <w:p>
                  <w:pPr>
                    <w:jc w:val="center"/>
                    <w:rPr>
                      <w:rFonts w:eastAsia="宋体" w:hint="eastAsia"/>
                      <w:color w:val="auto"/>
                      <w:szCs w:val="21"/>
                      <w:lang w:val="en-US" w:eastAsia="zh-CN"/>
                      <w:highlight w:val="none"/>
                    </w:rPr>
                  </w:pPr>
                  <w:r>
                    <w:rPr>
                      <w:rFonts w:hint="eastAsia"/>
                      <w:color w:val="auto"/>
                      <w:szCs w:val="21"/>
                      <w:lang w:val="en-US" w:eastAsia="zh-CN"/>
                      <w:highlight w:val="none"/>
                    </w:rPr>
                    <w:t>废铅蓄电池</w:t>
                  </w:r>
                </w:p>
              </w:tc>
              <w:tc>
                <w:tcPr>
                  <w:tcW w:w="841" w:type="pct"/>
                  <w:tcBorders>
                    <w:tl2br w:val="nil"/>
                    <w:tr2bl w:val="nil"/>
                  </w:tcBorders>
                  <w:vAlign w:val="center"/>
                </w:tcPr>
                <w:p>
                  <w:pPr>
                    <w:jc w:val="center"/>
                    <w:rPr>
                      <w:rFonts w:hint="eastAsia"/>
                      <w:color w:val="auto"/>
                      <w:szCs w:val="21"/>
                      <w:lang w:val="en-US" w:eastAsia="zh-CN"/>
                      <w:highlight w:val="none"/>
                    </w:rPr>
                  </w:pPr>
                  <w:r>
                    <w:rPr>
                      <w:rFonts w:hint="eastAsia"/>
                      <w:color w:val="auto"/>
                      <w:szCs w:val="21"/>
                      <w:lang w:val="en-US" w:eastAsia="zh-CN"/>
                      <w:highlight w:val="none"/>
                    </w:rPr>
                    <w:t>园区、医院、机关单位等部门</w:t>
                  </w:r>
                </w:p>
              </w:tc>
              <w:tc>
                <w:tcPr>
                  <w:tcW w:w="733" w:type="pct"/>
                  <w:tcBorders>
                    <w:tl2br w:val="nil"/>
                    <w:tr2bl w:val="nil"/>
                  </w:tcBorders>
                  <w:vAlign w:val="center"/>
                </w:tcPr>
                <w:p>
                  <w:pPr>
                    <w:jc w:val="center"/>
                    <w:rPr>
                      <w:color w:val="auto"/>
                      <w:szCs w:val="21"/>
                      <w:lang w:val="en-US" w:eastAsia="zh-CN"/>
                      <w:highlight w:val="none"/>
                    </w:rPr>
                  </w:pPr>
                  <w:r>
                    <w:rPr>
                      <w:rFonts w:hint="eastAsia"/>
                      <w:color w:val="auto"/>
                      <w:szCs w:val="21"/>
                      <w:lang w:val="en-US" w:eastAsia="zh-CN"/>
                      <w:highlight w:val="none"/>
                    </w:rPr>
                    <w:t>100</w:t>
                  </w:r>
                </w:p>
              </w:tc>
              <w:tc>
                <w:tcPr>
                  <w:tcW w:w="631"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5</w:t>
                  </w:r>
                </w:p>
              </w:tc>
              <w:tc>
                <w:tcPr>
                  <w:tcW w:w="672"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6000</w:t>
                  </w:r>
                </w:p>
              </w:tc>
              <w:tc>
                <w:tcPr>
                  <w:tcW w:w="733"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HW31</w:t>
                  </w:r>
                  <w:r>
                    <w:rPr>
                      <w:rFonts w:cs="Times New Roman" w:hint="eastAsia"/>
                      <w:color w:val="auto"/>
                      <w:szCs w:val="21"/>
                      <w:lang w:val="en-US" w:eastAsia="zh-CN"/>
                      <w:highlight w:val="none"/>
                    </w:rPr>
                    <w:t xml:space="preserve"> </w:t>
                  </w:r>
                  <w:r>
                    <w:rPr>
                      <w:rFonts w:ascii="Times New Roman" w:eastAsia="宋体" w:cs="Times New Roman" w:hAnsi="Times New Roman" w:hint="eastAsia"/>
                      <w:color w:val="auto"/>
                      <w:szCs w:val="21"/>
                      <w:lang w:val="en-US" w:eastAsia="zh-CN"/>
                      <w:highlight w:val="none"/>
                    </w:rPr>
                    <w:t>900-052-31</w:t>
                  </w:r>
                </w:p>
              </w:tc>
              <w:tc>
                <w:tcPr>
                  <w:tcW w:w="885"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cs="Times New Roman" w:hint="eastAsia"/>
                      <w:color w:val="auto"/>
                      <w:szCs w:val="21"/>
                      <w:lang w:val="en-US" w:eastAsia="zh-CN"/>
                      <w:highlight w:val="none"/>
                    </w:rPr>
                    <w:t>仅涉及贮存，不涉及运输、拆解、利用等</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auto"/>
                <w:sz w:val="24"/>
                <w:lang w:eastAsia="zh-CN"/>
                <w:highlight w:val="none"/>
              </w:rPr>
            </w:pPr>
            <w:bookmarkEnd w:id="39"/>
            <w:bookmarkEnd w:id="40"/>
            <w:r>
              <w:rPr>
                <w:rFonts w:hint="eastAsia"/>
                <w:color w:val="auto"/>
                <w:sz w:val="24"/>
                <w:lang w:val="en-US" w:eastAsia="zh-CN"/>
                <w:highlight w:val="none"/>
              </w:rPr>
              <w:t>本项目仅涉及废电池的收集</w:t>
            </w:r>
            <w:r>
              <w:rPr>
                <w:color w:val="auto"/>
                <w:sz w:val="24"/>
                <w:lang w:eastAsia="zh-CN"/>
                <w:highlight w:val="none"/>
              </w:rPr>
              <w:t>，</w:t>
            </w:r>
            <w:r>
              <w:rPr>
                <w:rFonts w:hint="eastAsia"/>
                <w:color w:val="auto"/>
                <w:sz w:val="24"/>
                <w:lang w:val="en-US" w:eastAsia="zh-CN"/>
                <w:highlight w:val="none"/>
              </w:rPr>
              <w:t>不涉及运输、拆解及利用等。废铅蓄电池主要来源于园区、医院、机关单位等部门的定期更换。根据《国家危险废物名录（2025年版）》，废铅蓄电池属于HW31含铅废物，废物代码为900-052-31，具有毒性及腐蚀性等危险特性。根据环境风险大小将废铅蓄电池分为两类，第I类废铅蓄电池指未破损的密闭式免维护废铅蓄电池</w:t>
            </w:r>
            <w:r>
              <w:rPr>
                <w:color w:val="auto"/>
                <w:sz w:val="24"/>
                <w:lang w:eastAsia="zh-CN"/>
                <w:highlight w:val="none"/>
              </w:rPr>
              <w:t>；</w:t>
            </w:r>
            <w:r>
              <w:rPr>
                <w:rFonts w:hint="eastAsia"/>
                <w:color w:val="auto"/>
                <w:sz w:val="24"/>
                <w:lang w:val="en-US" w:eastAsia="zh-CN"/>
                <w:highlight w:val="none"/>
              </w:rPr>
              <w:t>第II类废铅蓄电池指开口式废铅蓄电池和破损的密闭式免维护废铅蓄电池。目前市场上开口式普通铅蓄电池已淘汰，本项目只收集完好的密闭式免维护废铅蓄电池，即第I类废铅蓄电池。完好</w:t>
            </w:r>
            <w:r>
              <w:rPr>
                <w:rFonts w:hint="eastAsia"/>
                <w:color w:val="auto"/>
                <w:sz w:val="24"/>
                <w:lang w:val="en-US"/>
                <w:highlight w:val="none"/>
              </w:rPr>
              <w:t>的废铅蓄</w:t>
            </w:r>
            <w:r>
              <w:rPr>
                <w:rFonts w:hint="eastAsia"/>
                <w:color w:val="auto"/>
                <w:sz w:val="24"/>
                <w:lang w:val="en-US" w:eastAsia="zh-CN"/>
                <w:highlight w:val="none"/>
              </w:rPr>
              <w:t>电池有可能在运输环节发生挤压碰撞，出现少量破损时会在进厂后分拣过程中被选出按照第II类废铅蓄电池管理要求进行单独贮存</w:t>
            </w:r>
            <w:r>
              <w:rPr>
                <w:color w:val="auto"/>
                <w:sz w:val="24"/>
                <w:lang w:eastAsia="zh-CN"/>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lang w:val="en-US" w:eastAsia="zh-CN"/>
              </w:rPr>
            </w:pPr>
            <w:r>
              <w:rPr>
                <w:rFonts w:hint="eastAsia"/>
                <w:color w:val="auto"/>
                <w:sz w:val="24"/>
                <w:lang w:val="en-US" w:eastAsia="zh-CN"/>
                <w:highlight w:val="none"/>
              </w:rPr>
              <w:t>废铅蓄电池主要结构组成、主要成分及理化性质见表2-3、表2-4和表2-5。</w:t>
            </w:r>
          </w:p>
          <w:p>
            <w:pPr>
              <w:pStyle w:val="93"/>
              <w:jc w:val="center"/>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b/>
                <w:bCs/>
                <w:color w:val="auto"/>
                <w:kern w:val="2"/>
                <w:sz w:val="24"/>
                <w:szCs w:val="24"/>
                <w:lang w:val="en-US" w:eastAsia="zh-CN" w:bidi="ar-SA"/>
                <w:highlight w:val="none"/>
              </w:rPr>
              <w:t>表</w:t>
            </w:r>
            <w:r>
              <w:rPr>
                <w:rFonts w:ascii="Times New Roman" w:eastAsia="宋体" w:cs="Times New Roman" w:hAnsi="Times New Roman" w:hint="eastAsia"/>
                <w:b/>
                <w:bCs/>
                <w:color w:val="auto"/>
                <w:kern w:val="2"/>
                <w:sz w:val="24"/>
                <w:szCs w:val="24"/>
                <w:lang w:val="en-US" w:eastAsia="zh-CN" w:bidi="ar-SA"/>
                <w:highlight w:val="none"/>
              </w:rPr>
              <w:t>2-3</w:t>
            </w:r>
            <w:r>
              <w:rPr>
                <w:rFonts w:ascii="Times New Roman" w:eastAsia="宋体" w:cs="Times New Roman" w:hAnsi="Times New Roman"/>
                <w:b/>
                <w:bCs/>
                <w:color w:val="auto"/>
                <w:kern w:val="2"/>
                <w:sz w:val="24"/>
                <w:szCs w:val="24"/>
                <w:lang w:val="en-US" w:eastAsia="zh-CN" w:bidi="ar-SA"/>
                <w:highlight w:val="none"/>
              </w:rPr>
              <w:t xml:space="preserve"> 铅酸蓄电池主要结构</w:t>
            </w:r>
          </w:p>
          <w:tbl>
            <w:tblPr>
              <w:jc w:val="left"/>
              <w:tblInd w:w="0" w:type="dxa"/>
              <w:tblW w:w="4999" w:type="pct"/>
              <w:tblBorders>
                <w:top w:val="single" w:sz="12" w:space="0" w:color="000000"/>
                <w:left w:val="none" w:sz="0" w:space="0" w:color="auto"/>
                <w:bottom w:val="single" w:sz="12" w:space="0" w:color="000000"/>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200"/>
              <w:gridCol w:w="5905"/>
            </w:tblGrid>
            <w:tr>
              <w:trPr>
                <w:trHeight w:val="340"/>
              </w:trPr>
              <w:tc>
                <w:tcPr>
                  <w:tcW w:w="1357" w:type="pct"/>
                  <w:vAlign w:val="center"/>
                </w:tcPr>
                <w:p>
                  <w:pPr>
                    <w:pStyle w:val="94"/>
                    <w:rPr>
                      <w:rFonts w:hint="eastAsia"/>
                      <w:b/>
                      <w:bCs/>
                      <w:color w:val="auto"/>
                    </w:rPr>
                  </w:pPr>
                  <w:r>
                    <w:rPr>
                      <w:rFonts w:hint="eastAsia"/>
                      <w:b/>
                      <w:bCs/>
                      <w:color w:val="auto"/>
                    </w:rPr>
                    <w:t>主要构成</w:t>
                  </w:r>
                </w:p>
              </w:tc>
              <w:tc>
                <w:tcPr>
                  <w:tcW w:w="3642" w:type="pct"/>
                  <w:vAlign w:val="center"/>
                </w:tcPr>
                <w:p>
                  <w:pPr>
                    <w:pStyle w:val="94"/>
                    <w:rPr>
                      <w:rFonts w:hint="eastAsia"/>
                      <w:b/>
                      <w:bCs/>
                      <w:color w:val="auto"/>
                    </w:rPr>
                  </w:pPr>
                  <w:r>
                    <w:rPr>
                      <w:rFonts w:hint="eastAsia"/>
                      <w:b/>
                      <w:bCs/>
                      <w:color w:val="auto"/>
                    </w:rPr>
                    <w:t>简述</w:t>
                  </w:r>
                </w:p>
              </w:tc>
            </w:tr>
            <w:tr>
              <w:trPr>
                <w:trHeight w:val="340"/>
              </w:trPr>
              <w:tc>
                <w:tcPr>
                  <w:tcW w:w="1357" w:type="pct"/>
                  <w:vAlign w:val="center"/>
                </w:tcPr>
                <w:p>
                  <w:pPr>
                    <w:pStyle w:val="94"/>
                    <w:rPr>
                      <w:rFonts w:hint="eastAsia"/>
                      <w:color w:val="auto"/>
                    </w:rPr>
                  </w:pPr>
                  <w:r>
                    <w:rPr>
                      <w:rFonts w:hint="eastAsia"/>
                      <w:color w:val="auto"/>
                    </w:rPr>
                    <w:t>正负极板</w:t>
                  </w:r>
                </w:p>
              </w:tc>
              <w:tc>
                <w:tcPr>
                  <w:tcW w:w="3642" w:type="pct"/>
                  <w:vAlign w:val="center"/>
                </w:tcPr>
                <w:p>
                  <w:pPr>
                    <w:pStyle w:val="94"/>
                    <w:rPr>
                      <w:rFonts w:hint="eastAsia"/>
                      <w:color w:val="auto"/>
                    </w:rPr>
                  </w:pPr>
                  <w:r>
                    <w:rPr>
                      <w:rFonts w:hint="eastAsia"/>
                      <w:color w:val="auto"/>
                      <w:lang w:val="en-US" w:eastAsia="zh-CN"/>
                    </w:rPr>
                    <w:t>极板分正极板和负极板两种，均由栅架和填充在其上的活性物质构成</w:t>
                  </w:r>
                </w:p>
                <w:p>
                  <w:pPr>
                    <w:pStyle w:val="94"/>
                    <w:rPr>
                      <w:rFonts w:eastAsia="宋体" w:hint="eastAsia"/>
                      <w:color w:val="auto"/>
                      <w:lang w:eastAsia="zh-CN"/>
                    </w:rPr>
                  </w:pPr>
                  <w:r>
                    <w:rPr>
                      <w:rFonts w:hint="eastAsia"/>
                      <w:color w:val="auto"/>
                    </w:rPr>
                    <w:t>。正极板上的活性物质是二氧化铅(PbO</w:t>
                  </w:r>
                  <w:r>
                    <w:rPr>
                      <w:rFonts w:hint="eastAsia"/>
                      <w:color w:val="auto"/>
                      <w:vertAlign w:val="subscript"/>
                    </w:rPr>
                    <w:t>2</w:t>
                  </w:r>
                  <w:r>
                    <w:rPr>
                      <w:rFonts w:hint="eastAsia"/>
                      <w:color w:val="auto"/>
                    </w:rPr>
                    <w:t>)，呈深棕色；负极板上的活性物质是海绵状纯铅(Pb)，呈青灰色</w:t>
                  </w:r>
                  <w:r>
                    <w:rPr>
                      <w:color w:val="auto"/>
                    </w:rPr>
                    <w:t>。硫酸铅（PbSO₄，极板硫化或放电产物）混合存在于铅膏中</w:t>
                  </w:r>
                  <w:r>
                    <w:rPr>
                      <w:rFonts w:hint="eastAsia"/>
                      <w:color w:val="auto"/>
                      <w:lang w:eastAsia="zh-CN"/>
                    </w:rPr>
                    <w:t>。</w:t>
                  </w:r>
                </w:p>
              </w:tc>
            </w:tr>
            <w:tr>
              <w:trPr>
                <w:trHeight w:val="340"/>
              </w:trPr>
              <w:tc>
                <w:tcPr>
                  <w:tcW w:w="1357" w:type="pct"/>
                  <w:vAlign w:val="center"/>
                </w:tcPr>
                <w:p>
                  <w:pPr>
                    <w:pStyle w:val="94"/>
                    <w:rPr>
                      <w:rFonts w:hint="eastAsia"/>
                      <w:color w:val="auto"/>
                    </w:rPr>
                  </w:pPr>
                  <w:r>
                    <w:rPr>
                      <w:rFonts w:hint="eastAsia"/>
                      <w:color w:val="auto"/>
                    </w:rPr>
                    <w:t>隔板</w:t>
                  </w:r>
                </w:p>
              </w:tc>
              <w:tc>
                <w:tcPr>
                  <w:tcW w:w="3642" w:type="pct"/>
                  <w:vAlign w:val="center"/>
                </w:tcPr>
                <w:p>
                  <w:pPr>
                    <w:pStyle w:val="94"/>
                    <w:rPr>
                      <w:rFonts w:hint="eastAsia"/>
                      <w:color w:val="auto"/>
                    </w:rPr>
                  </w:pPr>
                  <w:r>
                    <w:rPr>
                      <w:rFonts w:hint="eastAsia"/>
                      <w:color w:val="auto"/>
                    </w:rPr>
                    <w:t>由微孔橡胶、颜料、玻璃纤维等材料制成</w:t>
                  </w:r>
                </w:p>
              </w:tc>
            </w:tr>
            <w:tr>
              <w:trPr>
                <w:trHeight w:val="340"/>
              </w:trPr>
              <w:tc>
                <w:tcPr>
                  <w:tcW w:w="1357" w:type="pct"/>
                  <w:vAlign w:val="center"/>
                </w:tcPr>
                <w:p>
                  <w:pPr>
                    <w:pStyle w:val="94"/>
                    <w:rPr>
                      <w:rFonts w:hint="eastAsia"/>
                      <w:color w:val="auto"/>
                    </w:rPr>
                  </w:pPr>
                  <w:r>
                    <w:rPr>
                      <w:rFonts w:hint="eastAsia"/>
                      <w:color w:val="auto"/>
                    </w:rPr>
                    <w:t>电解液</w:t>
                  </w:r>
                </w:p>
              </w:tc>
              <w:tc>
                <w:tcPr>
                  <w:tcW w:w="3642" w:type="pct"/>
                  <w:vAlign w:val="center"/>
                </w:tcPr>
                <w:p>
                  <w:pPr>
                    <w:pStyle w:val="94"/>
                    <w:rPr>
                      <w:rFonts w:hint="eastAsia"/>
                      <w:color w:val="auto"/>
                    </w:rPr>
                  </w:pPr>
                  <w:r>
                    <w:rPr>
                      <w:rFonts w:hint="eastAsia"/>
                      <w:color w:val="auto"/>
                    </w:rPr>
                    <w:t>由浓硫酸和纯水配制而成，一般硫酸浓度40%左右</w:t>
                  </w:r>
                </w:p>
              </w:tc>
            </w:tr>
            <w:tr>
              <w:trPr>
                <w:trHeight w:val="340"/>
              </w:trPr>
              <w:tc>
                <w:tcPr>
                  <w:tcW w:w="1357" w:type="pct"/>
                  <w:vAlign w:val="center"/>
                </w:tcPr>
                <w:p>
                  <w:pPr>
                    <w:pStyle w:val="94"/>
                    <w:rPr>
                      <w:rFonts w:hint="eastAsia"/>
                      <w:color w:val="auto"/>
                    </w:rPr>
                  </w:pPr>
                  <w:r>
                    <w:rPr>
                      <w:rFonts w:hint="eastAsia"/>
                      <w:color w:val="auto"/>
                    </w:rPr>
                    <w:t>电池壳、盖</w:t>
                  </w:r>
                </w:p>
              </w:tc>
              <w:tc>
                <w:tcPr>
                  <w:tcW w:w="3642" w:type="pct"/>
                  <w:vAlign w:val="center"/>
                </w:tcPr>
                <w:p>
                  <w:pPr>
                    <w:pStyle w:val="94"/>
                    <w:rPr>
                      <w:rFonts w:hint="eastAsia"/>
                      <w:color w:val="auto"/>
                    </w:rPr>
                  </w:pPr>
                  <w:r>
                    <w:rPr>
                      <w:rFonts w:hint="eastAsia"/>
                      <w:color w:val="auto"/>
                    </w:rPr>
                    <w:t>装正、负极板和电解液的容器，一般由塑料和橡胶材料制成</w:t>
                  </w:r>
                </w:p>
              </w:tc>
            </w:tr>
            <w:tr>
              <w:trPr>
                <w:trHeight w:val="340"/>
              </w:trPr>
              <w:tc>
                <w:tcPr>
                  <w:tcW w:w="1357" w:type="pct"/>
                  <w:vAlign w:val="center"/>
                </w:tcPr>
                <w:p>
                  <w:pPr>
                    <w:pStyle w:val="94"/>
                    <w:rPr>
                      <w:rFonts w:hint="eastAsia"/>
                      <w:color w:val="auto"/>
                    </w:rPr>
                  </w:pPr>
                  <w:r>
                    <w:rPr>
                      <w:rFonts w:hint="eastAsia"/>
                      <w:color w:val="auto"/>
                    </w:rPr>
                    <w:t>排气栓</w:t>
                  </w:r>
                </w:p>
              </w:tc>
              <w:tc>
                <w:tcPr>
                  <w:tcW w:w="3642" w:type="pct"/>
                  <w:vAlign w:val="center"/>
                </w:tcPr>
                <w:p>
                  <w:pPr>
                    <w:pStyle w:val="94"/>
                    <w:rPr>
                      <w:rFonts w:hint="eastAsia"/>
                      <w:color w:val="auto"/>
                    </w:rPr>
                  </w:pPr>
                  <w:r>
                    <w:rPr>
                      <w:rFonts w:hint="eastAsia"/>
                      <w:color w:val="auto"/>
                    </w:rPr>
                    <w:t>由塑料材料制成</w:t>
                  </w:r>
                </w:p>
              </w:tc>
            </w:tr>
          </w:tbl>
          <w:p>
            <w:pPr>
              <w:jc w:val="center"/>
              <w:rPr>
                <w:rFonts w:eastAsia="宋体"/>
                <w:b/>
                <w:bCs/>
                <w:color w:val="auto"/>
                <w:sz w:val="24"/>
                <w:lang w:val="en-US" w:eastAsia="zh-CN"/>
                <w:highlight w:val="none"/>
              </w:rPr>
            </w:pPr>
            <w:r>
              <w:rPr>
                <w:b/>
                <w:bCs/>
                <w:color w:val="auto"/>
                <w:sz w:val="24"/>
                <w:highlight w:val="none"/>
              </w:rPr>
              <w:t>表2-</w:t>
            </w:r>
            <w:r>
              <w:rPr>
                <w:rFonts w:hint="eastAsia"/>
                <w:b/>
                <w:bCs/>
                <w:color w:val="auto"/>
                <w:sz w:val="24"/>
                <w:lang w:val="en-US" w:eastAsia="zh-CN"/>
                <w:highlight w:val="none"/>
              </w:rPr>
              <w:t>4</w:t>
            </w:r>
            <w:r>
              <w:rPr>
                <w:b/>
                <w:bCs/>
                <w:color w:val="auto"/>
                <w:sz w:val="24"/>
                <w:highlight w:val="none"/>
              </w:rPr>
              <w:t xml:space="preserve">  </w:t>
            </w:r>
            <w:r>
              <w:rPr>
                <w:rFonts w:hint="eastAsia"/>
                <w:b/>
                <w:bCs/>
                <w:color w:val="auto"/>
                <w:sz w:val="24"/>
                <w:lang w:eastAsia="zh-CN"/>
                <w:highlight w:val="none"/>
              </w:rPr>
              <w:t>铅蓄电池主要成分</w:t>
            </w:r>
            <w:r>
              <w:rPr>
                <w:b/>
                <w:bCs/>
                <w:color w:val="auto"/>
                <w:sz w:val="24"/>
                <w:highlight w:val="none"/>
              </w:rPr>
              <w:t>一览表</w:t>
            </w:r>
            <w:r>
              <w:rPr>
                <w:rFonts w:hint="eastAsia"/>
                <w:b/>
                <w:bCs/>
                <w:color w:val="auto"/>
                <w:sz w:val="24"/>
                <w:lang w:val="en-US" w:eastAsia="zh-CN"/>
                <w:highlight w:val="none"/>
              </w:rPr>
              <w:t xml:space="preserve">     </w:t>
            </w:r>
          </w:p>
          <w:tbl>
            <w:tblPr>
              <w:jc w:val="center"/>
              <w:tblW w:w="498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75"/>
              <w:gridCol w:w="1333"/>
              <w:gridCol w:w="1351"/>
              <w:gridCol w:w="1516"/>
              <w:gridCol w:w="1307"/>
              <w:gridCol w:w="1302"/>
            </w:tblGrid>
            <w:tr>
              <w:trPr>
                <w:trHeight w:val="397"/>
              </w:trPr>
              <w:tc>
                <w:tcPr>
                  <w:tcW w:w="788"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eastAsia="zh-CN"/>
                      <w:highlight w:val="none"/>
                    </w:rPr>
                    <w:t>成分</w:t>
                  </w:r>
                </w:p>
              </w:tc>
              <w:tc>
                <w:tcPr>
                  <w:tcW w:w="824"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ascii="Times New Roman" w:eastAsia="宋体" w:cs="Times New Roman" w:hAnsi="Times New Roman" w:hint="eastAsia"/>
                      <w:b/>
                      <w:bCs/>
                      <w:color w:val="auto"/>
                      <w:szCs w:val="21"/>
                      <w:lang w:eastAsia="zh-CN"/>
                      <w:highlight w:val="none"/>
                    </w:rPr>
                    <w:t>板栅及零件</w:t>
                  </w:r>
                </w:p>
              </w:tc>
              <w:tc>
                <w:tcPr>
                  <w:tcW w:w="835"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ascii="Times New Roman" w:eastAsia="宋体" w:cs="Times New Roman" w:hAnsi="Times New Roman" w:hint="eastAsia"/>
                      <w:b/>
                      <w:bCs/>
                      <w:color w:val="auto"/>
                      <w:szCs w:val="21"/>
                      <w:lang w:eastAsia="zh-CN"/>
                      <w:highlight w:val="none"/>
                    </w:rPr>
                    <w:t>铅膏</w:t>
                  </w:r>
                </w:p>
              </w:tc>
              <w:tc>
                <w:tcPr>
                  <w:tcW w:w="937" w:type="pct"/>
                  <w:tcBorders>
                    <w:tl2br w:val="nil"/>
                    <w:tr2bl w:val="nil"/>
                  </w:tcBorders>
                  <w:vAlign w:val="center"/>
                </w:tcPr>
                <w:p>
                  <w:pPr>
                    <w:jc w:val="center"/>
                    <w:rPr>
                      <w:rFonts w:ascii="Times New Roman" w:eastAsia="宋体" w:cs="Times New Roman" w:hAnsi="Times New Roman" w:hint="eastAsia"/>
                      <w:b/>
                      <w:bCs/>
                      <w:color w:val="auto"/>
                      <w:szCs w:val="21"/>
                      <w:lang w:eastAsia="zh-CN"/>
                      <w:highlight w:val="none"/>
                    </w:rPr>
                  </w:pPr>
                  <w:r>
                    <w:rPr>
                      <w:rFonts w:cs="Times New Roman" w:hint="eastAsia"/>
                      <w:b/>
                      <w:bCs/>
                      <w:color w:val="auto"/>
                      <w:szCs w:val="21"/>
                      <w:lang w:eastAsia="zh-CN"/>
                      <w:highlight w:val="none"/>
                    </w:rPr>
                    <w:t>电池</w:t>
                  </w:r>
                  <w:r>
                    <w:rPr>
                      <w:rFonts w:ascii="Times New Roman" w:eastAsia="宋体" w:cs="Times New Roman" w:hAnsi="Times New Roman" w:hint="eastAsia"/>
                      <w:b/>
                      <w:bCs/>
                      <w:color w:val="auto"/>
                      <w:szCs w:val="21"/>
                      <w:lang w:eastAsia="zh-CN"/>
                      <w:highlight w:val="none"/>
                    </w:rPr>
                    <w:t>外壳</w:t>
                  </w:r>
                </w:p>
              </w:tc>
              <w:tc>
                <w:tcPr>
                  <w:tcW w:w="808" w:type="pct"/>
                  <w:tcBorders>
                    <w:tl2br w:val="nil"/>
                    <w:tr2bl w:val="nil"/>
                  </w:tcBorders>
                  <w:shd w:val="clear" w:color="auto" w:fill="auto"/>
                  <w:vAlign w:val="center"/>
                </w:tcPr>
                <w:p>
                  <w:pPr>
                    <w:jc w:val="center"/>
                    <w:rPr>
                      <w:rFonts w:ascii="Times New Roman" w:eastAsia="宋体" w:cs="Times New Roman" w:hAnsi="Times New Roman" w:hint="eastAsia"/>
                      <w:b/>
                      <w:bCs/>
                      <w:color w:val="auto"/>
                      <w:kern w:val="2"/>
                      <w:sz w:val="21"/>
                      <w:szCs w:val="21"/>
                      <w:lang w:val="en-US" w:eastAsia="zh-CN" w:bidi="ar-SA"/>
                      <w:highlight w:val="none"/>
                    </w:rPr>
                  </w:pPr>
                  <w:r>
                    <w:rPr>
                      <w:rFonts w:cs="Times New Roman" w:hint="eastAsia"/>
                      <w:b/>
                      <w:bCs/>
                      <w:color w:val="auto"/>
                      <w:szCs w:val="21"/>
                      <w:lang w:eastAsia="zh-CN"/>
                      <w:highlight w:val="none"/>
                    </w:rPr>
                    <w:t>废电解液（硫酸）</w:t>
                  </w:r>
                </w:p>
              </w:tc>
              <w:tc>
                <w:tcPr>
                  <w:tcW w:w="805" w:type="pct"/>
                  <w:tcBorders>
                    <w:tl2br w:val="nil"/>
                    <w:tr2bl w:val="nil"/>
                  </w:tcBorders>
                  <w:vAlign w:val="center"/>
                </w:tcPr>
                <w:p>
                  <w:pPr>
                    <w:jc w:val="center"/>
                    <w:rPr>
                      <w:rFonts w:cs="Times New Roman" w:hint="eastAsia"/>
                      <w:b/>
                      <w:bCs/>
                      <w:color w:val="auto"/>
                      <w:szCs w:val="21"/>
                      <w:lang w:eastAsia="zh-CN"/>
                      <w:highlight w:val="none"/>
                    </w:rPr>
                  </w:pPr>
                  <w:r>
                    <w:rPr>
                      <w:rFonts w:cs="Times New Roman" w:hint="eastAsia"/>
                      <w:b/>
                      <w:bCs/>
                      <w:color w:val="auto"/>
                      <w:szCs w:val="21"/>
                      <w:lang w:eastAsia="zh-CN"/>
                      <w:highlight w:val="none"/>
                    </w:rPr>
                    <w:t>隔板及其他</w:t>
                  </w:r>
                </w:p>
              </w:tc>
            </w:tr>
            <w:tr>
              <w:trPr>
                <w:trHeight w:val="397"/>
              </w:trPr>
              <w:tc>
                <w:tcPr>
                  <w:tcW w:w="788"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含量（</w:t>
                  </w:r>
                  <w:r>
                    <w:rPr>
                      <w:rFonts w:hint="eastAsia"/>
                      <w:color w:val="auto"/>
                      <w:szCs w:val="21"/>
                      <w:lang w:val="en-US" w:eastAsia="zh-CN"/>
                      <w:highlight w:val="none"/>
                    </w:rPr>
                    <w:t>%</w:t>
                  </w:r>
                  <w:r>
                    <w:rPr>
                      <w:rFonts w:hint="eastAsia"/>
                      <w:color w:val="auto"/>
                      <w:szCs w:val="21"/>
                      <w:lang w:eastAsia="zh-CN"/>
                      <w:highlight w:val="none"/>
                    </w:rPr>
                    <w:t>）</w:t>
                  </w:r>
                </w:p>
              </w:tc>
              <w:tc>
                <w:tcPr>
                  <w:tcW w:w="824"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Cs w:val="21"/>
                      <w:lang w:val="en-US" w:eastAsia="zh-CN"/>
                      <w:highlight w:val="none"/>
                    </w:rPr>
                    <w:t>30</w:t>
                  </w:r>
                </w:p>
              </w:tc>
              <w:tc>
                <w:tcPr>
                  <w:tcW w:w="83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41</w:t>
                  </w:r>
                </w:p>
              </w:tc>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10</w:t>
                  </w:r>
                </w:p>
              </w:tc>
              <w:tc>
                <w:tcPr>
                  <w:tcW w:w="80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4"/>
                      <w:lang w:val="en-US" w:eastAsia="zh-CN" w:bidi="ar-SA"/>
                      <w:highlight w:val="none"/>
                    </w:rPr>
                  </w:pPr>
                  <w:r>
                    <w:rPr>
                      <w:rFonts w:cs="Times New Roman" w:hint="eastAsia"/>
                      <w:color w:val="auto"/>
                      <w:lang w:val="en-US" w:eastAsia="zh-CN"/>
                      <w:highlight w:val="none"/>
                    </w:rPr>
                    <w:t>15</w:t>
                  </w:r>
                </w:p>
              </w:tc>
              <w:tc>
                <w:tcPr>
                  <w:tcW w:w="80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color w:val="auto"/>
                      <w:lang w:val="en-US" w:eastAsia="zh-CN"/>
                      <w:highlight w:val="none"/>
                    </w:rPr>
                  </w:pPr>
                  <w:r>
                    <w:rPr>
                      <w:rFonts w:cs="Times New Roman" w:hint="eastAsia"/>
                      <w:color w:val="auto"/>
                      <w:lang w:val="en-US" w:eastAsia="zh-CN"/>
                      <w:highlight w:val="none"/>
                    </w:rPr>
                    <w:t>4</w:t>
                  </w:r>
                </w:p>
              </w:tc>
            </w:tr>
          </w:tbl>
          <w:p>
            <w:pPr>
              <w:pStyle w:val="93"/>
              <w:jc w:val="center"/>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b/>
                <w:bCs/>
                <w:color w:val="auto"/>
                <w:kern w:val="2"/>
                <w:sz w:val="24"/>
                <w:szCs w:val="24"/>
                <w:lang w:val="en-US" w:eastAsia="zh-CN" w:bidi="ar-SA"/>
                <w:highlight w:val="none"/>
              </w:rPr>
              <w:t>表</w:t>
            </w:r>
            <w:r>
              <w:rPr>
                <w:rFonts w:ascii="Times New Roman" w:eastAsia="宋体" w:cs="Times New Roman" w:hAnsi="Times New Roman" w:hint="eastAsia"/>
                <w:b/>
                <w:bCs/>
                <w:color w:val="auto"/>
                <w:kern w:val="2"/>
                <w:sz w:val="24"/>
                <w:szCs w:val="24"/>
                <w:lang w:val="en-US" w:eastAsia="zh-CN" w:bidi="ar-SA"/>
                <w:highlight w:val="none"/>
              </w:rPr>
              <w:t>2-</w:t>
            </w:r>
            <w:r>
              <w:rPr>
                <w:rFonts w:eastAsia="宋体" w:cs="Times New Roman" w:hint="eastAsia"/>
                <w:b/>
                <w:bCs/>
                <w:color w:val="auto"/>
                <w:kern w:val="2"/>
                <w:sz w:val="24"/>
                <w:szCs w:val="24"/>
                <w:lang w:val="en-US" w:eastAsia="zh-CN" w:bidi="ar-SA"/>
                <w:highlight w:val="none"/>
              </w:rPr>
              <w:t>5</w:t>
            </w:r>
            <w:r>
              <w:rPr>
                <w:rFonts w:ascii="Times New Roman" w:eastAsia="宋体" w:cs="Times New Roman" w:hAnsi="Times New Roman"/>
                <w:b/>
                <w:bCs/>
                <w:color w:val="auto"/>
                <w:kern w:val="2"/>
                <w:sz w:val="24"/>
                <w:szCs w:val="24"/>
                <w:lang w:val="en-US" w:eastAsia="zh-CN" w:bidi="ar-SA"/>
                <w:highlight w:val="none"/>
              </w:rPr>
              <w:t xml:space="preserve">  铅酸电池主要成分理化性质一览表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84"/>
              <w:gridCol w:w="1005"/>
              <w:gridCol w:w="4641"/>
              <w:gridCol w:w="1872"/>
            </w:tblGrid>
            <w:tr>
              <w:trPr>
                <w:cantSplit/>
                <w:trHeight w:hRule="exact" w:val="340"/>
                <w:tblHeader/>
              </w:trPr>
              <w:tc>
                <w:tcPr>
                  <w:tcW w:w="360" w:type="pct"/>
                  <w:vAlign w:val="center"/>
                </w:tcPr>
                <w:p>
                  <w:pPr>
                    <w:snapToGrid w:val="0"/>
                    <w:jc w:val="center"/>
                    <w:rPr>
                      <w:b/>
                      <w:color w:val="auto"/>
                      <w:szCs w:val="21"/>
                    </w:rPr>
                  </w:pPr>
                  <w:r>
                    <w:rPr>
                      <w:b/>
                      <w:color w:val="auto"/>
                      <w:szCs w:val="21"/>
                    </w:rPr>
                    <w:t>序号</w:t>
                  </w:r>
                </w:p>
              </w:tc>
              <w:tc>
                <w:tcPr>
                  <w:tcW w:w="620" w:type="pct"/>
                  <w:vAlign w:val="center"/>
                </w:tcPr>
                <w:p>
                  <w:pPr>
                    <w:snapToGrid w:val="0"/>
                    <w:jc w:val="center"/>
                    <w:rPr>
                      <w:b/>
                      <w:color w:val="auto"/>
                      <w:szCs w:val="21"/>
                    </w:rPr>
                  </w:pPr>
                  <w:r>
                    <w:rPr>
                      <w:b/>
                      <w:color w:val="auto"/>
                      <w:szCs w:val="21"/>
                    </w:rPr>
                    <w:t>名称</w:t>
                  </w:r>
                </w:p>
              </w:tc>
              <w:tc>
                <w:tcPr>
                  <w:tcW w:w="2863" w:type="pct"/>
                  <w:vAlign w:val="center"/>
                </w:tcPr>
                <w:p>
                  <w:pPr>
                    <w:snapToGrid w:val="0"/>
                    <w:jc w:val="center"/>
                    <w:rPr>
                      <w:b/>
                      <w:color w:val="auto"/>
                      <w:szCs w:val="21"/>
                    </w:rPr>
                  </w:pPr>
                  <w:r>
                    <w:rPr>
                      <w:b/>
                      <w:color w:val="auto"/>
                      <w:szCs w:val="21"/>
                    </w:rPr>
                    <w:t>理化性质</w:t>
                  </w:r>
                </w:p>
              </w:tc>
              <w:tc>
                <w:tcPr>
                  <w:tcW w:w="1155" w:type="pct"/>
                  <w:vAlign w:val="center"/>
                </w:tcPr>
                <w:p>
                  <w:pPr>
                    <w:snapToGrid w:val="0"/>
                    <w:jc w:val="center"/>
                    <w:rPr>
                      <w:b/>
                      <w:color w:val="auto"/>
                      <w:szCs w:val="21"/>
                    </w:rPr>
                  </w:pPr>
                  <w:r>
                    <w:rPr>
                      <w:b/>
                      <w:color w:val="auto"/>
                      <w:szCs w:val="21"/>
                    </w:rPr>
                    <w:t>毒理性</w:t>
                  </w:r>
                </w:p>
              </w:tc>
            </w:tr>
            <w:tr>
              <w:trPr>
                <w:cantSplit/>
                <w:trHeight w:hRule="exact" w:val="1619"/>
                <w:tblHeader/>
              </w:trPr>
              <w:tc>
                <w:tcPr>
                  <w:tcW w:w="360" w:type="pct"/>
                  <w:vAlign w:val="center"/>
                </w:tcPr>
                <w:p>
                  <w:pPr>
                    <w:snapToGrid w:val="0"/>
                    <w:jc w:val="center"/>
                    <w:rPr>
                      <w:color w:val="auto"/>
                      <w:szCs w:val="21"/>
                    </w:rPr>
                  </w:pPr>
                  <w:r>
                    <w:rPr>
                      <w:color w:val="auto"/>
                      <w:szCs w:val="21"/>
                    </w:rPr>
                    <w:t>1</w:t>
                  </w:r>
                </w:p>
              </w:tc>
              <w:tc>
                <w:tcPr>
                  <w:tcW w:w="620" w:type="pct"/>
                  <w:vAlign w:val="center"/>
                </w:tcPr>
                <w:p>
                  <w:pPr>
                    <w:snapToGrid w:val="0"/>
                    <w:jc w:val="center"/>
                    <w:rPr>
                      <w:color w:val="auto"/>
                      <w:szCs w:val="21"/>
                    </w:rPr>
                  </w:pPr>
                  <w:r>
                    <w:rPr>
                      <w:color w:val="auto"/>
                      <w:szCs w:val="21"/>
                    </w:rPr>
                    <w:t>铅</w:t>
                  </w:r>
                </w:p>
              </w:tc>
              <w:tc>
                <w:tcPr>
                  <w:tcW w:w="2863" w:type="pct"/>
                  <w:vAlign w:val="center"/>
                </w:tcPr>
                <w:p>
                  <w:pPr>
                    <w:snapToGrid w:val="0"/>
                    <w:jc w:val="center"/>
                    <w:rPr>
                      <w:color w:val="auto"/>
                      <w:szCs w:val="21"/>
                    </w:rPr>
                  </w:pPr>
                  <w:r>
                    <w:rPr>
                      <w:color w:val="auto"/>
                      <w:szCs w:val="21"/>
                    </w:rPr>
                    <w:t>Pb</w:t>
                  </w:r>
                  <w:r>
                    <w:rPr>
                      <w:rFonts w:hint="eastAsia"/>
                      <w:color w:val="auto"/>
                      <w:szCs w:val="21"/>
                      <w:lang w:eastAsia="zh-CN"/>
                    </w:rPr>
                    <w:t>（</w:t>
                  </w:r>
                  <w:r>
                    <w:rPr>
                      <w:color w:val="auto"/>
                      <w:szCs w:val="21"/>
                    </w:rPr>
                    <w:t>207.2</w:t>
                  </w:r>
                  <w:r>
                    <w:rPr>
                      <w:rFonts w:hint="eastAsia"/>
                      <w:color w:val="auto"/>
                      <w:szCs w:val="21"/>
                      <w:lang w:eastAsia="zh-CN"/>
                    </w:rPr>
                    <w:t>）</w:t>
                  </w:r>
                  <w:r>
                    <w:rPr>
                      <w:color w:val="auto"/>
                      <w:szCs w:val="21"/>
                    </w:rPr>
                    <w:t>；纯品为灰白色质软的粉末，切削面有光泽，延性弱，展性强。熔点327℃，沸点1620℃，蒸气压0.13</w:t>
                  </w:r>
                  <w:r>
                    <w:rPr>
                      <w:rFonts w:hint="eastAsia"/>
                      <w:color w:val="auto"/>
                      <w:szCs w:val="21"/>
                      <w:lang w:eastAsia="zh-CN"/>
                    </w:rPr>
                    <w:t>（</w:t>
                  </w:r>
                  <w:r>
                    <w:rPr>
                      <w:color w:val="auto"/>
                      <w:szCs w:val="21"/>
                    </w:rPr>
                    <w:t>970℃</w:t>
                  </w:r>
                  <w:r>
                    <w:rPr>
                      <w:rFonts w:hint="eastAsia"/>
                      <w:color w:val="auto"/>
                      <w:szCs w:val="21"/>
                      <w:lang w:eastAsia="zh-CN"/>
                    </w:rPr>
                    <w:t>）</w:t>
                  </w:r>
                  <w:r>
                    <w:rPr>
                      <w:color w:val="auto"/>
                      <w:szCs w:val="21"/>
                    </w:rPr>
                    <w:t xml:space="preserve"> ，相对密度11.34</w:t>
                  </w:r>
                  <w:r>
                    <w:rPr>
                      <w:rFonts w:hint="eastAsia"/>
                      <w:color w:val="auto"/>
                      <w:szCs w:val="21"/>
                      <w:lang w:eastAsia="zh-CN"/>
                    </w:rPr>
                    <w:t>（</w:t>
                  </w:r>
                  <w:r>
                    <w:rPr>
                      <w:color w:val="auto"/>
                      <w:szCs w:val="21"/>
                    </w:rPr>
                    <w:t>20℃</w:t>
                  </w:r>
                  <w:r>
                    <w:rPr>
                      <w:rFonts w:hint="eastAsia"/>
                      <w:color w:val="auto"/>
                      <w:szCs w:val="21"/>
                      <w:lang w:eastAsia="zh-CN"/>
                    </w:rPr>
                    <w:t>）</w:t>
                  </w:r>
                  <w:r>
                    <w:rPr>
                      <w:color w:val="auto"/>
                      <w:szCs w:val="21"/>
                    </w:rPr>
                    <w:t>，水中嗅觉阈浓度：水中铅浓度2mg/L时，有金属味，不溶于水，溶于硝酸、热浓硫酸、碱液，不溶于稀盐酸。</w:t>
                  </w:r>
                </w:p>
              </w:tc>
              <w:tc>
                <w:tcPr>
                  <w:tcW w:w="1155" w:type="pct"/>
                  <w:vAlign w:val="center"/>
                </w:tcPr>
                <w:p>
                  <w:pPr>
                    <w:snapToGrid w:val="0"/>
                    <w:jc w:val="center"/>
                    <w:rPr>
                      <w:color w:val="auto"/>
                      <w:szCs w:val="21"/>
                    </w:rPr>
                  </w:pPr>
                  <w:r>
                    <w:rPr>
                      <w:color w:val="auto"/>
                      <w:szCs w:val="21"/>
                    </w:rPr>
                    <w:t>LD5070mg/kg</w:t>
                  </w:r>
                  <w:r>
                    <w:rPr>
                      <w:rFonts w:hint="eastAsia"/>
                      <w:color w:val="auto"/>
                      <w:szCs w:val="21"/>
                      <w:lang w:eastAsia="zh-CN"/>
                    </w:rPr>
                    <w:t>（</w:t>
                  </w:r>
                  <w:r>
                    <w:rPr>
                      <w:color w:val="auto"/>
                      <w:szCs w:val="21"/>
                    </w:rPr>
                    <w:t>大鼠经静脉</w:t>
                  </w:r>
                  <w:r>
                    <w:rPr>
                      <w:rFonts w:hint="eastAsia"/>
                      <w:color w:val="auto"/>
                      <w:szCs w:val="21"/>
                      <w:lang w:eastAsia="zh-CN"/>
                    </w:rPr>
                    <w:t>）</w:t>
                  </w:r>
                  <w:r>
                    <w:rPr>
                      <w:color w:val="auto"/>
                      <w:szCs w:val="21"/>
                    </w:rPr>
                    <w:t>，致癌</w:t>
                  </w:r>
                </w:p>
              </w:tc>
            </w:tr>
            <w:tr>
              <w:trPr>
                <w:cantSplit/>
                <w:trHeight w:hRule="exact" w:val="1934"/>
                <w:tblHeader/>
              </w:trPr>
              <w:tc>
                <w:tcPr>
                  <w:tcW w:w="360" w:type="pct"/>
                  <w:vAlign w:val="center"/>
                </w:tcPr>
                <w:p>
                  <w:pPr>
                    <w:snapToGrid w:val="0"/>
                    <w:jc w:val="center"/>
                    <w:rPr>
                      <w:rFonts w:eastAsia="宋体" w:hint="eastAsia"/>
                      <w:color w:val="auto"/>
                      <w:szCs w:val="21"/>
                      <w:lang w:val="en-US" w:eastAsia="zh-CN"/>
                    </w:rPr>
                  </w:pPr>
                  <w:r>
                    <w:rPr>
                      <w:rFonts w:hint="eastAsia"/>
                      <w:color w:val="auto"/>
                      <w:szCs w:val="21"/>
                      <w:lang w:val="en-US" w:eastAsia="zh-CN"/>
                    </w:rPr>
                    <w:t>2</w:t>
                  </w:r>
                </w:p>
              </w:tc>
              <w:tc>
                <w:tcPr>
                  <w:tcW w:w="620" w:type="pct"/>
                  <w:vAlign w:val="center"/>
                </w:tcPr>
                <w:p>
                  <w:pPr>
                    <w:snapToGrid w:val="0"/>
                    <w:jc w:val="center"/>
                    <w:rPr>
                      <w:rFonts w:eastAsia="宋体" w:hint="eastAsia"/>
                      <w:color w:val="auto"/>
                      <w:szCs w:val="21"/>
                      <w:lang w:val="en-US"/>
                    </w:rPr>
                  </w:pPr>
                  <w:r>
                    <w:rPr>
                      <w:rFonts w:hint="eastAsia"/>
                      <w:color w:val="auto"/>
                      <w:szCs w:val="21"/>
                      <w:lang w:val="en-US"/>
                    </w:rPr>
                    <w:t>二氧化铅</w:t>
                  </w:r>
                </w:p>
              </w:tc>
              <w:tc>
                <w:tcPr>
                  <w:tcW w:w="2863" w:type="pct"/>
                  <w:vAlign w:val="center"/>
                </w:tcPr>
                <w:p>
                  <w:pPr>
                    <w:snapToGrid w:val="0"/>
                    <w:jc w:val="center"/>
                    <w:rPr>
                      <w:color w:val="auto"/>
                      <w:szCs w:val="21"/>
                    </w:rPr>
                  </w:pPr>
                  <w:r>
                    <w:rPr>
                      <w:rFonts w:hint="eastAsia"/>
                      <w:color w:val="auto"/>
                      <w:szCs w:val="21"/>
                    </w:rPr>
                    <w:t>是一种无机化合物，化学式为PbO</w:t>
                  </w:r>
                  <w:r>
                    <w:rPr>
                      <w:rFonts w:hint="eastAsia"/>
                      <w:color w:val="auto"/>
                      <w:szCs w:val="21"/>
                      <w:vertAlign w:val="subscript"/>
                    </w:rPr>
                    <w:t>2</w:t>
                  </w:r>
                  <w:r>
                    <w:rPr>
                      <w:rFonts w:hint="eastAsia"/>
                      <w:color w:val="auto"/>
                      <w:szCs w:val="21"/>
                    </w:rPr>
                    <w:t>，有两种晶型，外观为棕黑色粉末，不溶于水和醇，溶于乙酸和氢氧化钠，经过加热会分解，常用于染料、火柴、焰火、合成橡胶、电极等制造，也可用作氧化剂</w:t>
                  </w:r>
                  <w:r>
                    <w:rPr>
                      <w:color w:val="auto"/>
                      <w:szCs w:val="21"/>
                    </w:rPr>
                    <w:t>。</w:t>
                  </w:r>
                  <w:r>
                    <w:rPr>
                      <w:color w:val="auto"/>
                      <w:szCs w:val="21"/>
                      <w:lang w:eastAsia="zh-CN"/>
                    </w:rPr>
                    <w:t>密度：9.38g/cm</w:t>
                  </w:r>
                  <w:r>
                    <w:rPr>
                      <w:color w:val="auto"/>
                      <w:szCs w:val="21"/>
                      <w:vertAlign w:val="superscript"/>
                      <w:lang w:eastAsia="zh-CN"/>
                    </w:rPr>
                    <w:t>3</w:t>
                  </w:r>
                  <w:r>
                    <w:rPr>
                      <w:rFonts w:hint="eastAsia"/>
                      <w:color w:val="auto"/>
                      <w:szCs w:val="21"/>
                    </w:rPr>
                    <w:t>，</w:t>
                  </w:r>
                  <w:r>
                    <w:rPr>
                      <w:color w:val="auto"/>
                      <w:szCs w:val="21"/>
                      <w:lang w:eastAsia="zh-CN"/>
                    </w:rPr>
                    <w:t>熔点：290℃</w:t>
                  </w:r>
                  <w:r>
                    <w:rPr>
                      <w:rFonts w:hint="eastAsia"/>
                      <w:color w:val="auto"/>
                      <w:szCs w:val="21"/>
                      <w:lang w:eastAsia="zh-CN"/>
                    </w:rPr>
                    <w:t>，</w:t>
                  </w:r>
                  <w:r>
                    <w:rPr>
                      <w:color w:val="auto"/>
                      <w:szCs w:val="21"/>
                      <w:lang w:eastAsia="zh-CN"/>
                    </w:rPr>
                    <w:t>外观：棕黑色粉末</w:t>
                  </w:r>
                  <w:r>
                    <w:rPr>
                      <w:rFonts w:hint="eastAsia"/>
                      <w:color w:val="auto"/>
                      <w:szCs w:val="21"/>
                      <w:lang w:eastAsia="zh-CN"/>
                    </w:rPr>
                    <w:t>。</w:t>
                  </w:r>
                  <w:r>
                    <w:rPr>
                      <w:color w:val="auto"/>
                      <w:szCs w:val="21"/>
                      <w:lang w:eastAsia="zh-CN"/>
                    </w:rPr>
                    <w:t>溶解性：不溶于水、醇，溶于乙酸、氢氧化钠水溶液</w:t>
                  </w:r>
                  <w:r>
                    <w:rPr>
                      <w:rFonts w:hint="eastAsia"/>
                      <w:color w:val="auto"/>
                      <w:szCs w:val="21"/>
                      <w:lang w:eastAsia="zh-CN"/>
                    </w:rPr>
                    <w:t>。</w:t>
                  </w:r>
                </w:p>
              </w:tc>
              <w:tc>
                <w:tcPr>
                  <w:tcW w:w="1155" w:type="pct"/>
                  <w:vAlign w:val="center"/>
                </w:tcPr>
                <w:p>
                  <w:pPr>
                    <w:snapToGrid w:val="0"/>
                    <w:jc w:val="center"/>
                    <w:rPr>
                      <w:color w:val="auto"/>
                      <w:szCs w:val="21"/>
                    </w:rPr>
                  </w:pPr>
                  <w:r>
                    <w:rPr>
                      <w:color w:val="auto"/>
                      <w:szCs w:val="21"/>
                      <w:lang w:val="en-US" w:eastAsia="zh-CN"/>
                    </w:rPr>
                    <w:t>LD50约‌</w:t>
                  </w:r>
                  <w:r>
                    <w:rPr>
                      <w:rFonts w:hint="eastAsia"/>
                      <w:color w:val="auto"/>
                      <w:szCs w:val="21"/>
                      <w:lang w:val="en-US" w:eastAsia="zh-CN"/>
                    </w:rPr>
                    <w:t>200 mg/kg</w:t>
                  </w:r>
                  <w:r>
                    <w:rPr>
                      <w:color w:val="auto"/>
                      <w:szCs w:val="21"/>
                      <w:lang w:eastAsia="zh-CN"/>
                    </w:rPr>
                    <w:t>（豚鼠腹膜内注射 ）</w:t>
                  </w:r>
                  <w:r>
                    <w:rPr>
                      <w:rFonts w:hint="eastAsia"/>
                      <w:color w:val="auto"/>
                      <w:szCs w:val="21"/>
                      <w:lang w:val="en-US" w:eastAsia="zh-CN"/>
                    </w:rPr>
                    <w:t>‌；人类短时大剂量接触可引发急性/亚急性铅中毒</w:t>
                  </w:r>
                </w:p>
              </w:tc>
            </w:tr>
            <w:tr>
              <w:trPr>
                <w:cantSplit/>
                <w:trHeight w:hRule="exact" w:val="1438"/>
                <w:tblHeader/>
              </w:trPr>
              <w:tc>
                <w:tcPr>
                  <w:tcW w:w="360" w:type="pct"/>
                  <w:vAlign w:val="center"/>
                </w:tcPr>
                <w:p>
                  <w:pPr>
                    <w:snapToGrid w:val="0"/>
                    <w:jc w:val="center"/>
                    <w:rPr>
                      <w:color w:val="auto"/>
                      <w:szCs w:val="21"/>
                      <w:lang w:val="en-US" w:eastAsia="zh-CN"/>
                    </w:rPr>
                  </w:pPr>
                  <w:r>
                    <w:rPr>
                      <w:rFonts w:hint="eastAsia"/>
                      <w:color w:val="auto"/>
                      <w:szCs w:val="21"/>
                      <w:lang w:val="en-US" w:eastAsia="zh-CN"/>
                    </w:rPr>
                    <w:t>3</w:t>
                  </w:r>
                </w:p>
              </w:tc>
              <w:tc>
                <w:tcPr>
                  <w:tcW w:w="620" w:type="pct"/>
                  <w:vAlign w:val="center"/>
                </w:tcPr>
                <w:p>
                  <w:pPr>
                    <w:snapToGrid w:val="0"/>
                    <w:jc w:val="center"/>
                    <w:rPr>
                      <w:rFonts w:eastAsia="宋体" w:hint="eastAsia"/>
                      <w:color w:val="auto"/>
                      <w:szCs w:val="21"/>
                      <w:lang w:val="en-US" w:eastAsia="zh-CN"/>
                    </w:rPr>
                  </w:pPr>
                  <w:r>
                    <w:rPr>
                      <w:color w:val="auto"/>
                      <w:szCs w:val="21"/>
                    </w:rPr>
                    <w:t>硫酸铅</w:t>
                  </w:r>
                </w:p>
              </w:tc>
              <w:tc>
                <w:tcPr>
                  <w:tcW w:w="2863" w:type="pct"/>
                  <w:vAlign w:val="center"/>
                </w:tcPr>
                <w:p>
                  <w:pPr>
                    <w:snapToGrid w:val="0"/>
                    <w:jc w:val="center"/>
                    <w:rPr>
                      <w:rFonts w:hint="eastAsia"/>
                      <w:color w:val="auto"/>
                      <w:szCs w:val="21"/>
                    </w:rPr>
                  </w:pPr>
                  <w:r>
                    <w:rPr>
                      <w:color w:val="auto"/>
                      <w:szCs w:val="21"/>
                    </w:rPr>
                    <w:t>PbSO4(303.26)；</w:t>
                  </w:r>
                  <w:r>
                    <w:rPr>
                      <w:rFonts w:hint="eastAsia"/>
                      <w:color w:val="auto"/>
                      <w:szCs w:val="21"/>
                    </w:rPr>
                    <w:t>外观：白色结晶粉末；水溶性：‌难溶‌（约 0.04 g/100 mL</w:t>
                  </w:r>
                  <w:r>
                    <w:rPr>
                      <w:rFonts w:hint="eastAsia"/>
                      <w:color w:val="auto"/>
                      <w:szCs w:val="21"/>
                      <w:lang w:eastAsia="zh-CN"/>
                    </w:rPr>
                    <w:t>，</w:t>
                  </w:r>
                  <w:r>
                    <w:rPr>
                      <w:rFonts w:hint="eastAsia"/>
                      <w:color w:val="auto"/>
                      <w:szCs w:val="21"/>
                    </w:rPr>
                    <w:t>25℃）</w:t>
                  </w:r>
                  <w:r>
                    <w:rPr>
                      <w:color w:val="auto"/>
                      <w:szCs w:val="21"/>
                    </w:rPr>
                    <w:t>。</w:t>
                  </w:r>
                </w:p>
              </w:tc>
              <w:tc>
                <w:tcPr>
                  <w:tcW w:w="1155" w:type="pct"/>
                  <w:vAlign w:val="center"/>
                </w:tcPr>
                <w:p>
                  <w:pPr>
                    <w:snapToGrid w:val="0"/>
                    <w:jc w:val="center"/>
                    <w:rPr>
                      <w:color w:val="auto"/>
                      <w:szCs w:val="21"/>
                    </w:rPr>
                  </w:pPr>
                  <w:r>
                    <w:rPr>
                      <w:rFonts w:hint="eastAsia"/>
                      <w:color w:val="auto"/>
                      <w:szCs w:val="21"/>
                    </w:rPr>
                    <w:t>铅及其化合物对所有生物都有毒性作用。特别能使神经系统、血液、血管发生变化</w:t>
                  </w:r>
                </w:p>
              </w:tc>
            </w:tr>
            <w:tr>
              <w:trPr>
                <w:cantSplit/>
                <w:trHeight w:hRule="exact" w:val="1201"/>
                <w:tblHeader/>
              </w:trPr>
              <w:tc>
                <w:tcPr>
                  <w:tcW w:w="360" w:type="pct"/>
                  <w:vAlign w:val="center"/>
                </w:tcPr>
                <w:p>
                  <w:pPr>
                    <w:snapToGrid w:val="0"/>
                    <w:jc w:val="center"/>
                    <w:rPr>
                      <w:rFonts w:eastAsia="宋体" w:hint="eastAsia"/>
                      <w:color w:val="auto"/>
                      <w:szCs w:val="21"/>
                      <w:lang w:eastAsia="zh-CN"/>
                    </w:rPr>
                  </w:pPr>
                  <w:r>
                    <w:rPr>
                      <w:rFonts w:hint="eastAsia"/>
                      <w:color w:val="auto"/>
                      <w:szCs w:val="21"/>
                      <w:lang w:val="en-US" w:eastAsia="zh-CN"/>
                    </w:rPr>
                    <w:t>4</w:t>
                  </w:r>
                </w:p>
              </w:tc>
              <w:tc>
                <w:tcPr>
                  <w:tcW w:w="620" w:type="pct"/>
                  <w:vAlign w:val="center"/>
                </w:tcPr>
                <w:p>
                  <w:pPr>
                    <w:snapToGrid w:val="0"/>
                    <w:jc w:val="center"/>
                    <w:rPr>
                      <w:color w:val="auto"/>
                      <w:szCs w:val="21"/>
                    </w:rPr>
                  </w:pPr>
                  <w:r>
                    <w:rPr>
                      <w:color w:val="auto"/>
                      <w:szCs w:val="21"/>
                    </w:rPr>
                    <w:t>硫酸</w:t>
                  </w:r>
                </w:p>
              </w:tc>
              <w:tc>
                <w:tcPr>
                  <w:tcW w:w="2863" w:type="pct"/>
                  <w:vAlign w:val="center"/>
                </w:tcPr>
                <w:p>
                  <w:pPr>
                    <w:snapToGrid w:val="0"/>
                    <w:jc w:val="center"/>
                    <w:rPr>
                      <w:color w:val="auto"/>
                      <w:szCs w:val="21"/>
                    </w:rPr>
                  </w:pPr>
                  <w:r>
                    <w:rPr>
                      <w:color w:val="auto"/>
                      <w:szCs w:val="21"/>
                    </w:rPr>
                    <w:t>H</w:t>
                  </w:r>
                  <w:r>
                    <w:rPr>
                      <w:color w:val="auto"/>
                      <w:szCs w:val="21"/>
                      <w:vertAlign w:val="subscript"/>
                    </w:rPr>
                    <w:t>2</w:t>
                  </w:r>
                  <w:r>
                    <w:rPr>
                      <w:color w:val="auto"/>
                      <w:szCs w:val="21"/>
                    </w:rPr>
                    <w:t>SO</w:t>
                  </w:r>
                  <w:r>
                    <w:rPr>
                      <w:color w:val="auto"/>
                      <w:szCs w:val="21"/>
                      <w:vertAlign w:val="subscript"/>
                    </w:rPr>
                    <w:t>4</w:t>
                  </w:r>
                  <w:r>
                    <w:rPr>
                      <w:rFonts w:hint="eastAsia"/>
                      <w:color w:val="auto"/>
                      <w:szCs w:val="21"/>
                      <w:lang w:eastAsia="zh-CN"/>
                    </w:rPr>
                    <w:t>（</w:t>
                  </w:r>
                  <w:r>
                    <w:rPr>
                      <w:color w:val="auto"/>
                      <w:szCs w:val="21"/>
                    </w:rPr>
                    <w:t>98.08</w:t>
                  </w:r>
                  <w:r>
                    <w:rPr>
                      <w:rFonts w:hint="eastAsia"/>
                      <w:color w:val="auto"/>
                      <w:szCs w:val="21"/>
                      <w:lang w:eastAsia="zh-CN"/>
                    </w:rPr>
                    <w:t>）</w:t>
                  </w:r>
                  <w:r>
                    <w:rPr>
                      <w:color w:val="auto"/>
                      <w:szCs w:val="21"/>
                    </w:rPr>
                    <w:t>；纯品为无色透明油状液体，无臭。相对密度</w:t>
                  </w:r>
                  <w:r>
                    <w:rPr>
                      <w:rFonts w:hint="eastAsia"/>
                      <w:color w:val="auto"/>
                      <w:szCs w:val="21"/>
                      <w:lang w:eastAsia="zh-CN"/>
                    </w:rPr>
                    <w:t>（</w:t>
                  </w:r>
                  <w:r>
                    <w:rPr>
                      <w:color w:val="auto"/>
                      <w:szCs w:val="21"/>
                    </w:rPr>
                    <w:t>水=1</w:t>
                  </w:r>
                  <w:r>
                    <w:rPr>
                      <w:rFonts w:hint="eastAsia"/>
                      <w:color w:val="auto"/>
                      <w:szCs w:val="21"/>
                      <w:lang w:eastAsia="zh-CN"/>
                    </w:rPr>
                    <w:t>）</w:t>
                  </w:r>
                  <w:r>
                    <w:rPr>
                      <w:color w:val="auto"/>
                      <w:szCs w:val="21"/>
                    </w:rPr>
                    <w:t>1.83</w:t>
                  </w:r>
                  <w:r>
                    <w:rPr>
                      <w:rFonts w:hint="eastAsia"/>
                      <w:color w:val="auto"/>
                      <w:szCs w:val="21"/>
                      <w:lang w:eastAsia="zh-CN"/>
                    </w:rPr>
                    <w:t>（</w:t>
                  </w:r>
                  <w:r>
                    <w:rPr>
                      <w:color w:val="auto"/>
                      <w:szCs w:val="21"/>
                    </w:rPr>
                    <w:t>空气=1</w:t>
                  </w:r>
                  <w:r>
                    <w:rPr>
                      <w:rFonts w:hint="eastAsia"/>
                      <w:color w:val="auto"/>
                      <w:szCs w:val="21"/>
                      <w:lang w:eastAsia="zh-CN"/>
                    </w:rPr>
                    <w:t>）</w:t>
                  </w:r>
                  <w:r>
                    <w:rPr>
                      <w:color w:val="auto"/>
                      <w:szCs w:val="21"/>
                    </w:rPr>
                    <w:t>3.4，熔点10.5℃， 沸点330.0℃ ，蒸气压0.13</w:t>
                  </w:r>
                  <w:r>
                    <w:rPr>
                      <w:rFonts w:hint="eastAsia"/>
                      <w:color w:val="auto"/>
                      <w:szCs w:val="21"/>
                      <w:lang w:eastAsia="zh-CN"/>
                    </w:rPr>
                    <w:t>（</w:t>
                  </w:r>
                  <w:r>
                    <w:rPr>
                      <w:color w:val="auto"/>
                      <w:szCs w:val="21"/>
                    </w:rPr>
                    <w:t>145.8℃</w:t>
                  </w:r>
                  <w:r>
                    <w:rPr>
                      <w:rFonts w:hint="eastAsia"/>
                      <w:color w:val="auto"/>
                      <w:szCs w:val="21"/>
                      <w:lang w:eastAsia="zh-CN"/>
                    </w:rPr>
                    <w:t>）</w:t>
                  </w:r>
                  <w:r>
                    <w:rPr>
                      <w:color w:val="auto"/>
                      <w:szCs w:val="21"/>
                    </w:rPr>
                    <w:t>，与水混溶。</w:t>
                  </w:r>
                </w:p>
              </w:tc>
              <w:tc>
                <w:tcPr>
                  <w:tcW w:w="1155" w:type="pct"/>
                  <w:vAlign w:val="center"/>
                </w:tcPr>
                <w:p>
                  <w:pPr>
                    <w:snapToGrid w:val="0"/>
                    <w:jc w:val="center"/>
                    <w:rPr>
                      <w:rFonts w:eastAsia="宋体" w:hint="eastAsia"/>
                      <w:color w:val="auto"/>
                      <w:szCs w:val="21"/>
                      <w:lang w:eastAsia="zh-CN"/>
                    </w:rPr>
                  </w:pPr>
                  <w:r>
                    <w:rPr>
                      <w:color w:val="auto"/>
                      <w:szCs w:val="21"/>
                    </w:rPr>
                    <w:t>LD502140mg/kg</w:t>
                  </w:r>
                  <w:r>
                    <w:rPr>
                      <w:rFonts w:hint="eastAsia"/>
                      <w:color w:val="auto"/>
                      <w:szCs w:val="21"/>
                      <w:lang w:eastAsia="zh-CN"/>
                    </w:rPr>
                    <w:t>（</w:t>
                  </w:r>
                  <w:r>
                    <w:rPr>
                      <w:color w:val="auto"/>
                      <w:szCs w:val="21"/>
                    </w:rPr>
                    <w:t>大鼠经口</w:t>
                  </w:r>
                  <w:r>
                    <w:rPr>
                      <w:rFonts w:hint="eastAsia"/>
                      <w:color w:val="auto"/>
                      <w:szCs w:val="21"/>
                      <w:lang w:eastAsia="zh-CN"/>
                    </w:rPr>
                    <w:t>）</w:t>
                  </w:r>
                  <w:r>
                    <w:rPr>
                      <w:color w:val="auto"/>
                      <w:szCs w:val="21"/>
                    </w:rPr>
                    <w:t>；LC50510mg/m</w:t>
                  </w:r>
                  <w:r>
                    <w:rPr>
                      <w:color w:val="auto"/>
                      <w:szCs w:val="21"/>
                      <w:vertAlign w:val="superscript"/>
                    </w:rPr>
                    <w:t>3</w:t>
                  </w:r>
                  <w:r>
                    <w:rPr>
                      <w:color w:val="auto"/>
                      <w:szCs w:val="21"/>
                    </w:rPr>
                    <w:t>，2小时</w:t>
                  </w:r>
                  <w:r>
                    <w:rPr>
                      <w:rFonts w:hint="eastAsia"/>
                      <w:color w:val="auto"/>
                      <w:szCs w:val="21"/>
                      <w:lang w:eastAsia="zh-CN"/>
                    </w:rPr>
                    <w:t>（</w:t>
                  </w:r>
                  <w:r>
                    <w:rPr>
                      <w:color w:val="auto"/>
                      <w:szCs w:val="21"/>
                    </w:rPr>
                    <w:t>大鼠吸入</w:t>
                  </w:r>
                  <w:r>
                    <w:rPr>
                      <w:rFonts w:hint="eastAsia"/>
                      <w:color w:val="auto"/>
                      <w:szCs w:val="21"/>
                      <w:lang w:eastAsia="zh-CN"/>
                    </w:rPr>
                    <w:t>）</w:t>
                  </w:r>
                </w:p>
              </w:tc>
            </w:tr>
          </w:tbl>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auto"/>
                <w:sz w:val="24"/>
                <w:highlight w:val="none"/>
              </w:rPr>
            </w:pPr>
            <w:r>
              <w:rPr>
                <w:rFonts w:hint="eastAsia"/>
                <w:b/>
                <w:bCs/>
                <w:color w:val="auto"/>
                <w:sz w:val="24"/>
                <w:lang w:val="en-US" w:eastAsia="zh-CN"/>
                <w:highlight w:val="none"/>
              </w:rPr>
              <w:t>5</w:t>
            </w:r>
            <w:r>
              <w:rPr>
                <w:rFonts w:hint="eastAsia"/>
                <w:b/>
                <w:bCs/>
                <w:color w:val="auto"/>
                <w:sz w:val="24"/>
                <w:highlight w:val="none"/>
              </w:rPr>
              <w:t>、主要设备参数</w:t>
            </w:r>
          </w:p>
          <w:p>
            <w:pPr>
              <w:keepNext w:val="0"/>
              <w:keepLines w:val="0"/>
              <w:pageBreakBefore w:val="0"/>
              <w:widowControl w:val="0"/>
              <w:kinsoku/>
              <w:wordWrap/>
              <w:overflowPunct/>
              <w:topLinePunct w:val="0"/>
              <w:autoSpaceDE/>
              <w:autoSpaceDN/>
              <w:bidi w:val="0"/>
              <w:snapToGrid/>
              <w:spacing w:line="460" w:lineRule="exact"/>
              <w:ind w:firstLineChars="200" w:firstLine="480"/>
              <w:rPr>
                <w:rFonts w:hint="eastAsia"/>
                <w:color w:val="auto"/>
                <w:sz w:val="24"/>
                <w:highlight w:val="none"/>
              </w:rPr>
            </w:pPr>
            <w:r>
              <w:rPr>
                <w:rFonts w:hint="eastAsia"/>
                <w:color w:val="auto"/>
                <w:sz w:val="24"/>
                <w:highlight w:val="none"/>
              </w:rPr>
              <w:t>项目主要设备一览表见表2-</w:t>
            </w:r>
            <w:r>
              <w:rPr>
                <w:rFonts w:hint="eastAsia"/>
                <w:color w:val="auto"/>
                <w:sz w:val="24"/>
                <w:lang w:val="en-US" w:eastAsia="zh-CN"/>
                <w:highlight w:val="none"/>
              </w:rPr>
              <w:t>6</w:t>
            </w:r>
            <w:r>
              <w:rPr>
                <w:rFonts w:hint="eastAsia"/>
                <w:color w:val="auto"/>
                <w:sz w:val="24"/>
                <w:highlight w:val="none"/>
              </w:rPr>
              <w:t>。</w:t>
            </w:r>
          </w:p>
          <w:p>
            <w:pPr>
              <w:jc w:val="center"/>
              <w:rPr>
                <w:rFonts w:eastAsia="宋体"/>
                <w:b/>
                <w:bCs/>
                <w:color w:val="auto"/>
                <w:sz w:val="24"/>
                <w:lang w:val="en-US" w:eastAsia="zh-CN"/>
                <w:highlight w:val="none"/>
              </w:rPr>
            </w:pPr>
            <w:bookmarkStart w:id="41" w:name="_Hlk180482146"/>
            <w:r>
              <w:rPr>
                <w:b/>
                <w:bCs/>
                <w:color w:val="auto"/>
                <w:sz w:val="24"/>
                <w:highlight w:val="none"/>
              </w:rPr>
              <w:t>表2-</w:t>
            </w:r>
            <w:r>
              <w:rPr>
                <w:rFonts w:hint="eastAsia"/>
                <w:b/>
                <w:bCs/>
                <w:color w:val="auto"/>
                <w:sz w:val="24"/>
                <w:lang w:val="en-US" w:eastAsia="zh-CN"/>
                <w:highlight w:val="none"/>
              </w:rPr>
              <w:t>6</w:t>
            </w:r>
            <w:r>
              <w:rPr>
                <w:b/>
                <w:bCs/>
                <w:color w:val="auto"/>
                <w:sz w:val="24"/>
                <w:highlight w:val="none"/>
              </w:rPr>
              <w:t xml:space="preserve">  主要设备一览表</w:t>
            </w:r>
            <w:r>
              <w:rPr>
                <w:rFonts w:hint="eastAsia"/>
                <w:b/>
                <w:bCs/>
                <w:color w:val="auto"/>
                <w:sz w:val="24"/>
                <w:lang w:val="en-US" w:eastAsia="zh-CN"/>
                <w:highlight w:val="none"/>
              </w:rPr>
              <w:t xml:space="preserve">     单位：台/套</w:t>
            </w:r>
          </w:p>
          <w:tbl>
            <w:tblPr>
              <w:jc w:val="center"/>
              <w:tblW w:w="4995"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54"/>
              <w:gridCol w:w="1674"/>
              <w:gridCol w:w="3124"/>
              <w:gridCol w:w="1215"/>
              <w:gridCol w:w="1231"/>
            </w:tblGrid>
            <w:tr>
              <w:trPr>
                <w:trHeight w:val="397"/>
              </w:trPr>
              <w:tc>
                <w:tcPr>
                  <w:tcW w:w="527"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bookmarkStart w:id="42" w:name="_Hlk161671695"/>
                  <w:r>
                    <w:rPr>
                      <w:rFonts w:ascii="Times New Roman" w:eastAsia="宋体" w:cs="Times New Roman" w:hAnsi="Times New Roman" w:hint="eastAsia"/>
                      <w:b/>
                      <w:bCs/>
                      <w:color w:val="auto"/>
                      <w:szCs w:val="21"/>
                      <w:highlight w:val="none"/>
                    </w:rPr>
                    <w:t>序号</w:t>
                  </w:r>
                </w:p>
              </w:tc>
              <w:tc>
                <w:tcPr>
                  <w:tcW w:w="1033"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名称</w:t>
                  </w:r>
                </w:p>
              </w:tc>
              <w:tc>
                <w:tcPr>
                  <w:tcW w:w="1928"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型号</w:t>
                  </w:r>
                </w:p>
              </w:tc>
              <w:tc>
                <w:tcPr>
                  <w:tcW w:w="750"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数量</w:t>
                  </w:r>
                </w:p>
              </w:tc>
              <w:tc>
                <w:tcPr>
                  <w:tcW w:w="760" w:type="pct"/>
                  <w:tcBorders>
                    <w:tl2br w:val="nil"/>
                    <w:tr2bl w:val="nil"/>
                  </w:tcBorders>
                  <w:vAlign w:val="center"/>
                </w:tcPr>
                <w:p>
                  <w:pPr>
                    <w:jc w:val="center"/>
                    <w:rPr>
                      <w:rFonts w:ascii="Times New Roman" w:eastAsia="宋体" w:cs="Times New Roman" w:hAnsi="Times New Roman" w:hint="eastAsia"/>
                      <w:b/>
                      <w:bCs/>
                      <w:color w:val="auto"/>
                      <w:szCs w:val="21"/>
                      <w:highlight w:val="none"/>
                    </w:rPr>
                  </w:pPr>
                  <w:r>
                    <w:rPr>
                      <w:rFonts w:ascii="Times New Roman" w:eastAsia="宋体" w:cs="Times New Roman" w:hAnsi="Times New Roman" w:hint="eastAsia"/>
                      <w:b/>
                      <w:bCs/>
                      <w:color w:val="auto"/>
                      <w:szCs w:val="21"/>
                      <w:highlight w:val="none"/>
                    </w:rPr>
                    <w:t>单位</w:t>
                  </w:r>
                </w:p>
              </w:tc>
            </w:tr>
            <w:tr>
              <w:trPr>
                <w:trHeight w:val="397"/>
              </w:trPr>
              <w:tc>
                <w:tcPr>
                  <w:tcW w:w="527" w:type="pct"/>
                  <w:tcBorders>
                    <w:tl2br w:val="nil"/>
                    <w:tr2bl w:val="nil"/>
                  </w:tcBorders>
                  <w:vAlign w:val="center"/>
                </w:tcPr>
                <w:p>
                  <w:pPr>
                    <w:jc w:val="center"/>
                    <w:rPr>
                      <w:color w:val="auto"/>
                      <w:szCs w:val="21"/>
                      <w:highlight w:val="none"/>
                    </w:rPr>
                  </w:pPr>
                  <w:r>
                    <w:rPr>
                      <w:rFonts w:hint="eastAsia"/>
                      <w:color w:val="auto"/>
                      <w:szCs w:val="21"/>
                      <w:highlight w:val="none"/>
                    </w:rPr>
                    <w:t>1</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Cs w:val="21"/>
                      <w:lang w:val="en-US" w:eastAsia="zh-CN"/>
                      <w:highlight w:val="none"/>
                    </w:rPr>
                    <w:t>叉车</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手动液压叉车</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2</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auto"/>
                      <w:lang w:val="en-US" w:eastAsia="zh-CN"/>
                      <w:highlight w:val="none"/>
                    </w:rPr>
                  </w:pPr>
                  <w:r>
                    <w:rPr>
                      <w:rFonts w:ascii="Times New Roman" w:cs="Times New Roman" w:hAnsi="Times New Roman" w:hint="eastAsia"/>
                      <w:color w:val="auto"/>
                      <w:lang w:val="en-US" w:eastAsia="zh-CN"/>
                      <w:highlight w:val="none"/>
                    </w:rPr>
                    <w:t>台</w:t>
                  </w:r>
                </w:p>
              </w:tc>
            </w:tr>
            <w:tr>
              <w:trPr>
                <w:trHeight w:val="397"/>
              </w:trPr>
              <w:tc>
                <w:tcPr>
                  <w:tcW w:w="527" w:type="pct"/>
                  <w:tcBorders>
                    <w:tl2br w:val="nil"/>
                    <w:tr2bl w:val="nil"/>
                  </w:tcBorders>
                  <w:vAlign w:val="center"/>
                </w:tcPr>
                <w:p>
                  <w:pPr>
                    <w:jc w:val="center"/>
                    <w:rPr>
                      <w:color w:val="auto"/>
                      <w:szCs w:val="21"/>
                      <w:highlight w:val="none"/>
                    </w:rPr>
                  </w:pPr>
                  <w:r>
                    <w:rPr>
                      <w:rFonts w:hint="eastAsia"/>
                      <w:color w:val="auto"/>
                      <w:szCs w:val="21"/>
                      <w:highlight w:val="none"/>
                    </w:rPr>
                    <w:t>2</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称重设备</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100吨地泵</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台</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3</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耐腐蚀PE桶</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20L-50L带盖耐酸碱桶</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4</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eastAsia="宋体" w:cs="Times New Roman" w:hAnsi="Times New Roman" w:hint="eastAsia"/>
                      <w:color w:val="auto"/>
                      <w:lang w:eastAsia="zh-CN"/>
                      <w:highlight w:val="none"/>
                    </w:rPr>
                  </w:pPr>
                  <w:r>
                    <w:rPr>
                      <w:rFonts w:cs="Times New Roman" w:hint="eastAsia"/>
                      <w:color w:val="auto"/>
                      <w:lang w:eastAsia="zh-CN"/>
                      <w:highlight w:val="none"/>
                    </w:rPr>
                    <w:t>托盘</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1200×1000mm 标准托盘</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5</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hint="eastAsia"/>
                      <w:color w:val="auto"/>
                      <w:sz w:val="21"/>
                      <w:szCs w:val="21"/>
                      <w:lang w:eastAsia="zh-CN"/>
                      <w:highlight w:val="none"/>
                    </w:rPr>
                    <w:t>碱液喷淋装置</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lang w:val="en-US" w:eastAsia="zh-CN"/>
                      <w:highlight w:val="none"/>
                    </w:rPr>
                  </w:pPr>
                  <w:r>
                    <w:rPr>
                      <w:rFonts w:cs="Times New Roman" w:hint="eastAsia"/>
                      <w:color w:val="auto"/>
                      <w:lang w:val="en-US" w:eastAsia="zh-CN"/>
                      <w:highlight w:val="none"/>
                    </w:rPr>
                    <w:t>/</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套</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6</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电池存放铁箱</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定制带盖耐腐铁箱（500kg /个）</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lang w:val="en-US" w:eastAsia="zh-CN"/>
                      <w:highlight w:val="none"/>
                    </w:rPr>
                  </w:pPr>
                  <w:r>
                    <w:rPr>
                      <w:rFonts w:ascii="Times New Roman" w:cs="Times New Roman" w:hAnsi="Times New Roman" w:hint="eastAsia"/>
                      <w:color w:val="auto"/>
                      <w:lang w:val="en-US" w:eastAsia="zh-CN"/>
                      <w:highlight w:val="none"/>
                    </w:rPr>
                    <w:t>30</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auto"/>
                      <w:lang w:val="en-US" w:eastAsia="zh-CN"/>
                      <w:highlight w:val="none"/>
                    </w:rPr>
                  </w:pPr>
                  <w:r>
                    <w:rPr>
                      <w:rFonts w:cs="Times New Roman" w:hint="eastAsia"/>
                      <w:color w:val="auto"/>
                      <w:lang w:val="en-US" w:eastAsia="zh-CN"/>
                      <w:highlight w:val="none"/>
                    </w:rPr>
                    <w:t>个</w:t>
                  </w:r>
                </w:p>
              </w:tc>
            </w:tr>
            <w:tr>
              <w:trPr>
                <w:trHeight w:val="397"/>
              </w:trPr>
              <w:tc>
                <w:tcPr>
                  <w:tcW w:w="527" w:type="pct"/>
                  <w:tcBorders>
                    <w:tl2br w:val="nil"/>
                    <w:tr2bl w:val="nil"/>
                  </w:tcBorders>
                  <w:shd w:val="clear" w:color="auto" w:fill="auto"/>
                  <w:vAlign w:val="center"/>
                </w:tcPr>
                <w:p>
                  <w:pPr>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Cs w:val="21"/>
                      <w:highlight w:val="none"/>
                    </w:rPr>
                    <w:t>7</w:t>
                  </w:r>
                </w:p>
              </w:tc>
              <w:tc>
                <w:tcPr>
                  <w:tcW w:w="103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ascii="Times New Roman" w:cs="Times New Roman" w:hAnsi="Times New Roman"/>
                      <w:color w:val="auto"/>
                      <w:highlight w:val="none"/>
                    </w:rPr>
                    <w:t>监控设备</w:t>
                  </w:r>
                </w:p>
              </w:tc>
              <w:tc>
                <w:tcPr>
                  <w:tcW w:w="192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auto"/>
                      <w:highlight w:val="none"/>
                    </w:rPr>
                  </w:pPr>
                  <w:r>
                    <w:rPr>
                      <w:rFonts w:cs="Times New Roman" w:hint="eastAsia"/>
                      <w:color w:val="auto"/>
                      <w:szCs w:val="21"/>
                      <w:lang w:val="en-US" w:eastAsia="zh-CN"/>
                      <w:highlight w:val="none"/>
                    </w:rPr>
                    <w:t>高清网络摄像头+硬盘录像机</w:t>
                  </w:r>
                </w:p>
              </w:tc>
              <w:tc>
                <w:tcPr>
                  <w:tcW w:w="75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auto"/>
                      <w:lang w:val="en-US" w:eastAsia="zh-CN"/>
                      <w:highlight w:val="none"/>
                    </w:rPr>
                  </w:pPr>
                  <w:r>
                    <w:rPr>
                      <w:rFonts w:cs="Times New Roman" w:hint="eastAsia"/>
                      <w:color w:val="auto"/>
                      <w:lang w:val="en-US" w:eastAsia="zh-CN"/>
                      <w:highlight w:val="none"/>
                    </w:rPr>
                    <w:t>1</w:t>
                  </w:r>
                </w:p>
              </w:tc>
              <w:tc>
                <w:tcPr>
                  <w:tcW w:w="76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套</w:t>
                  </w:r>
                </w:p>
              </w:tc>
            </w:tr>
          </w:tbl>
          <w:p>
            <w:pPr>
              <w:keepNext w:val="0"/>
              <w:keepLines w:val="0"/>
              <w:pageBreakBefore w:val="0"/>
              <w:widowControl w:val="0"/>
              <w:kinsoku/>
              <w:wordWrap/>
              <w:overflowPunct/>
              <w:topLinePunct w:val="0"/>
              <w:bidi w:val="0"/>
              <w:spacing w:line="460" w:lineRule="exact"/>
              <w:ind w:firstLineChars="200" w:firstLine="480"/>
              <w:textAlignment w:val="auto"/>
              <w:rPr>
                <w:b/>
                <w:bCs/>
                <w:color w:val="auto"/>
                <w:sz w:val="24"/>
                <w:highlight w:val="none"/>
              </w:rPr>
            </w:pPr>
            <w:bookmarkEnd w:id="41"/>
            <w:bookmarkEnd w:id="42"/>
            <w:r>
              <w:rPr>
                <w:rFonts w:hint="eastAsia"/>
                <w:b/>
                <w:bCs/>
                <w:color w:val="auto"/>
                <w:sz w:val="24"/>
                <w:lang w:val="en-US" w:eastAsia="zh-CN"/>
                <w:highlight w:val="none"/>
              </w:rPr>
              <w:t>6</w:t>
            </w:r>
            <w:r>
              <w:rPr>
                <w:rFonts w:hint="eastAsia"/>
                <w:b/>
                <w:bCs/>
                <w:color w:val="auto"/>
                <w:sz w:val="24"/>
                <w:highlight w:val="none"/>
              </w:rPr>
              <w:t>、主要</w:t>
            </w:r>
            <w:r>
              <w:rPr>
                <w:rFonts w:hint="eastAsia"/>
                <w:b/>
                <w:bCs/>
                <w:color w:val="auto"/>
                <w:sz w:val="24"/>
                <w:lang w:val="en-US"/>
                <w:highlight w:val="none"/>
              </w:rPr>
              <w:t>辅助</w:t>
            </w:r>
            <w:r>
              <w:rPr>
                <w:rFonts w:hint="eastAsia"/>
                <w:b/>
                <w:bCs/>
                <w:color w:val="auto"/>
                <w:sz w:val="24"/>
                <w:highlight w:val="none"/>
              </w:rPr>
              <w:t>材料</w:t>
            </w:r>
            <w:r>
              <w:rPr>
                <w:rFonts w:hint="eastAsia"/>
                <w:b/>
                <w:bCs/>
                <w:color w:val="auto"/>
                <w:sz w:val="24"/>
                <w:lang w:val="en-US" w:eastAsia="zh-CN"/>
                <w:highlight w:val="none"/>
              </w:rPr>
              <w:t>及能源消耗</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Chars="200" w:firstLine="480"/>
              <w:textAlignment w:val="auto"/>
              <w:rPr>
                <w:color w:val="auto"/>
                <w:sz w:val="24"/>
                <w:highlight w:val="none"/>
              </w:rPr>
            </w:pPr>
            <w:r>
              <w:rPr>
                <w:rFonts w:hint="eastAsia"/>
                <w:color w:val="auto"/>
                <w:sz w:val="24"/>
                <w:highlight w:val="none"/>
              </w:rPr>
              <w:t>项目</w:t>
            </w:r>
            <w:r>
              <w:rPr>
                <w:rFonts w:hint="eastAsia"/>
                <w:color w:val="auto"/>
                <w:sz w:val="24"/>
                <w:lang w:val="en-US"/>
                <w:highlight w:val="none"/>
              </w:rPr>
              <w:t>辅助</w:t>
            </w:r>
            <w:r>
              <w:rPr>
                <w:rFonts w:hint="eastAsia"/>
                <w:color w:val="auto"/>
                <w:sz w:val="24"/>
                <w:highlight w:val="none"/>
              </w:rPr>
              <w:t>材料消耗</w:t>
            </w:r>
            <w:r>
              <w:rPr>
                <w:rFonts w:hint="eastAsia"/>
                <w:color w:val="auto"/>
                <w:sz w:val="24"/>
                <w:lang w:val="en-US" w:eastAsia="zh-CN"/>
                <w:highlight w:val="none"/>
              </w:rPr>
              <w:t>及能源消耗</w:t>
            </w:r>
            <w:r>
              <w:rPr>
                <w:rFonts w:hint="eastAsia"/>
                <w:color w:val="auto"/>
                <w:sz w:val="24"/>
                <w:highlight w:val="none"/>
              </w:rPr>
              <w:t>情况见表2-</w:t>
            </w:r>
            <w:r>
              <w:rPr>
                <w:rFonts w:hint="eastAsia"/>
                <w:color w:val="auto"/>
                <w:sz w:val="24"/>
                <w:lang w:val="en-US" w:eastAsia="zh-CN"/>
                <w:highlight w:val="none"/>
              </w:rPr>
              <w:t>7</w:t>
            </w:r>
            <w:r>
              <w:rPr>
                <w:rFonts w:hint="eastAsia"/>
                <w:color w:val="auto"/>
                <w:sz w:val="24"/>
                <w:highlight w:val="none"/>
              </w:rPr>
              <w:t>。</w:t>
            </w:r>
          </w:p>
          <w:p>
            <w:pPr>
              <w:jc w:val="center"/>
              <w:rPr>
                <w:b/>
                <w:bCs/>
                <w:color w:val="auto"/>
                <w:sz w:val="24"/>
                <w:highlight w:val="none"/>
              </w:rPr>
            </w:pPr>
            <w:bookmarkStart w:id="43" w:name="_Hlk180482215"/>
            <w:r>
              <w:rPr>
                <w:b/>
                <w:bCs/>
                <w:color w:val="auto"/>
                <w:sz w:val="24"/>
                <w:highlight w:val="none"/>
              </w:rPr>
              <w:t>表2-</w:t>
            </w:r>
            <w:r>
              <w:rPr>
                <w:rFonts w:hint="eastAsia"/>
                <w:b/>
                <w:bCs/>
                <w:color w:val="auto"/>
                <w:sz w:val="24"/>
                <w:lang w:val="en-US" w:eastAsia="zh-CN"/>
                <w:highlight w:val="none"/>
              </w:rPr>
              <w:t xml:space="preserve">7 </w:t>
            </w:r>
            <w:r>
              <w:rPr>
                <w:b/>
                <w:bCs/>
                <w:color w:val="auto"/>
                <w:sz w:val="24"/>
                <w:highlight w:val="none"/>
              </w:rPr>
              <w:t xml:space="preserve"> 项目</w:t>
            </w:r>
            <w:r>
              <w:rPr>
                <w:rFonts w:hint="eastAsia"/>
                <w:b/>
                <w:bCs/>
                <w:color w:val="auto"/>
                <w:sz w:val="24"/>
                <w:lang w:eastAsia="zh-CN"/>
                <w:highlight w:val="none"/>
              </w:rPr>
              <w:t>辅助</w:t>
            </w:r>
            <w:r>
              <w:rPr>
                <w:b/>
                <w:bCs/>
                <w:color w:val="auto"/>
                <w:sz w:val="24"/>
                <w:highlight w:val="none"/>
              </w:rPr>
              <w:t>材料消耗一览表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16"/>
              <w:gridCol w:w="797"/>
              <w:gridCol w:w="1284"/>
              <w:gridCol w:w="1162"/>
              <w:gridCol w:w="1062"/>
              <w:gridCol w:w="1462"/>
              <w:gridCol w:w="1618"/>
            </w:tblGrid>
            <w:tr>
              <w:trPr>
                <w:trHeight w:val="397"/>
              </w:trPr>
              <w:tc>
                <w:tcPr>
                  <w:tcW w:w="442" w:type="pct"/>
                  <w:tcBorders>
                    <w:tl2br w:val="nil"/>
                    <w:tr2bl w:val="nil"/>
                  </w:tcBorders>
                  <w:vAlign w:val="center"/>
                </w:tcPr>
                <w:p>
                  <w:pPr>
                    <w:adjustRightInd w:val="0"/>
                    <w:snapToGrid w:val="0"/>
                    <w:jc w:val="center"/>
                    <w:rPr>
                      <w:color w:val="auto"/>
                      <w:szCs w:val="21"/>
                      <w:highlight w:val="none"/>
                    </w:rPr>
                  </w:pPr>
                  <w:bookmarkStart w:id="44" w:name="_Hlk161671191"/>
                  <w:r>
                    <w:rPr>
                      <w:bCs/>
                      <w:color w:val="auto"/>
                      <w:szCs w:val="21"/>
                      <w:highlight w:val="none"/>
                    </w:rPr>
                    <w:t>序号</w:t>
                  </w:r>
                </w:p>
              </w:tc>
              <w:tc>
                <w:tcPr>
                  <w:tcW w:w="1284" w:type="pct"/>
                  <w:gridSpan w:val="2"/>
                  <w:tcBorders>
                    <w:tl2br w:val="nil"/>
                    <w:tr2bl w:val="nil"/>
                  </w:tcBorders>
                  <w:vAlign w:val="center"/>
                </w:tcPr>
                <w:p>
                  <w:pPr>
                    <w:adjustRightInd w:val="0"/>
                    <w:snapToGrid w:val="0"/>
                    <w:jc w:val="center"/>
                    <w:rPr>
                      <w:color w:val="auto"/>
                      <w:szCs w:val="21"/>
                      <w:highlight w:val="none"/>
                    </w:rPr>
                  </w:pPr>
                  <w:r>
                    <w:rPr>
                      <w:bCs/>
                      <w:color w:val="auto"/>
                      <w:szCs w:val="21"/>
                      <w:highlight w:val="none"/>
                    </w:rPr>
                    <w:t>种类</w:t>
                  </w:r>
                </w:p>
              </w:tc>
              <w:tc>
                <w:tcPr>
                  <w:tcW w:w="717" w:type="pct"/>
                  <w:tcBorders>
                    <w:tl2br w:val="nil"/>
                    <w:tr2bl w:val="nil"/>
                  </w:tcBorders>
                  <w:vAlign w:val="center"/>
                </w:tcPr>
                <w:p>
                  <w:pPr>
                    <w:adjustRightInd w:val="0"/>
                    <w:snapToGrid w:val="0"/>
                    <w:jc w:val="center"/>
                    <w:rPr>
                      <w:color w:val="auto"/>
                      <w:szCs w:val="21"/>
                      <w:highlight w:val="none"/>
                    </w:rPr>
                  </w:pPr>
                  <w:r>
                    <w:rPr>
                      <w:rFonts w:hint="eastAsia"/>
                      <w:bCs/>
                      <w:color w:val="auto"/>
                      <w:szCs w:val="21"/>
                      <w:lang w:eastAsia="zh-CN"/>
                      <w:highlight w:val="none"/>
                    </w:rPr>
                    <w:t>年</w:t>
                  </w:r>
                  <w:r>
                    <w:rPr>
                      <w:bCs/>
                      <w:color w:val="auto"/>
                      <w:szCs w:val="21"/>
                      <w:highlight w:val="none"/>
                    </w:rPr>
                    <w:t>用量</w:t>
                  </w:r>
                </w:p>
              </w:tc>
              <w:tc>
                <w:tcPr>
                  <w:tcW w:w="655"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最大存储量</w:t>
                  </w:r>
                </w:p>
              </w:tc>
              <w:tc>
                <w:tcPr>
                  <w:tcW w:w="902" w:type="pct"/>
                  <w:tcBorders>
                    <w:tl2br w:val="nil"/>
                    <w:tr2bl w:val="nil"/>
                  </w:tcBorders>
                  <w:vAlign w:val="center"/>
                </w:tcPr>
                <w:p>
                  <w:pPr>
                    <w:jc w:val="center"/>
                    <w:rPr>
                      <w:color w:val="auto"/>
                      <w:szCs w:val="21"/>
                      <w:highlight w:val="none"/>
                    </w:rPr>
                  </w:pPr>
                  <w:r>
                    <w:rPr>
                      <w:rFonts w:hint="eastAsia"/>
                      <w:color w:val="auto"/>
                      <w:szCs w:val="21"/>
                      <w:highlight w:val="none"/>
                    </w:rPr>
                    <w:t>包装和储存方式</w:t>
                  </w:r>
                </w:p>
              </w:tc>
              <w:tc>
                <w:tcPr>
                  <w:tcW w:w="997" w:type="pct"/>
                  <w:tcBorders>
                    <w:tl2br w:val="nil"/>
                    <w:tr2bl w:val="nil"/>
                  </w:tcBorders>
                  <w:vAlign w:val="center"/>
                </w:tcPr>
                <w:p>
                  <w:pPr>
                    <w:jc w:val="center"/>
                    <w:rPr>
                      <w:rFonts w:eastAsia="宋体" w:hint="eastAsia"/>
                      <w:color w:val="auto"/>
                      <w:szCs w:val="21"/>
                      <w:lang w:eastAsia="zh-CN"/>
                      <w:highlight w:val="none"/>
                    </w:rPr>
                  </w:pPr>
                  <w:r>
                    <w:rPr>
                      <w:rFonts w:hint="eastAsia"/>
                      <w:color w:val="auto"/>
                      <w:szCs w:val="21"/>
                      <w:lang w:eastAsia="zh-CN"/>
                      <w:highlight w:val="none"/>
                    </w:rPr>
                    <w:t>运转周期</w:t>
                  </w:r>
                </w:p>
              </w:tc>
            </w:tr>
            <w:tr>
              <w:trPr>
                <w:trHeight w:val="397"/>
              </w:trPr>
              <w:tc>
                <w:tcPr>
                  <w:tcW w:w="442" w:type="pct"/>
                  <w:tcBorders>
                    <w:tl2br w:val="nil"/>
                    <w:tr2bl w:val="nil"/>
                  </w:tcBorders>
                  <w:vAlign w:val="center"/>
                </w:tcPr>
                <w:p>
                  <w:pPr>
                    <w:jc w:val="center"/>
                    <w:rPr>
                      <w:rFonts w:eastAsia="宋体" w:hint="eastAsia"/>
                      <w:color w:val="auto"/>
                      <w:szCs w:val="21"/>
                      <w:lang w:eastAsia="zh-CN"/>
                      <w:highlight w:val="none"/>
                    </w:rPr>
                  </w:pPr>
                  <w:r>
                    <w:rPr>
                      <w:rFonts w:hint="eastAsia"/>
                      <w:color w:val="auto"/>
                      <w:lang w:val="en-US" w:eastAsia="zh-CN"/>
                      <w:highlight w:val="none"/>
                    </w:rPr>
                    <w:t>1</w:t>
                  </w:r>
                </w:p>
              </w:tc>
              <w:tc>
                <w:tcPr>
                  <w:tcW w:w="492" w:type="pct"/>
                  <w:vMerge w:val="restar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cs="Times New Roman" w:hint="eastAsia"/>
                      <w:color w:val="auto"/>
                      <w:szCs w:val="21"/>
                      <w:lang w:val="en-US"/>
                      <w:highlight w:val="none"/>
                    </w:rPr>
                    <w:t>辅助</w:t>
                  </w:r>
                  <w:r>
                    <w:rPr>
                      <w:rFonts w:ascii="Times New Roman" w:eastAsia="宋体" w:cs="Times New Roman" w:hAnsi="Times New Roman" w:hint="eastAsia"/>
                      <w:color w:val="auto"/>
                      <w:szCs w:val="21"/>
                      <w:lang w:val="en-US" w:eastAsia="zh-CN"/>
                      <w:highlight w:val="none"/>
                    </w:rPr>
                    <w:t>材料消耗</w:t>
                  </w:r>
                </w:p>
              </w:tc>
              <w:tc>
                <w:tcPr>
                  <w:tcW w:w="792" w:type="pct"/>
                  <w:tcBorders>
                    <w:tl2br w:val="nil"/>
                    <w:tr2bl w:val="nil"/>
                  </w:tcBorders>
                  <w:vAlign w:val="center"/>
                </w:tcPr>
                <w:p>
                  <w:pPr>
                    <w:jc w:val="center"/>
                    <w:rPr>
                      <w:color w:val="auto"/>
                      <w:szCs w:val="21"/>
                      <w:lang w:val="en-US"/>
                      <w:highlight w:val="none"/>
                    </w:rPr>
                  </w:pPr>
                  <w:r>
                    <w:rPr>
                      <w:color w:val="auto"/>
                      <w:szCs w:val="21"/>
                      <w:lang w:val="en-US"/>
                      <w:highlight w:val="none"/>
                    </w:rPr>
                    <w:t>塑料薄膜</w:t>
                  </w:r>
                </w:p>
              </w:tc>
              <w:tc>
                <w:tcPr>
                  <w:tcW w:w="717" w:type="pct"/>
                  <w:tcBorders>
                    <w:tl2br w:val="nil"/>
                    <w:tr2bl w:val="nil"/>
                  </w:tcBorders>
                  <w:vAlign w:val="center"/>
                </w:tcPr>
                <w:p>
                  <w:pPr>
                    <w:jc w:val="center"/>
                    <w:rPr>
                      <w:color w:val="auto"/>
                      <w:szCs w:val="21"/>
                      <w:highlight w:val="none"/>
                    </w:rPr>
                  </w:pPr>
                  <w:r>
                    <w:rPr>
                      <w:color w:val="auto"/>
                      <w:szCs w:val="21"/>
                      <w:lang w:val="en-US"/>
                      <w:highlight w:val="none"/>
                    </w:rPr>
                    <w:t>500kg</w:t>
                  </w:r>
                </w:p>
              </w:tc>
              <w:tc>
                <w:tcPr>
                  <w:tcW w:w="655"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50kg</w:t>
                  </w:r>
                </w:p>
              </w:tc>
              <w:tc>
                <w:tcPr>
                  <w:tcW w:w="902" w:type="pct"/>
                  <w:tcBorders>
                    <w:tl2br w:val="nil"/>
                    <w:tr2bl w:val="nil"/>
                  </w:tcBorders>
                  <w:vAlign w:val="center"/>
                </w:tcPr>
                <w:p>
                  <w:pPr>
                    <w:jc w:val="center"/>
                    <w:rPr>
                      <w:rFonts w:eastAsia="宋体"/>
                      <w:color w:val="auto"/>
                      <w:szCs w:val="21"/>
                      <w:lang w:val="en-US" w:eastAsia="zh-CN"/>
                      <w:highlight w:val="none"/>
                    </w:rPr>
                  </w:pPr>
                  <w:r>
                    <w:rPr>
                      <w:color w:val="auto"/>
                      <w:szCs w:val="21"/>
                      <w:lang w:val="en-US"/>
                      <w:highlight w:val="none"/>
                    </w:rPr>
                    <w:t>50kg卷装，常温干燥库房存放</w:t>
                  </w:r>
                </w:p>
              </w:tc>
              <w:tc>
                <w:tcPr>
                  <w:tcW w:w="997" w:type="pct"/>
                  <w:tcBorders>
                    <w:tl2br w:val="nil"/>
                    <w:tr2bl w:val="nil"/>
                  </w:tcBorders>
                  <w:vAlign w:val="center"/>
                </w:tcPr>
                <w:p>
                  <w:pPr>
                    <w:jc w:val="center"/>
                    <w:rPr>
                      <w:color w:val="auto"/>
                      <w:szCs w:val="21"/>
                      <w:lang w:val="en-US"/>
                      <w:highlight w:val="none"/>
                    </w:rPr>
                  </w:pPr>
                  <w:r>
                    <w:rPr>
                      <w:color w:val="auto"/>
                      <w:szCs w:val="21"/>
                      <w:lang w:val="en-US"/>
                      <w:highlight w:val="none"/>
                    </w:rPr>
                    <w:t>按需采购，</w:t>
                  </w:r>
                </w:p>
                <w:p>
                  <w:pPr>
                    <w:jc w:val="center"/>
                    <w:rPr>
                      <w:rFonts w:eastAsia="宋体" w:hint="eastAsia"/>
                      <w:color w:val="auto"/>
                      <w:szCs w:val="21"/>
                      <w:lang w:val="en-US" w:eastAsia="zh-CN"/>
                      <w:highlight w:val="none"/>
                    </w:rPr>
                  </w:pPr>
                  <w:r>
                    <w:rPr>
                      <w:color w:val="auto"/>
                      <w:szCs w:val="21"/>
                      <w:lang w:val="en-US"/>
                      <w:highlight w:val="none"/>
                    </w:rPr>
                    <w:t>随用随补</w:t>
                  </w:r>
                </w:p>
              </w:tc>
            </w:tr>
            <w:tr>
              <w:trPr>
                <w:trHeight w:val="397"/>
              </w:trPr>
              <w:tc>
                <w:tcPr>
                  <w:tcW w:w="442" w:type="pct"/>
                  <w:tcBorders>
                    <w:tl2br w:val="nil"/>
                    <w:tr2bl w:val="nil"/>
                  </w:tcBorders>
                  <w:vAlign w:val="center"/>
                </w:tcPr>
                <w:p>
                  <w:pPr>
                    <w:jc w:val="center"/>
                    <w:rPr>
                      <w:rFonts w:eastAsia="宋体" w:hint="eastAsia"/>
                      <w:color w:val="auto"/>
                      <w:szCs w:val="21"/>
                      <w:lang w:eastAsia="zh-CN"/>
                      <w:highlight w:val="none"/>
                    </w:rPr>
                  </w:pPr>
                  <w:r>
                    <w:rPr>
                      <w:rFonts w:hint="eastAsia"/>
                      <w:color w:val="auto"/>
                      <w:lang w:val="en-US" w:eastAsia="zh-CN"/>
                      <w:highlight w:val="none"/>
                    </w:rPr>
                    <w:t>2</w:t>
                  </w:r>
                </w:p>
              </w:tc>
              <w:tc>
                <w:tcPr>
                  <w:tcW w:w="492" w:type="pct"/>
                  <w:vMerge/>
                  <w:tcBorders>
                    <w:tl2br w:val="nil"/>
                    <w:tr2bl w:val="nil"/>
                  </w:tcBorders>
                  <w:vAlign w:val="center"/>
                </w:tcPr>
                <w:p/>
              </w:tc>
              <w:tc>
                <w:tcPr>
                  <w:tcW w:w="792" w:type="pct"/>
                  <w:tcBorders>
                    <w:tl2br w:val="nil"/>
                    <w:tr2bl w:val="nil"/>
                  </w:tcBorders>
                  <w:vAlign w:val="center"/>
                </w:tcPr>
                <w:p>
                  <w:pPr>
                    <w:jc w:val="center"/>
                    <w:rPr>
                      <w:color w:val="auto"/>
                      <w:szCs w:val="21"/>
                      <w:highlight w:val="none"/>
                    </w:rPr>
                  </w:pPr>
                  <w:r>
                    <w:rPr>
                      <w:rFonts w:hint="eastAsia"/>
                      <w:color w:val="auto"/>
                      <w:szCs w:val="21"/>
                      <w:highlight w:val="none"/>
                    </w:rPr>
                    <w:t>片碱</w:t>
                  </w:r>
                </w:p>
              </w:tc>
              <w:tc>
                <w:tcPr>
                  <w:tcW w:w="717"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9</w:t>
                  </w:r>
                  <w:r>
                    <w:rPr>
                      <w:color w:val="auto"/>
                      <w:szCs w:val="21"/>
                      <w:lang w:val="en-US"/>
                      <w:highlight w:val="none"/>
                    </w:rPr>
                    <w:t>0kg</w:t>
                  </w:r>
                </w:p>
              </w:tc>
              <w:tc>
                <w:tcPr>
                  <w:tcW w:w="655" w:type="pct"/>
                  <w:tcBorders>
                    <w:tl2br w:val="nil"/>
                    <w:tr2bl w:val="nil"/>
                  </w:tcBorders>
                  <w:vAlign w:val="center"/>
                </w:tcPr>
                <w:p>
                  <w:pPr>
                    <w:jc w:val="center"/>
                    <w:rPr>
                      <w:color w:val="auto"/>
                      <w:szCs w:val="21"/>
                      <w:highlight w:val="none"/>
                    </w:rPr>
                  </w:pPr>
                  <w:r>
                    <w:rPr>
                      <w:rFonts w:hint="eastAsia"/>
                      <w:color w:val="auto"/>
                      <w:szCs w:val="21"/>
                      <w:lang w:val="en-US" w:eastAsia="zh-CN"/>
                      <w:highlight w:val="none"/>
                    </w:rPr>
                    <w:t>25</w:t>
                  </w:r>
                  <w:r>
                    <w:rPr>
                      <w:color w:val="auto"/>
                      <w:szCs w:val="21"/>
                      <w:lang w:val="en-US"/>
                      <w:highlight w:val="none"/>
                    </w:rPr>
                    <w:t>kg</w:t>
                  </w:r>
                </w:p>
              </w:tc>
              <w:tc>
                <w:tcPr>
                  <w:tcW w:w="902" w:type="pct"/>
                  <w:tcBorders>
                    <w:tl2br w:val="nil"/>
                    <w:tr2bl w:val="nil"/>
                  </w:tcBorders>
                  <w:vAlign w:val="center"/>
                </w:tcPr>
                <w:p>
                  <w:pPr>
                    <w:jc w:val="center"/>
                    <w:rPr>
                      <w:rFonts w:eastAsia="宋体" w:hint="eastAsia"/>
                      <w:color w:val="auto"/>
                      <w:szCs w:val="21"/>
                      <w:lang w:val="en-US" w:eastAsia="zh-CN"/>
                      <w:highlight w:val="none"/>
                    </w:rPr>
                  </w:pPr>
                  <w:r>
                    <w:rPr>
                      <w:color w:val="auto"/>
                      <w:szCs w:val="21"/>
                      <w:lang w:val="en-US"/>
                      <w:highlight w:val="none"/>
                    </w:rPr>
                    <w:t>袋装，</w:t>
                  </w:r>
                  <w:r>
                    <w:rPr>
                      <w:rFonts w:hint="eastAsia"/>
                      <w:color w:val="auto"/>
                      <w:szCs w:val="21"/>
                      <w:lang w:val="en-US" w:eastAsia="zh-CN"/>
                      <w:highlight w:val="none"/>
                    </w:rPr>
                    <w:t>随用随买</w:t>
                  </w:r>
                </w:p>
              </w:tc>
              <w:tc>
                <w:tcPr>
                  <w:tcW w:w="997" w:type="pct"/>
                  <w:tcBorders>
                    <w:tl2br w:val="nil"/>
                    <w:tr2bl w:val="nil"/>
                  </w:tcBorders>
                  <w:vAlign w:val="center"/>
                </w:tcPr>
                <w:p>
                  <w:pPr>
                    <w:jc w:val="center"/>
                    <w:rPr>
                      <w:color w:val="auto"/>
                      <w:szCs w:val="21"/>
                      <w:lang w:val="en-US"/>
                      <w:highlight w:val="none"/>
                    </w:rPr>
                  </w:pPr>
                  <w:r>
                    <w:rPr>
                      <w:color w:val="auto"/>
                      <w:szCs w:val="21"/>
                      <w:lang w:val="en-US"/>
                      <w:highlight w:val="none"/>
                    </w:rPr>
                    <w:t>按需采购，</w:t>
                  </w:r>
                </w:p>
                <w:p>
                  <w:pPr>
                    <w:jc w:val="center"/>
                    <w:rPr>
                      <w:rFonts w:eastAsia="宋体" w:hint="eastAsia"/>
                      <w:color w:val="auto"/>
                      <w:szCs w:val="21"/>
                      <w:lang w:val="en-US" w:eastAsia="zh-CN"/>
                      <w:highlight w:val="none"/>
                    </w:rPr>
                  </w:pPr>
                  <w:r>
                    <w:rPr>
                      <w:color w:val="auto"/>
                      <w:szCs w:val="21"/>
                      <w:lang w:val="en-US"/>
                      <w:highlight w:val="none"/>
                    </w:rPr>
                    <w:t>随用随补</w:t>
                  </w:r>
                </w:p>
              </w:tc>
            </w:tr>
            <w:tr>
              <w:trPr>
                <w:trHeight w:val="397"/>
              </w:trPr>
              <w:tc>
                <w:tcPr>
                  <w:tcW w:w="442" w:type="pct"/>
                  <w:tcBorders>
                    <w:tl2br w:val="nil"/>
                    <w:tr2bl w:val="nil"/>
                  </w:tcBorders>
                  <w:shd w:val="clear" w:color="auto" w:fill="auto"/>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3</w:t>
                  </w:r>
                </w:p>
              </w:tc>
              <w:tc>
                <w:tcPr>
                  <w:tcW w:w="492" w:type="pct"/>
                  <w:vMerge w:val="restar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szCs w:val="21"/>
                      <w:lang w:val="en-US" w:eastAsia="zh-CN"/>
                      <w:highlight w:val="none"/>
                    </w:rPr>
                    <w:t>能源消耗</w:t>
                  </w:r>
                </w:p>
              </w:tc>
              <w:tc>
                <w:tcPr>
                  <w:tcW w:w="792" w:type="pct"/>
                  <w:tcBorders>
                    <w:tl2br w:val="nil"/>
                    <w:tr2bl w:val="nil"/>
                  </w:tcBorders>
                  <w:vAlign w:val="center"/>
                </w:tcPr>
                <w:p>
                  <w:pPr>
                    <w:jc w:val="center"/>
                    <w:rPr>
                      <w:rFonts w:ascii="Times New Roman" w:eastAsia="宋体" w:cs="Times New Roman" w:hAnsi="Times New Roman" w:hint="eastAsia"/>
                      <w:color w:val="auto"/>
                      <w:szCs w:val="21"/>
                      <w:lang w:val="en-US" w:eastAsia="zh-CN"/>
                      <w:highlight w:val="none"/>
                    </w:rPr>
                  </w:pPr>
                  <w:r>
                    <w:rPr>
                      <w:rFonts w:ascii="Times New Roman" w:eastAsia="宋体" w:cs="Times New Roman" w:hAnsi="Times New Roman" w:hint="eastAsia"/>
                      <w:color w:val="auto"/>
                      <w:lang w:val="en-US" w:eastAsia="zh-CN"/>
                      <w:highlight w:val="none"/>
                    </w:rPr>
                    <w:t>新鲜水</w:t>
                  </w:r>
                </w:p>
              </w:tc>
              <w:tc>
                <w:tcPr>
                  <w:tcW w:w="717" w:type="pct"/>
                  <w:tcBorders>
                    <w:tl2br w:val="nil"/>
                    <w:tr2bl w:val="nil"/>
                  </w:tcBorders>
                  <w:vAlign w:val="center"/>
                </w:tcPr>
                <w:p>
                  <w:pPr>
                    <w:jc w:val="center"/>
                    <w:rPr>
                      <w:rFonts w:ascii="Times New Roman" w:eastAsia="宋体" w:cs="Times New Roman" w:hAnsi="Times New Roman"/>
                      <w:color w:val="auto"/>
                      <w:szCs w:val="21"/>
                      <w:lang w:val="en-US" w:eastAsia="zh-CN"/>
                      <w:highlight w:val="none"/>
                    </w:rPr>
                  </w:pPr>
                  <w:r>
                    <w:rPr>
                      <w:rFonts w:cs="Times New Roman" w:hint="eastAsia"/>
                      <w:color w:val="auto"/>
                      <w:szCs w:val="21"/>
                      <w:lang w:val="en-US" w:eastAsia="zh-CN"/>
                      <w:highlight w:val="none"/>
                    </w:rPr>
                    <w:t>144</w:t>
                  </w:r>
                </w:p>
              </w:tc>
              <w:tc>
                <w:tcPr>
                  <w:tcW w:w="655" w:type="pct"/>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val="en-US" w:eastAsia="zh-CN"/>
                      <w:highlight w:val="none"/>
                    </w:rPr>
                  </w:pPr>
                  <w:r>
                    <w:rPr>
                      <w:color w:val="auto"/>
                      <w:szCs w:val="21"/>
                      <w:highlight w:val="none"/>
                    </w:rPr>
                    <w:t>m</w:t>
                  </w:r>
                  <w:r>
                    <w:rPr>
                      <w:color w:val="auto"/>
                      <w:szCs w:val="21"/>
                      <w:vertAlign w:val="superscript"/>
                      <w:highlight w:val="none"/>
                    </w:rPr>
                    <w:t>3</w:t>
                  </w:r>
                  <w:r>
                    <w:rPr>
                      <w:color w:val="auto"/>
                      <w:szCs w:val="21"/>
                      <w:highlight w:val="none"/>
                    </w:rPr>
                    <w:t>/</w:t>
                  </w:r>
                  <w:r>
                    <w:rPr>
                      <w:rFonts w:hint="eastAsia"/>
                      <w:color w:val="auto"/>
                      <w:szCs w:val="21"/>
                      <w:highlight w:val="none"/>
                    </w:rPr>
                    <w:t>a</w:t>
                  </w:r>
                </w:p>
              </w:tc>
              <w:tc>
                <w:tcPr>
                  <w:tcW w:w="1900" w:type="pct"/>
                  <w:gridSpan w:val="2"/>
                  <w:tcBorders>
                    <w:tl2br w:val="nil"/>
                    <w:tr2bl w:val="nil"/>
                  </w:tcBorders>
                  <w:vAlign w:val="center"/>
                </w:tcPr>
                <w:p>
                  <w:pPr>
                    <w:adjustRightInd w:val="0"/>
                    <w:snapToGrid w:val="0"/>
                    <w:jc w:val="center"/>
                    <w:rPr>
                      <w:rFonts w:ascii="Times New Roman" w:eastAsia="宋体" w:cs="Times New Roman" w:hAnsi="Times New Roman" w:hint="eastAsia"/>
                      <w:color w:val="auto"/>
                      <w:szCs w:val="21"/>
                      <w:lang w:eastAsia="zh-CN"/>
                      <w:highlight w:val="none"/>
                    </w:rPr>
                  </w:pPr>
                  <w:r>
                    <w:rPr>
                      <w:rFonts w:cs="Times New Roman" w:hint="eastAsia"/>
                      <w:color w:val="auto"/>
                      <w:szCs w:val="21"/>
                      <w:lang w:eastAsia="zh-CN"/>
                      <w:highlight w:val="none"/>
                    </w:rPr>
                    <w:t>园区管网供应</w:t>
                  </w:r>
                </w:p>
              </w:tc>
            </w:tr>
            <w:tr>
              <w:trPr>
                <w:trHeight w:val="397"/>
              </w:trPr>
              <w:tc>
                <w:tcPr>
                  <w:tcW w:w="442" w:type="pct"/>
                  <w:tcBorders>
                    <w:tl2br w:val="nil"/>
                    <w:tr2bl w:val="nil"/>
                  </w:tcBorders>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4</w:t>
                  </w:r>
                </w:p>
              </w:tc>
              <w:tc>
                <w:tcPr>
                  <w:tcW w:w="492" w:type="pct"/>
                  <w:vMerge/>
                  <w:tcBorders>
                    <w:tl2br w:val="nil"/>
                    <w:tr2bl w:val="nil"/>
                  </w:tcBorders>
                  <w:vAlign w:val="center"/>
                </w:tcPr>
                <w:p/>
              </w:tc>
              <w:tc>
                <w:tcPr>
                  <w:tcW w:w="792" w:type="pct"/>
                  <w:tcBorders>
                    <w:tl2br w:val="nil"/>
                    <w:tr2bl w:val="nil"/>
                  </w:tcBorders>
                  <w:vAlign w:val="center"/>
                </w:tcPr>
                <w:p>
                  <w:pPr>
                    <w:jc w:val="center"/>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hint="eastAsia"/>
                      <w:color w:val="auto"/>
                      <w:kern w:val="0"/>
                      <w:sz w:val="21"/>
                      <w:szCs w:val="21"/>
                      <w:lang w:val="en-US" w:eastAsia="zh-CN" w:bidi="ar-SA"/>
                      <w:highlight w:val="none"/>
                    </w:rPr>
                    <w:t>电</w:t>
                  </w:r>
                </w:p>
              </w:tc>
              <w:tc>
                <w:tcPr>
                  <w:tcW w:w="717" w:type="pct"/>
                  <w:tcBorders>
                    <w:tl2br w:val="nil"/>
                    <w:tr2bl w:val="nil"/>
                  </w:tcBorders>
                  <w:vAlign w:val="center"/>
                </w:tcPr>
                <w:p>
                  <w:pPr>
                    <w:jc w:val="center"/>
                    <w:rPr>
                      <w:rFonts w:ascii="Times New Roman" w:eastAsia="宋体" w:cs="Times New Roman" w:hAnsi="Times New Roman"/>
                      <w:color w:val="auto"/>
                      <w:kern w:val="0"/>
                      <w:sz w:val="21"/>
                      <w:szCs w:val="21"/>
                      <w:lang w:val="en-US" w:eastAsia="zh-CN" w:bidi="ar-SA"/>
                      <w:highlight w:val="none"/>
                    </w:rPr>
                  </w:pPr>
                  <w:r>
                    <w:rPr>
                      <w:rFonts w:cs="Times New Roman" w:hint="eastAsia"/>
                      <w:color w:val="auto"/>
                      <w:kern w:val="0"/>
                      <w:sz w:val="21"/>
                      <w:szCs w:val="21"/>
                      <w:lang w:val="en-US" w:eastAsia="zh-CN" w:bidi="ar-SA"/>
                      <w:highlight w:val="none"/>
                    </w:rPr>
                    <w:t>1</w:t>
                  </w:r>
                </w:p>
              </w:tc>
              <w:tc>
                <w:tcPr>
                  <w:tcW w:w="655" w:type="pct"/>
                  <w:tcBorders>
                    <w:tl2br w:val="nil"/>
                    <w:tr2bl w:val="nil"/>
                  </w:tcBorders>
                  <w:vAlign w:val="center"/>
                </w:tcPr>
                <w:p>
                  <w:pPr>
                    <w:adjustRightInd w:val="0"/>
                    <w:snapToGrid w:val="0"/>
                    <w:jc w:val="center"/>
                    <w:rPr>
                      <w:rFonts w:ascii="Times New Roman" w:eastAsia="宋体" w:cs="Times New Roman" w:hAnsi="Times New Roman" w:hint="eastAsia"/>
                      <w:color w:val="auto"/>
                      <w:kern w:val="0"/>
                      <w:sz w:val="21"/>
                      <w:szCs w:val="21"/>
                      <w:lang w:val="en-US" w:eastAsia="zh-CN" w:bidi="ar-SA"/>
                      <w:highlight w:val="none"/>
                    </w:rPr>
                  </w:pPr>
                  <w:r>
                    <w:rPr>
                      <w:rFonts w:ascii="Times New Roman" w:eastAsia="宋体" w:cs="Times New Roman" w:hAnsi="Times New Roman"/>
                      <w:color w:val="auto"/>
                      <w:kern w:val="0"/>
                      <w:sz w:val="21"/>
                      <w:szCs w:val="21"/>
                      <w:lang w:val="en-US" w:eastAsia="zh-CN" w:bidi="ar-SA"/>
                      <w:highlight w:val="none"/>
                    </w:rPr>
                    <w:t>万kWh</w:t>
                  </w:r>
                  <w:r>
                    <w:rPr>
                      <w:rFonts w:ascii="Times New Roman" w:eastAsia="宋体" w:cs="Times New Roman" w:hAnsi="Times New Roman" w:hint="eastAsia"/>
                      <w:color w:val="auto"/>
                      <w:kern w:val="0"/>
                      <w:sz w:val="21"/>
                      <w:szCs w:val="21"/>
                      <w:lang w:val="en-US" w:eastAsia="zh-CN" w:bidi="ar-SA"/>
                      <w:highlight w:val="none"/>
                    </w:rPr>
                    <w:t>/a</w:t>
                  </w:r>
                </w:p>
              </w:tc>
              <w:tc>
                <w:tcPr>
                  <w:tcW w:w="1900" w:type="pct"/>
                  <w:gridSpan w:val="2"/>
                  <w:tcBorders>
                    <w:tl2br w:val="nil"/>
                    <w:tr2bl w:val="nil"/>
                  </w:tcBorders>
                  <w:vAlign w:val="center"/>
                </w:tcPr>
                <w:p>
                  <w:pPr>
                    <w:adjustRightInd w:val="0"/>
                    <w:snapToGrid w:val="0"/>
                    <w:jc w:val="center"/>
                    <w:rPr>
                      <w:rFonts w:ascii="Times New Roman" w:eastAsia="宋体" w:cs="Times New Roman" w:hAnsi="Times New Roman" w:hint="eastAsia"/>
                      <w:color w:val="auto"/>
                      <w:kern w:val="0"/>
                      <w:sz w:val="21"/>
                      <w:szCs w:val="21"/>
                      <w:lang w:val="en-US" w:eastAsia="zh-CN" w:bidi="ar-SA"/>
                      <w:highlight w:val="none"/>
                    </w:rPr>
                  </w:pPr>
                  <w:r>
                    <w:rPr>
                      <w:rFonts w:cs="Times New Roman" w:hint="eastAsia"/>
                      <w:color w:val="auto"/>
                      <w:szCs w:val="21"/>
                      <w:lang w:eastAsia="zh-CN"/>
                      <w:highlight w:val="none"/>
                    </w:rPr>
                    <w:t>园区电网供应</w:t>
                  </w:r>
                </w:p>
              </w:tc>
            </w:tr>
          </w:tbl>
          <w:p>
            <w:pPr>
              <w:keepNext w:val="0"/>
              <w:keepLines w:val="0"/>
              <w:pageBreakBefore w:val="0"/>
              <w:kinsoku/>
              <w:wordWrap/>
              <w:overflowPunct/>
              <w:topLinePunct w:val="0"/>
              <w:autoSpaceDE/>
              <w:autoSpaceDN/>
              <w:bidi w:val="0"/>
              <w:spacing w:line="460" w:lineRule="exact"/>
              <w:ind w:firstLineChars="200" w:firstLine="480"/>
              <w:rPr>
                <w:rFonts w:ascii="Times New Roman" w:eastAsia="宋体" w:cs="Times New Roman" w:hAnsi="Times New Roman" w:hint="eastAsia"/>
                <w:color w:val="auto"/>
                <w:sz w:val="24"/>
                <w:lang w:val="en-US" w:eastAsia="zh-CN"/>
                <w:highlight w:val="none"/>
              </w:rPr>
            </w:pPr>
            <w:bookmarkEnd w:id="43"/>
            <w:bookmarkEnd w:id="44"/>
            <w:r>
              <w:rPr>
                <w:rFonts w:ascii="Times New Roman" w:eastAsia="宋体" w:cs="Times New Roman" w:hAnsi="Times New Roman" w:hint="eastAsia"/>
                <w:color w:val="auto"/>
                <w:sz w:val="24"/>
                <w:lang w:val="en-US" w:eastAsia="zh-CN"/>
                <w:highlight w:val="none"/>
              </w:rPr>
              <w:t>氢氧化钠，也称苛性钠、烧碱、火碱、片碱，是一种无机化合物，化学式NaOH，相对分子量为39.9970。有结晶及无水物两种，呈白色或微带颜色，为有光泽的丸、片、棒、块等形状。纯品为无色透明晶体，相对密度2.130，熔点318.4℃，沸点1390℃。此外，其临界压力约为25 MPa，饱和蒸气压为0.13 kPa（739°C），辛醇/水分配系数约为-3.88。暴露于空气中易吸湿并逐渐溶解。固体氢氧化钠具有很强的吸湿性（潮解性），会吸收空气中的水蒸气，也会吸收二氧化碳、二氧化硫等酸性气体。氢氧化钠具有强碱性，腐蚀性极强，可作酸中和剂、配合掩蔽剂、沉淀剂、沉淀掩蔽剂、显色剂、皂化剂、去皮剂、洗涤剂等，用途非常广泛</w:t>
            </w:r>
            <w:r>
              <w:rPr>
                <w:rFonts w:cs="Times New Roman" w:hint="eastAsia"/>
                <w:color w:val="auto"/>
                <w:sz w:val="24"/>
                <w:lang w:val="en-US" w:eastAsia="zh-CN"/>
                <w:highlight w:val="none"/>
              </w:rPr>
              <w:t>。</w:t>
            </w:r>
          </w:p>
          <w:p>
            <w:pPr>
              <w:keepNext w:val="0"/>
              <w:keepLines w:val="0"/>
              <w:pageBreakBefore w:val="0"/>
              <w:kinsoku/>
              <w:wordWrap/>
              <w:overflowPunct/>
              <w:topLinePunct w:val="0"/>
              <w:autoSpaceDE/>
              <w:autoSpaceDN/>
              <w:bidi w:val="0"/>
              <w:spacing w:line="460" w:lineRule="exact"/>
              <w:ind w:firstLineChars="200" w:firstLine="480"/>
              <w:rPr>
                <w:b/>
                <w:bCs/>
                <w:color w:val="auto"/>
                <w:sz w:val="24"/>
                <w:highlight w:val="none"/>
              </w:rPr>
            </w:pPr>
            <w:r>
              <w:rPr>
                <w:rFonts w:hint="eastAsia"/>
                <w:b/>
                <w:bCs/>
                <w:color w:val="auto"/>
                <w:sz w:val="24"/>
                <w:lang w:val="en-US" w:eastAsia="zh-CN"/>
                <w:highlight w:val="none"/>
              </w:rPr>
              <w:t>7</w:t>
            </w:r>
            <w:r>
              <w:rPr>
                <w:rFonts w:hint="eastAsia"/>
                <w:b/>
                <w:bCs/>
                <w:color w:val="auto"/>
                <w:sz w:val="24"/>
                <w:highlight w:val="none"/>
              </w:rPr>
              <w:t>、公用工程</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rPr>
                <w:bCs/>
                <w:color w:val="auto"/>
                <w:sz w:val="24"/>
                <w:highlight w:val="none"/>
              </w:rPr>
            </w:pPr>
            <w:r>
              <w:rPr>
                <w:rFonts w:hint="eastAsia"/>
                <w:bCs/>
                <w:color w:val="auto"/>
                <w:sz w:val="24"/>
                <w:highlight w:val="none"/>
              </w:rPr>
              <w:t>（1）给、排水</w:t>
            </w:r>
          </w:p>
          <w:p>
            <w:pPr>
              <w:pStyle w:val="56"/>
              <w:keepNext w:val="0"/>
              <w:keepLines w:val="0"/>
              <w:pageBreakBefore w:val="0"/>
              <w:widowControl w:val="0"/>
              <w:kinsoku/>
              <w:wordWrap/>
              <w:overflowPunct/>
              <w:topLinePunct w:val="0"/>
              <w:autoSpaceDE/>
              <w:autoSpaceDN/>
              <w:bidi w:val="0"/>
              <w:spacing w:line="360" w:lineRule="auto"/>
              <w:rPr>
                <w:rFonts w:eastAsia="宋体"/>
                <w:color w:val="auto"/>
                <w:lang w:val="en-US" w:eastAsia="zh-CN"/>
                <w:highlight w:val="none"/>
              </w:rPr>
            </w:pPr>
            <w:r>
              <w:rPr>
                <w:rFonts w:hint="eastAsia"/>
                <w:color w:val="auto"/>
                <w:highlight w:val="none"/>
              </w:rPr>
              <w:t>项目用水</w:t>
            </w:r>
            <w:r>
              <w:rPr>
                <w:rFonts w:hint="eastAsia"/>
                <w:color w:val="auto"/>
                <w:lang w:val="en-US" w:eastAsia="zh-CN"/>
                <w:highlight w:val="none"/>
              </w:rPr>
              <w:t>包括生产用水和生活用水，新鲜水</w:t>
            </w:r>
            <w:r>
              <w:rPr>
                <w:rFonts w:hint="eastAsia"/>
                <w:color w:val="auto"/>
                <w:highlight w:val="none"/>
              </w:rPr>
              <w:t>由</w:t>
            </w:r>
            <w:r>
              <w:rPr>
                <w:rFonts w:hint="eastAsia"/>
                <w:color w:val="auto"/>
                <w:szCs w:val="21"/>
                <w:lang w:val="en-US" w:eastAsia="zh-CN"/>
                <w:highlight w:val="none"/>
              </w:rPr>
              <w:t>园区</w:t>
            </w:r>
            <w:r>
              <w:rPr>
                <w:rFonts w:hint="eastAsia"/>
                <w:color w:val="auto"/>
                <w:szCs w:val="21"/>
                <w:highlight w:val="none"/>
              </w:rPr>
              <w:t>供水管网</w:t>
            </w:r>
            <w:r>
              <w:rPr>
                <w:rFonts w:hint="eastAsia"/>
                <w:color w:val="auto"/>
                <w:highlight w:val="none"/>
              </w:rPr>
              <w:t>提供。新鲜用水量为</w:t>
            </w:r>
            <w:r>
              <w:rPr>
                <w:rFonts w:hint="eastAsia"/>
                <w:color w:val="auto"/>
                <w:lang w:val="en-US" w:eastAsia="zh-CN"/>
                <w:highlight w:val="none"/>
              </w:rPr>
              <w:t>0.85</w:t>
            </w:r>
            <w:r>
              <w:rPr>
                <w:rFonts w:hint="eastAsia"/>
                <w:color w:val="auto"/>
                <w:highlight w:val="none"/>
              </w:rPr>
              <w:t>m</w:t>
            </w:r>
            <w:r>
              <w:rPr>
                <w:rFonts w:hint="eastAsia"/>
                <w:color w:val="auto"/>
                <w:vertAlign w:val="superscript"/>
                <w:highlight w:val="none"/>
              </w:rPr>
              <w:t>3</w:t>
            </w:r>
            <w:r>
              <w:rPr>
                <w:rFonts w:hint="eastAsia"/>
                <w:color w:val="auto"/>
                <w:highlight w:val="none"/>
              </w:rPr>
              <w:t>/d</w:t>
            </w:r>
            <w:r>
              <w:rPr>
                <w:rFonts w:hint="eastAsia"/>
                <w:color w:val="auto"/>
                <w:lang w:eastAsia="zh-CN"/>
                <w:highlight w:val="none"/>
              </w:rPr>
              <w:t>，</w:t>
            </w:r>
            <w:r>
              <w:rPr>
                <w:rFonts w:hint="eastAsia"/>
                <w:color w:val="auto"/>
                <w:lang w:val="en-US" w:eastAsia="zh-CN"/>
                <w:highlight w:val="none"/>
              </w:rPr>
              <w:t>满足项目用水需求。</w:t>
            </w:r>
          </w:p>
          <w:p>
            <w:pPr>
              <w:keepNext w:val="0"/>
              <w:keepLines w:val="0"/>
              <w:pageBreakBefore w:val="0"/>
              <w:widowControl w:val="0"/>
              <w:kinsoku/>
              <w:wordWrap/>
              <w:overflowPunct/>
              <w:topLinePunct w:val="0"/>
              <w:autoSpaceDE/>
              <w:autoSpaceDN/>
              <w:bidi w:val="0"/>
              <w:adjustRightInd w:val="0"/>
              <w:snapToGrid w:val="0"/>
              <w:spacing w:line="360" w:lineRule="auto"/>
              <w:ind w:leftChars="8" w:left="17" w:firstLineChars="200" w:firstLine="480"/>
              <w:rPr>
                <w:rFonts w:ascii="Times New Roman" w:cs="Times New Roman" w:hAnsi="Times New Roman"/>
                <w:color w:val="auto"/>
                <w:sz w:val="24"/>
                <w:szCs w:val="24"/>
                <w:lang w:val="en-US" w:eastAsia="zh-CN"/>
                <w:highlight w:val="none"/>
              </w:rPr>
            </w:pPr>
            <w:r>
              <w:rPr>
                <w:rFonts w:ascii="Times New Roman" w:cs="Times New Roman" w:hAnsi="Times New Roman" w:hint="eastAsia"/>
                <w:color w:val="auto"/>
                <w:sz w:val="24"/>
                <w:szCs w:val="24"/>
                <w:lang w:val="en-US" w:eastAsia="zh-CN"/>
                <w:highlight w:val="none"/>
              </w:rPr>
              <w:t>本项目配套的碱液喷淋装置采取氢氧化钠溶液喷淋处理破损电池间产生的硫酸雾。所用碱液浓度为3%，适时补充氢氧化钠和新鲜水，吸收液循环使用。根据</w:t>
            </w:r>
            <w:r>
              <w:rPr>
                <w:rFonts w:cs="Times New Roman" w:hint="eastAsia"/>
                <w:color w:val="auto"/>
                <w:sz w:val="24"/>
                <w:szCs w:val="24"/>
                <w:lang w:val="en-US" w:eastAsia="zh-CN"/>
                <w:highlight w:val="none"/>
              </w:rPr>
              <w:t>设计资料</w:t>
            </w:r>
            <w:r>
              <w:rPr>
                <w:rFonts w:ascii="Times New Roman"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喷淋装置循环水槽容积</w:t>
            </w:r>
            <w:r>
              <w:rPr>
                <w:rFonts w:ascii="Times New Roman" w:cs="Times New Roman" w:hAnsi="Times New Roman" w:hint="eastAsia"/>
                <w:color w:val="auto"/>
                <w:sz w:val="24"/>
                <w:szCs w:val="24"/>
                <w:lang w:val="en-US" w:eastAsia="zh-CN"/>
                <w:highlight w:val="none"/>
              </w:rPr>
              <w:t>约为0.</w:t>
            </w:r>
            <w:r>
              <w:rPr>
                <w:rFonts w:cs="Times New Roman" w:hint="eastAsia"/>
                <w:color w:val="auto"/>
                <w:sz w:val="24"/>
                <w:szCs w:val="24"/>
                <w:lang w:val="en-US" w:eastAsia="zh-CN"/>
                <w:highlight w:val="none"/>
              </w:rPr>
              <w:t>7</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，喷淋塔循环水蒸发损耗量按水槽的5%计算，喷淋水每日损耗量为循环量的5%</w:t>
            </w:r>
            <w:r>
              <w:rPr>
                <w:rFonts w:cs="Times New Roman" w:hint="eastAsia"/>
                <w:color w:val="auto"/>
                <w:sz w:val="24"/>
                <w:szCs w:val="24"/>
                <w:lang w:val="en-US" w:eastAsia="zh-CN"/>
                <w:highlight w:val="none"/>
              </w:rPr>
              <w:t>，约0.04</w:t>
            </w:r>
            <w:r>
              <w:rPr>
                <w:color w:val="auto"/>
                <w:sz w:val="24"/>
                <w:highlight w:val="none"/>
              </w:rPr>
              <w:t>m</w:t>
            </w:r>
            <w:r>
              <w:rPr>
                <w:color w:val="auto"/>
                <w:sz w:val="24"/>
                <w:vertAlign w:val="superscript"/>
                <w:highlight w:val="none"/>
              </w:rPr>
              <w:t>3</w:t>
            </w:r>
            <w:r>
              <w:rPr>
                <w:color w:val="auto"/>
                <w:sz w:val="24"/>
                <w:highlight w:val="none"/>
              </w:rPr>
              <w:t>/d</w:t>
            </w:r>
            <w:r>
              <w:rPr>
                <w:rFonts w:ascii="Times New Roman" w:cs="Times New Roman" w:hAnsi="Times New Roman" w:hint="eastAsia"/>
                <w:color w:val="auto"/>
                <w:sz w:val="24"/>
                <w:szCs w:val="24"/>
                <w:lang w:val="en-US" w:eastAsia="zh-CN"/>
                <w:highlight w:val="none"/>
              </w:rPr>
              <w:t>。喷淋装置内碱液循环使用，每年更换次数按1次计，废碱液全部作为危险废物，交由有危险废物处置资质单位处置。项目废碱液产生量为0.</w:t>
            </w:r>
            <w:r>
              <w:rPr>
                <w:rFonts w:cs="Times New Roman" w:hint="eastAsia"/>
                <w:color w:val="auto"/>
                <w:sz w:val="24"/>
                <w:szCs w:val="24"/>
                <w:lang w:val="en-US" w:eastAsia="zh-CN"/>
                <w:highlight w:val="none"/>
              </w:rPr>
              <w:t>7</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/a，喷淋用水蒸发损耗量按年300天计，喷淋塔需要新鲜水量为</w:t>
            </w:r>
            <w:r>
              <w:rPr>
                <w:rFonts w:cs="Times New Roman" w:hint="eastAsia"/>
                <w:color w:val="auto"/>
                <w:sz w:val="24"/>
                <w:szCs w:val="24"/>
                <w:lang w:val="en-US" w:eastAsia="zh-CN"/>
                <w:highlight w:val="none"/>
              </w:rPr>
              <w:t>12</w:t>
            </w:r>
            <w:r>
              <w:rPr>
                <w:rFonts w:ascii="Times New Roman" w:cs="Times New Roman" w:hAnsi="Times New Roman" w:hint="eastAsia"/>
                <w:color w:val="auto"/>
                <w:sz w:val="24"/>
                <w:szCs w:val="24"/>
                <w:lang w:val="en-US" w:eastAsia="zh-CN"/>
                <w:highlight w:val="none"/>
              </w:rPr>
              <w:t>m</w:t>
            </w:r>
            <w:r>
              <w:rPr>
                <w:rFonts w:ascii="Times New Roman" w:cs="Times New Roman" w:hAnsi="Times New Roman" w:hint="eastAsia"/>
                <w:color w:val="auto"/>
                <w:sz w:val="24"/>
                <w:szCs w:val="24"/>
                <w:vertAlign w:val="superscript"/>
                <w:lang w:val="en-US" w:eastAsia="zh-CN"/>
                <w:highlight w:val="none"/>
              </w:rPr>
              <w:t>3</w:t>
            </w:r>
            <w:r>
              <w:rPr>
                <w:rFonts w:ascii="Times New Roman" w:cs="Times New Roman" w:hAnsi="Times New Roman" w:hint="eastAsia"/>
                <w:color w:val="auto"/>
                <w:sz w:val="24"/>
                <w:szCs w:val="24"/>
                <w:lang w:val="en-US" w:eastAsia="zh-CN"/>
                <w:highlight w:val="none"/>
              </w:rPr>
              <w:t>/a</w:t>
            </w:r>
            <w:r>
              <w:rPr>
                <w:rFonts w:ascii="Times New Roman" w:cs="Times New Roman" w:hAnsi="Times New Roman" w:hint="eastAsia"/>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leftChars="8" w:left="17" w:firstLineChars="200" w:firstLine="480"/>
              <w:rPr>
                <w:rFonts w:ascii="Times New Roman" w:cs="Times New Roman" w:hAnsi="Times New Roman"/>
                <w:color w:val="auto"/>
                <w:sz w:val="24"/>
                <w:szCs w:val="24"/>
                <w:highlight w:val="none"/>
              </w:rPr>
            </w:pPr>
            <w:r>
              <w:rPr>
                <w:rFonts w:ascii="Times New Roman" w:cs="Times New Roman" w:hAnsi="Times New Roman" w:hint="eastAsia"/>
                <w:color w:val="auto"/>
                <w:sz w:val="24"/>
                <w:szCs w:val="24"/>
                <w:lang w:val="en-US" w:eastAsia="zh-CN"/>
                <w:highlight w:val="none"/>
              </w:rPr>
              <w:t>职工生活用水：</w:t>
            </w:r>
            <w:r>
              <w:rPr>
                <w:color w:val="auto"/>
                <w:sz w:val="24"/>
                <w:highlight w:val="none"/>
              </w:rPr>
              <w:t>项目</w:t>
            </w:r>
            <w:r>
              <w:rPr>
                <w:rFonts w:hint="eastAsia"/>
                <w:color w:val="auto"/>
                <w:sz w:val="24"/>
                <w:highlight w:val="none"/>
              </w:rPr>
              <w:t>劳动定员均为附近村民，</w:t>
            </w:r>
            <w:r>
              <w:rPr>
                <w:color w:val="auto"/>
                <w:sz w:val="24"/>
                <w:highlight w:val="none"/>
              </w:rPr>
              <w:t>不设食堂、</w:t>
            </w:r>
            <w:r>
              <w:rPr>
                <w:rFonts w:hint="eastAsia"/>
                <w:color w:val="auto"/>
                <w:sz w:val="24"/>
                <w:highlight w:val="none"/>
              </w:rPr>
              <w:t>住宿</w:t>
            </w:r>
            <w:r>
              <w:rPr>
                <w:color w:val="auto"/>
                <w:sz w:val="24"/>
                <w:highlight w:val="none"/>
              </w:rPr>
              <w:t>，参照</w:t>
            </w:r>
            <w:r>
              <w:rPr>
                <w:rFonts w:hint="eastAsia"/>
                <w:bCs/>
                <w:color w:val="auto"/>
                <w:sz w:val="24"/>
                <w:highlight w:val="none"/>
              </w:rPr>
              <w:t>《河北省地方标准 用水定额 第1部分：居民生活》（DB 13/T 5450.1-2021），用水量</w:t>
            </w:r>
            <w:r>
              <w:rPr>
                <w:rFonts w:hint="eastAsia"/>
                <w:bCs/>
                <w:color w:val="auto"/>
                <w:sz w:val="24"/>
                <w:lang w:eastAsia="zh-CN"/>
                <w:highlight w:val="none"/>
              </w:rPr>
              <w:t>以</w:t>
            </w:r>
            <w:r>
              <w:rPr>
                <w:rFonts w:hint="eastAsia"/>
                <w:bCs/>
                <w:color w:val="auto"/>
                <w:sz w:val="24"/>
                <w:highlight w:val="none"/>
              </w:rPr>
              <w:t>22m</w:t>
            </w:r>
            <w:r>
              <w:rPr>
                <w:rFonts w:hint="eastAsia"/>
                <w:bCs/>
                <w:color w:val="auto"/>
                <w:sz w:val="24"/>
                <w:vertAlign w:val="superscript"/>
                <w:highlight w:val="none"/>
              </w:rPr>
              <w:t>3</w:t>
            </w:r>
            <w:r>
              <w:rPr>
                <w:rFonts w:hint="eastAsia"/>
                <w:bCs/>
                <w:color w:val="auto"/>
                <w:sz w:val="24"/>
                <w:highlight w:val="none"/>
              </w:rPr>
              <w:t>/人·a计，项目</w:t>
            </w:r>
            <w:r>
              <w:rPr>
                <w:color w:val="auto"/>
                <w:sz w:val="24"/>
                <w:highlight w:val="none"/>
              </w:rPr>
              <w:t>劳动定员</w:t>
            </w:r>
            <w:r>
              <w:rPr>
                <w:color w:val="auto"/>
                <w:sz w:val="24"/>
                <w:lang w:eastAsia="zh-CN"/>
                <w:highlight w:val="none"/>
              </w:rPr>
              <w:t>6</w:t>
            </w:r>
            <w:r>
              <w:rPr>
                <w:color w:val="auto"/>
                <w:sz w:val="24"/>
                <w:highlight w:val="none"/>
              </w:rPr>
              <w:t>人，</w:t>
            </w:r>
            <w:r>
              <w:rPr>
                <w:rFonts w:hint="eastAsia"/>
                <w:bCs/>
                <w:color w:val="auto"/>
                <w:sz w:val="24"/>
                <w:highlight w:val="none"/>
              </w:rPr>
              <w:t>年</w:t>
            </w:r>
            <w:r>
              <w:rPr>
                <w:rFonts w:hint="eastAsia"/>
                <w:bCs/>
                <w:color w:val="auto"/>
                <w:sz w:val="24"/>
                <w:lang w:eastAsia="zh-CN"/>
                <w:highlight w:val="none"/>
              </w:rPr>
              <w:t>工作</w:t>
            </w:r>
            <w:r>
              <w:rPr>
                <w:rFonts w:hint="eastAsia"/>
                <w:bCs/>
                <w:color w:val="auto"/>
                <w:sz w:val="24"/>
                <w:highlight w:val="none"/>
              </w:rPr>
              <w:t>300天，</w:t>
            </w:r>
            <w:r>
              <w:rPr>
                <w:rFonts w:hint="eastAsia"/>
                <w:color w:val="auto"/>
                <w:sz w:val="24"/>
                <w:highlight w:val="none"/>
              </w:rPr>
              <w:t>最大</w:t>
            </w:r>
            <w:r>
              <w:rPr>
                <w:rFonts w:hint="eastAsia"/>
                <w:bCs/>
                <w:color w:val="auto"/>
                <w:sz w:val="24"/>
                <w:highlight w:val="none"/>
              </w:rPr>
              <w:t>用水量为</w:t>
            </w:r>
            <w:r>
              <w:rPr>
                <w:bCs/>
                <w:color w:val="auto"/>
                <w:sz w:val="24"/>
                <w:highlight w:val="none"/>
              </w:rPr>
              <w:t>132</w:t>
            </w:r>
            <w:r>
              <w:rPr>
                <w:color w:val="auto"/>
                <w:sz w:val="24"/>
                <w:highlight w:val="none"/>
              </w:rPr>
              <w:t>m</w:t>
            </w:r>
            <w:r>
              <w:rPr>
                <w:color w:val="auto"/>
                <w:sz w:val="24"/>
                <w:vertAlign w:val="superscript"/>
                <w:highlight w:val="none"/>
              </w:rPr>
              <w:t>3</w:t>
            </w:r>
            <w:r>
              <w:rPr>
                <w:color w:val="auto"/>
                <w:sz w:val="24"/>
                <w:highlight w:val="none"/>
              </w:rPr>
              <w:t>/</w:t>
            </w:r>
            <w:r>
              <w:rPr>
                <w:rFonts w:hint="eastAsia"/>
                <w:color w:val="auto"/>
                <w:sz w:val="24"/>
                <w:highlight w:val="none"/>
              </w:rPr>
              <w:t>a（0.</w:t>
            </w:r>
            <w:r>
              <w:rPr>
                <w:color w:val="auto"/>
                <w:sz w:val="24"/>
                <w:lang w:eastAsia="zh-CN"/>
                <w:highlight w:val="none"/>
              </w:rPr>
              <w:t>44</w:t>
            </w:r>
            <w:r>
              <w:rPr>
                <w:color w:val="auto"/>
                <w:sz w:val="24"/>
                <w:highlight w:val="none"/>
              </w:rPr>
              <w:t>m</w:t>
            </w:r>
            <w:r>
              <w:rPr>
                <w:color w:val="auto"/>
                <w:sz w:val="24"/>
                <w:vertAlign w:val="superscript"/>
                <w:highlight w:val="none"/>
              </w:rPr>
              <w:t>3</w:t>
            </w:r>
            <w:r>
              <w:rPr>
                <w:color w:val="auto"/>
                <w:sz w:val="24"/>
                <w:highlight w:val="none"/>
              </w:rPr>
              <w:t>/d</w:t>
            </w:r>
            <w:r>
              <w:rPr>
                <w:rFonts w:hint="eastAsia"/>
                <w:color w:val="auto"/>
                <w:sz w:val="24"/>
                <w:highlight w:val="none"/>
              </w:rPr>
              <w:t>）</w:t>
            </w:r>
            <w:r>
              <w:rPr>
                <w:rFonts w:ascii="Times New Roman" w:eastAsia="宋体" w:cs="Times New Roman" w:hAnsi="Times New Roman" w:hint="eastAsia"/>
                <w:bCs/>
                <w:color w:val="auto"/>
                <w:sz w:val="24"/>
                <w:highlight w:val="none"/>
              </w:rPr>
              <w:t>。职工生活</w:t>
            </w:r>
            <w:r>
              <w:rPr>
                <w:rFonts w:ascii="Times New Roman" w:eastAsia="宋体" w:cs="Times New Roman" w:hAnsi="Times New Roman" w:hint="eastAsia"/>
                <w:bCs/>
                <w:color w:val="auto"/>
                <w:sz w:val="24"/>
                <w:lang w:val="en-US" w:eastAsia="zh-CN"/>
                <w:highlight w:val="none"/>
              </w:rPr>
              <w:t>废</w:t>
            </w:r>
            <w:r>
              <w:rPr>
                <w:rFonts w:ascii="Times New Roman" w:eastAsia="宋体" w:cs="Times New Roman" w:hAnsi="Times New Roman" w:hint="eastAsia"/>
                <w:bCs/>
                <w:color w:val="auto"/>
                <w:sz w:val="24"/>
                <w:highlight w:val="none"/>
              </w:rPr>
              <w:t>水</w:t>
            </w:r>
            <w:r>
              <w:rPr>
                <w:rFonts w:ascii="Times New Roman" w:eastAsia="宋体" w:cs="Times New Roman" w:hAnsi="Times New Roman" w:hint="eastAsia"/>
                <w:bCs/>
                <w:color w:val="auto"/>
                <w:sz w:val="24"/>
                <w:lang w:val="en-US" w:eastAsia="zh-CN"/>
                <w:highlight w:val="none"/>
              </w:rPr>
              <w:t>产生量按用水量80%计，则</w:t>
            </w:r>
            <w:r>
              <w:rPr>
                <w:rFonts w:ascii="Times New Roman" w:eastAsia="宋体" w:cs="Times New Roman" w:hAnsi="Times New Roman" w:hint="eastAsia"/>
                <w:bCs/>
                <w:color w:val="auto"/>
                <w:sz w:val="24"/>
                <w:highlight w:val="none"/>
              </w:rPr>
              <w:t>职工生活</w:t>
            </w:r>
            <w:r>
              <w:rPr>
                <w:rFonts w:ascii="Times New Roman" w:eastAsia="宋体" w:cs="Times New Roman" w:hAnsi="Times New Roman" w:hint="eastAsia"/>
                <w:bCs/>
                <w:color w:val="auto"/>
                <w:sz w:val="24"/>
                <w:lang w:val="en-US" w:eastAsia="zh-CN"/>
                <w:highlight w:val="none"/>
              </w:rPr>
              <w:t>废</w:t>
            </w:r>
            <w:r>
              <w:rPr>
                <w:rFonts w:ascii="Times New Roman" w:eastAsia="宋体" w:cs="Times New Roman" w:hAnsi="Times New Roman" w:hint="eastAsia"/>
                <w:bCs/>
                <w:color w:val="auto"/>
                <w:sz w:val="24"/>
                <w:highlight w:val="none"/>
              </w:rPr>
              <w:t>水</w:t>
            </w:r>
            <w:r>
              <w:rPr>
                <w:rFonts w:ascii="Times New Roman" w:eastAsia="宋体" w:cs="Times New Roman" w:hAnsi="Times New Roman" w:hint="eastAsia"/>
                <w:bCs/>
                <w:color w:val="auto"/>
                <w:sz w:val="24"/>
                <w:lang w:val="en-US" w:eastAsia="zh-CN"/>
                <w:highlight w:val="none"/>
              </w:rPr>
              <w:t>产生</w:t>
            </w:r>
            <w:r>
              <w:rPr>
                <w:rFonts w:ascii="Times New Roman" w:eastAsia="宋体" w:cs="Times New Roman" w:hAnsi="Times New Roman" w:hint="eastAsia"/>
                <w:bCs/>
                <w:color w:val="auto"/>
                <w:sz w:val="24"/>
                <w:highlight w:val="none"/>
              </w:rPr>
              <w:t>量为</w:t>
            </w:r>
            <w:r>
              <w:rPr>
                <w:rFonts w:ascii="Times New Roman" w:eastAsia="宋体" w:cs="Times New Roman" w:hAnsi="Times New Roman" w:hint="eastAsia"/>
                <w:bCs/>
                <w:color w:val="auto"/>
                <w:sz w:val="24"/>
                <w:lang w:val="en-US" w:eastAsia="zh-CN"/>
                <w:highlight w:val="none"/>
              </w:rPr>
              <w:t>0.</w:t>
            </w:r>
            <w:r>
              <w:rPr>
                <w:rFonts w:cs="Times New Roman"/>
                <w:bCs/>
                <w:color w:val="auto"/>
                <w:sz w:val="24"/>
                <w:lang w:eastAsia="zh-CN"/>
                <w:highlight w:val="none"/>
              </w:rPr>
              <w:t>35</w:t>
            </w:r>
            <w:r>
              <w:rPr>
                <w:rFonts w:ascii="Times New Roman" w:eastAsia="宋体" w:cs="Times New Roman" w:hAnsi="Times New Roman" w:hint="eastAsia"/>
                <w:bCs/>
                <w:color w:val="auto"/>
                <w:sz w:val="24"/>
                <w:highlight w:val="none"/>
              </w:rPr>
              <w:t>m</w:t>
            </w:r>
            <w:r>
              <w:rPr>
                <w:rFonts w:ascii="Times New Roman" w:eastAsia="宋体" w:cs="Times New Roman" w:hAnsi="Times New Roman" w:hint="eastAsia"/>
                <w:bCs/>
                <w:color w:val="auto"/>
                <w:sz w:val="24"/>
                <w:vertAlign w:val="superscript"/>
                <w:highlight w:val="none"/>
              </w:rPr>
              <w:t>3</w:t>
            </w:r>
            <w:r>
              <w:rPr>
                <w:rFonts w:ascii="Times New Roman" w:eastAsia="宋体" w:cs="Times New Roman" w:hAnsi="Times New Roman" w:hint="eastAsia"/>
                <w:bCs/>
                <w:color w:val="auto"/>
                <w:sz w:val="24"/>
                <w:highlight w:val="none"/>
              </w:rPr>
              <w:t>/d</w:t>
            </w:r>
            <w:r>
              <w:rPr>
                <w:rFonts w:cs="Times New Roman" w:hint="eastAsia"/>
                <w:bCs/>
                <w:color w:val="auto"/>
                <w:sz w:val="24"/>
                <w:lang w:eastAsia="zh-CN"/>
                <w:highlight w:val="none"/>
              </w:rPr>
              <w:t>（</w:t>
            </w:r>
            <w:r>
              <w:rPr>
                <w:color w:val="auto"/>
                <w:sz w:val="24"/>
                <w:lang w:eastAsia="zh-CN"/>
                <w:highlight w:val="none"/>
              </w:rPr>
              <w:t>105</w:t>
            </w:r>
            <w:r>
              <w:rPr>
                <w:rFonts w:hint="eastAsia"/>
                <w:color w:val="auto"/>
                <w:sz w:val="24"/>
                <w:lang w:val="en-US" w:eastAsia="zh-CN"/>
                <w:highlight w:val="none"/>
              </w:rPr>
              <w:t>.6</w:t>
            </w:r>
            <w:r>
              <w:rPr>
                <w:color w:val="auto"/>
                <w:sz w:val="24"/>
                <w:highlight w:val="none"/>
              </w:rPr>
              <w:t>m</w:t>
            </w:r>
            <w:r>
              <w:rPr>
                <w:color w:val="auto"/>
                <w:sz w:val="24"/>
                <w:vertAlign w:val="superscript"/>
                <w:highlight w:val="none"/>
              </w:rPr>
              <w:t>3</w:t>
            </w:r>
            <w:r>
              <w:rPr>
                <w:color w:val="auto"/>
                <w:sz w:val="24"/>
                <w:highlight w:val="none"/>
              </w:rPr>
              <w:t>/</w:t>
            </w:r>
            <w:r>
              <w:rPr>
                <w:rFonts w:hint="eastAsia"/>
                <w:color w:val="auto"/>
                <w:sz w:val="24"/>
                <w:highlight w:val="none"/>
              </w:rPr>
              <w:t>a</w:t>
            </w:r>
            <w:r>
              <w:rPr>
                <w:rFonts w:cs="Times New Roman" w:hint="eastAsia"/>
                <w:bCs/>
                <w:color w:val="auto"/>
                <w:sz w:val="24"/>
                <w:lang w:eastAsia="zh-CN"/>
                <w:highlight w:val="none"/>
              </w:rPr>
              <w:t>）</w:t>
            </w:r>
            <w:r>
              <w:rPr>
                <w:rFonts w:ascii="Times New Roman" w:cs="Times New Roman" w:hAnsi="Times New Roman" w:hint="eastAsia"/>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snapToGrid/>
              <w:spacing w:line="360" w:lineRule="auto"/>
              <w:ind w:firstLineChars="200" w:firstLine="480"/>
              <w:rPr>
                <w:rFonts w:hint="eastAsia"/>
                <w:color w:val="auto"/>
                <w:sz w:val="24"/>
                <w:highlight w:val="none"/>
              </w:rPr>
            </w:pPr>
            <w:r>
              <w:rPr>
                <w:rFonts w:hint="eastAsia"/>
                <w:color w:val="auto"/>
                <w:sz w:val="24"/>
                <w:highlight w:val="none"/>
              </w:rPr>
              <w:t>全厂水量平衡表见表2-</w:t>
            </w:r>
            <w:r>
              <w:rPr>
                <w:rFonts w:hint="eastAsia"/>
                <w:color w:val="auto"/>
                <w:sz w:val="24"/>
                <w:lang w:val="en-US" w:eastAsia="zh-CN"/>
                <w:highlight w:val="none"/>
              </w:rPr>
              <w:t>8</w:t>
            </w:r>
            <w:r>
              <w:rPr>
                <w:rFonts w:hint="eastAsia"/>
                <w:color w:val="auto"/>
                <w:sz w:val="24"/>
                <w:highlight w:val="none"/>
              </w:rPr>
              <w:t>，全厂水量平衡图见图2-1。</w:t>
            </w:r>
          </w:p>
          <w:p>
            <w:pPr>
              <w:widowControl/>
              <w:jc w:val="center"/>
              <w:rPr>
                <w:rFonts w:eastAsia="宋体" w:hint="eastAsia"/>
                <w:b/>
                <w:bCs/>
                <w:color w:val="auto"/>
                <w:sz w:val="24"/>
                <w:lang w:eastAsia="zh-CN"/>
                <w:highlight w:val="none"/>
              </w:rPr>
            </w:pPr>
            <w:r>
              <w:rPr>
                <w:b/>
                <w:bCs/>
                <w:color w:val="auto"/>
                <w:sz w:val="24"/>
                <w:highlight w:val="none"/>
              </w:rPr>
              <w:t>表2-</w:t>
            </w:r>
            <w:r>
              <w:rPr>
                <w:rFonts w:hint="eastAsia"/>
                <w:b/>
                <w:bCs/>
                <w:color w:val="auto"/>
                <w:sz w:val="24"/>
                <w:lang w:val="en-US" w:eastAsia="zh-CN"/>
                <w:highlight w:val="none"/>
              </w:rPr>
              <w:t>8</w:t>
            </w:r>
            <w:r>
              <w:rPr>
                <w:b/>
                <w:bCs/>
                <w:color w:val="auto"/>
                <w:sz w:val="24"/>
                <w:highlight w:val="none"/>
              </w:rPr>
              <w:t xml:space="preserve">  </w:t>
            </w:r>
            <w:r>
              <w:rPr>
                <w:rFonts w:hint="eastAsia"/>
                <w:b/>
                <w:bCs/>
                <w:color w:val="auto"/>
                <w:sz w:val="24"/>
                <w:highlight w:val="none"/>
              </w:rPr>
              <w:t>项目给排水水量平衡表</w:t>
            </w:r>
            <w:r>
              <w:rPr>
                <w:rFonts w:hint="eastAsia"/>
                <w:b/>
                <w:bCs/>
                <w:color w:val="auto"/>
                <w:sz w:val="24"/>
                <w:lang w:val="en-US" w:eastAsia="zh-CN"/>
                <w:highlight w:val="none"/>
              </w:rPr>
              <w:t xml:space="preserve">  </w:t>
            </w:r>
            <w:r>
              <w:rPr>
                <w:rFonts w:hint="eastAsia"/>
                <w:b/>
                <w:bCs/>
                <w:color w:val="auto"/>
                <w:sz w:val="24"/>
                <w:highlight w:val="none"/>
              </w:rPr>
              <w:t>（单位：m</w:t>
            </w:r>
            <w:r>
              <w:rPr>
                <w:rFonts w:hint="eastAsia"/>
                <w:b/>
                <w:bCs/>
                <w:color w:val="auto"/>
                <w:sz w:val="24"/>
                <w:vertAlign w:val="superscript"/>
                <w:highlight w:val="none"/>
              </w:rPr>
              <w:t>3</w:t>
            </w:r>
            <w:r>
              <w:rPr>
                <w:rFonts w:hint="eastAsia"/>
                <w:b/>
                <w:bCs/>
                <w:color w:val="auto"/>
                <w:sz w:val="24"/>
                <w:highlight w:val="none"/>
              </w:rPr>
              <w:t>/d）</w:t>
            </w:r>
          </w:p>
          <w:tbl>
            <w:tblPr>
              <w:jc w:val="center"/>
              <w:tblW w:w="4993"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57" w:type="dxa"/>
                <w:bottom w:w="0" w:type="dxa"/>
                <w:right w:w="57" w:type="dxa"/>
              </w:tblCellMar>
              <w:tblLook w:val="0600" w:firstRow="0" w:lastRow="0" w:firstColumn="0" w:lastColumn="0" w:noHBand="1" w:noVBand="1"/>
            </w:tblPr>
            <w:tblGrid>
              <w:gridCol w:w="627"/>
              <w:gridCol w:w="1464"/>
              <w:gridCol w:w="954"/>
              <w:gridCol w:w="716"/>
              <w:gridCol w:w="769"/>
              <w:gridCol w:w="845"/>
              <w:gridCol w:w="769"/>
              <w:gridCol w:w="1950"/>
            </w:tblGrid>
            <w:tr>
              <w:tc>
                <w:tcPr>
                  <w:tcW w:w="387" w:type="pct"/>
                  <w:vAlign w:val="center"/>
                </w:tcPr>
                <w:p>
                  <w:pPr>
                    <w:spacing w:line="320" w:lineRule="exact"/>
                    <w:jc w:val="center"/>
                    <w:rPr>
                      <w:b w:val="0"/>
                      <w:bCs w:val="0"/>
                      <w:color w:val="auto"/>
                      <w:szCs w:val="21"/>
                      <w:highlight w:val="none"/>
                    </w:rPr>
                  </w:pPr>
                  <w:r>
                    <w:rPr>
                      <w:b w:val="0"/>
                      <w:bCs w:val="0"/>
                      <w:color w:val="auto"/>
                      <w:szCs w:val="21"/>
                      <w:highlight w:val="none"/>
                    </w:rPr>
                    <w:t>序号</w:t>
                  </w:r>
                </w:p>
              </w:tc>
              <w:tc>
                <w:tcPr>
                  <w:tcW w:w="904" w:type="pct"/>
                  <w:vAlign w:val="center"/>
                </w:tcPr>
                <w:p>
                  <w:pPr>
                    <w:spacing w:line="320" w:lineRule="exact"/>
                    <w:jc w:val="center"/>
                    <w:rPr>
                      <w:b w:val="0"/>
                      <w:bCs w:val="0"/>
                      <w:color w:val="auto"/>
                      <w:szCs w:val="21"/>
                      <w:highlight w:val="none"/>
                    </w:rPr>
                  </w:pPr>
                  <w:r>
                    <w:rPr>
                      <w:b w:val="0"/>
                      <w:bCs w:val="0"/>
                      <w:color w:val="auto"/>
                      <w:szCs w:val="21"/>
                      <w:highlight w:val="none"/>
                    </w:rPr>
                    <w:t>用水单元</w:t>
                  </w:r>
                </w:p>
              </w:tc>
              <w:tc>
                <w:tcPr>
                  <w:tcW w:w="589" w:type="pct"/>
                  <w:vAlign w:val="center"/>
                </w:tcPr>
                <w:p>
                  <w:pPr>
                    <w:spacing w:line="320" w:lineRule="exact"/>
                    <w:jc w:val="center"/>
                    <w:rPr>
                      <w:b w:val="0"/>
                      <w:bCs w:val="0"/>
                      <w:color w:val="auto"/>
                      <w:szCs w:val="21"/>
                      <w:highlight w:val="none"/>
                    </w:rPr>
                  </w:pPr>
                  <w:r>
                    <w:rPr>
                      <w:b w:val="0"/>
                      <w:bCs w:val="0"/>
                      <w:color w:val="auto"/>
                      <w:szCs w:val="21"/>
                      <w:highlight w:val="none"/>
                    </w:rPr>
                    <w:t>总用水量</w:t>
                  </w:r>
                </w:p>
              </w:tc>
              <w:tc>
                <w:tcPr>
                  <w:tcW w:w="442" w:type="pct"/>
                  <w:vAlign w:val="center"/>
                </w:tcPr>
                <w:p>
                  <w:pPr>
                    <w:spacing w:line="320" w:lineRule="exact"/>
                    <w:jc w:val="center"/>
                    <w:rPr>
                      <w:b w:val="0"/>
                      <w:bCs w:val="0"/>
                      <w:color w:val="auto"/>
                      <w:szCs w:val="21"/>
                      <w:highlight w:val="none"/>
                    </w:rPr>
                  </w:pPr>
                  <w:r>
                    <w:rPr>
                      <w:b w:val="0"/>
                      <w:bCs w:val="0"/>
                      <w:color w:val="auto"/>
                      <w:szCs w:val="21"/>
                      <w:highlight w:val="none"/>
                    </w:rPr>
                    <w:t>新鲜水量</w:t>
                  </w:r>
                </w:p>
              </w:tc>
              <w:tc>
                <w:tcPr>
                  <w:tcW w:w="475" w:type="pct"/>
                  <w:vAlign w:val="center"/>
                </w:tcPr>
                <w:p>
                  <w:pPr>
                    <w:spacing w:line="320" w:lineRule="exact"/>
                    <w:jc w:val="center"/>
                    <w:rPr>
                      <w:b w:val="0"/>
                      <w:bCs w:val="0"/>
                      <w:color w:val="auto"/>
                      <w:szCs w:val="21"/>
                      <w:highlight w:val="none"/>
                    </w:rPr>
                  </w:pPr>
                  <w:r>
                    <w:rPr>
                      <w:b w:val="0"/>
                      <w:bCs w:val="0"/>
                      <w:color w:val="auto"/>
                      <w:szCs w:val="21"/>
                      <w:highlight w:val="none"/>
                    </w:rPr>
                    <w:t>循环</w:t>
                  </w:r>
                  <w:r>
                    <w:rPr>
                      <w:rFonts w:hint="eastAsia"/>
                      <w:b w:val="0"/>
                      <w:bCs w:val="0"/>
                      <w:color w:val="auto"/>
                      <w:szCs w:val="21"/>
                      <w:lang w:val="en-US" w:eastAsia="zh-CN"/>
                      <w:highlight w:val="none"/>
                    </w:rPr>
                    <w:t>/回用</w:t>
                  </w:r>
                  <w:r>
                    <w:rPr>
                      <w:b w:val="0"/>
                      <w:bCs w:val="0"/>
                      <w:color w:val="auto"/>
                      <w:szCs w:val="21"/>
                      <w:highlight w:val="none"/>
                    </w:rPr>
                    <w:t>水量</w:t>
                  </w:r>
                </w:p>
              </w:tc>
              <w:tc>
                <w:tcPr>
                  <w:tcW w:w="522" w:type="pct"/>
                  <w:vAlign w:val="center"/>
                </w:tcPr>
                <w:p>
                  <w:pPr>
                    <w:spacing w:line="320" w:lineRule="exact"/>
                    <w:jc w:val="center"/>
                    <w:rPr>
                      <w:b w:val="0"/>
                      <w:bCs w:val="0"/>
                      <w:color w:val="auto"/>
                      <w:szCs w:val="21"/>
                      <w:highlight w:val="none"/>
                    </w:rPr>
                  </w:pPr>
                  <w:r>
                    <w:rPr>
                      <w:b w:val="0"/>
                      <w:bCs w:val="0"/>
                      <w:color w:val="auto"/>
                      <w:szCs w:val="21"/>
                      <w:highlight w:val="none"/>
                    </w:rPr>
                    <w:t>损耗量</w:t>
                  </w:r>
                </w:p>
              </w:tc>
              <w:tc>
                <w:tcPr>
                  <w:tcW w:w="475" w:type="pct"/>
                  <w:vAlign w:val="center"/>
                </w:tcPr>
                <w:p>
                  <w:pPr>
                    <w:spacing w:line="320" w:lineRule="exact"/>
                    <w:jc w:val="center"/>
                    <w:rPr>
                      <w:b w:val="0"/>
                      <w:bCs w:val="0"/>
                      <w:color w:val="auto"/>
                      <w:szCs w:val="21"/>
                      <w:highlight w:val="none"/>
                    </w:rPr>
                  </w:pPr>
                  <w:r>
                    <w:rPr>
                      <w:b w:val="0"/>
                      <w:bCs w:val="0"/>
                      <w:color w:val="auto"/>
                      <w:szCs w:val="21"/>
                      <w:highlight w:val="none"/>
                    </w:rPr>
                    <w:t>废水量</w:t>
                  </w:r>
                </w:p>
              </w:tc>
              <w:tc>
                <w:tcPr>
                  <w:tcW w:w="1204" w:type="pct"/>
                  <w:vAlign w:val="center"/>
                </w:tcPr>
                <w:p>
                  <w:pPr>
                    <w:spacing w:line="320" w:lineRule="exact"/>
                    <w:jc w:val="center"/>
                    <w:rPr>
                      <w:b w:val="0"/>
                      <w:bCs w:val="0"/>
                      <w:color w:val="auto"/>
                      <w:szCs w:val="21"/>
                      <w:highlight w:val="none"/>
                    </w:rPr>
                  </w:pPr>
                  <w:r>
                    <w:rPr>
                      <w:b w:val="0"/>
                      <w:bCs w:val="0"/>
                      <w:color w:val="auto"/>
                      <w:szCs w:val="21"/>
                      <w:highlight w:val="none"/>
                    </w:rPr>
                    <w:t>排放去向</w:t>
                  </w:r>
                </w:p>
              </w:tc>
            </w:tr>
            <w:tr>
              <w:trPr>
                <w:trHeight w:val="512"/>
              </w:trPr>
              <w:tc>
                <w:tcPr>
                  <w:tcW w:w="387" w:type="pct"/>
                  <w:vAlign w:val="center"/>
                </w:tcPr>
                <w:p>
                  <w:pPr>
                    <w:spacing w:line="320" w:lineRule="exact"/>
                    <w:jc w:val="center"/>
                    <w:rPr>
                      <w:rFonts w:eastAsia="宋体" w:hint="eastAsia"/>
                      <w:color w:val="auto"/>
                      <w:szCs w:val="21"/>
                      <w:lang w:val="en-US" w:eastAsia="zh-CN"/>
                      <w:highlight w:val="none"/>
                    </w:rPr>
                  </w:pPr>
                  <w:r>
                    <w:rPr>
                      <w:rFonts w:hint="eastAsia"/>
                      <w:color w:val="auto"/>
                      <w:szCs w:val="21"/>
                      <w:lang w:val="en-US" w:eastAsia="zh-CN"/>
                      <w:highlight w:val="none"/>
                    </w:rPr>
                    <w:t>1</w:t>
                  </w:r>
                </w:p>
              </w:tc>
              <w:tc>
                <w:tcPr>
                  <w:tcW w:w="904"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color w:val="auto"/>
                      <w:kern w:val="2"/>
                      <w:sz w:val="21"/>
                      <w:szCs w:val="21"/>
                      <w:lang w:val="en-US" w:eastAsia="zh-CN" w:bidi="ar-SA"/>
                      <w:highlight w:val="none"/>
                    </w:rPr>
                  </w:pPr>
                  <w:r>
                    <w:rPr>
                      <w:rFonts w:hint="eastAsia"/>
                      <w:color w:val="auto"/>
                      <w:kern w:val="2"/>
                      <w:sz w:val="21"/>
                      <w:szCs w:val="21"/>
                      <w:lang w:val="en-US" w:eastAsia="zh-CN" w:bidi="ar-SA"/>
                      <w:highlight w:val="none"/>
                    </w:rPr>
                    <w:t>碱液喷淋装置</w:t>
                  </w:r>
                </w:p>
              </w:tc>
              <w:tc>
                <w:tcPr>
                  <w:tcW w:w="589"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0.7</w:t>
                  </w:r>
                </w:p>
              </w:tc>
              <w:tc>
                <w:tcPr>
                  <w:tcW w:w="442"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0.04</w:t>
                  </w:r>
                </w:p>
              </w:tc>
              <w:tc>
                <w:tcPr>
                  <w:tcW w:w="475"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0.7</w:t>
                  </w:r>
                </w:p>
              </w:tc>
              <w:tc>
                <w:tcPr>
                  <w:tcW w:w="522"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0.04</w:t>
                  </w:r>
                </w:p>
              </w:tc>
              <w:tc>
                <w:tcPr>
                  <w:tcW w:w="475"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0</w:t>
                  </w:r>
                </w:p>
              </w:tc>
              <w:tc>
                <w:tcPr>
                  <w:tcW w:w="1204" w:type="pct"/>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color w:val="auto"/>
                      <w:kern w:val="2"/>
                      <w:sz w:val="21"/>
                      <w:szCs w:val="21"/>
                      <w:lang w:val="en-US" w:eastAsia="zh-CN" w:bidi="ar-SA"/>
                      <w:highlight w:val="none"/>
                    </w:rPr>
                  </w:pPr>
                  <w:r>
                    <w:rPr>
                      <w:rFonts w:hint="eastAsia"/>
                      <w:color w:val="auto"/>
                      <w:szCs w:val="21"/>
                      <w:lang w:val="en-US" w:eastAsia="zh-CN"/>
                      <w:highlight w:val="none"/>
                    </w:rPr>
                    <w:t>不外排</w:t>
                  </w:r>
                </w:p>
              </w:tc>
            </w:tr>
            <w:tr>
              <w:trPr>
                <w:trHeight w:val="522"/>
              </w:trPr>
              <w:tc>
                <w:tcPr>
                  <w:tcW w:w="387" w:type="pct"/>
                  <w:vAlign w:val="center"/>
                </w:tcPr>
                <w:p>
                  <w:pPr>
                    <w:spacing w:line="320" w:lineRule="exact"/>
                    <w:jc w:val="center"/>
                    <w:rPr>
                      <w:rFonts w:hint="eastAsia"/>
                      <w:color w:val="auto"/>
                      <w:kern w:val="2"/>
                      <w:sz w:val="21"/>
                      <w:szCs w:val="21"/>
                      <w:lang w:val="en-US" w:eastAsia="zh-CN" w:bidi="ar-SA"/>
                      <w:highlight w:val="none"/>
                    </w:rPr>
                  </w:pPr>
                  <w:r>
                    <w:rPr>
                      <w:rFonts w:hint="eastAsia"/>
                      <w:color w:val="auto"/>
                      <w:szCs w:val="21"/>
                      <w:lang w:val="en-US" w:eastAsia="zh-CN"/>
                      <w:highlight w:val="none"/>
                    </w:rPr>
                    <w:t>2</w:t>
                  </w:r>
                </w:p>
              </w:tc>
              <w:tc>
                <w:tcPr>
                  <w:tcW w:w="904" w:type="pct"/>
                  <w:vAlign w:val="center"/>
                </w:tcPr>
                <w:p>
                  <w:pPr>
                    <w:spacing w:line="320" w:lineRule="exact"/>
                    <w:jc w:val="center"/>
                    <w:rPr>
                      <w:rFonts w:eastAsia="宋体" w:hint="eastAsia"/>
                      <w:color w:val="auto"/>
                      <w:kern w:val="2"/>
                      <w:sz w:val="21"/>
                      <w:szCs w:val="21"/>
                      <w:lang w:val="en-US" w:eastAsia="zh-CN" w:bidi="ar-SA"/>
                      <w:highlight w:val="none"/>
                    </w:rPr>
                  </w:pPr>
                  <w:r>
                    <w:rPr>
                      <w:rFonts w:hint="eastAsia"/>
                      <w:color w:val="auto"/>
                      <w:szCs w:val="21"/>
                      <w:lang w:val="en-US" w:eastAsia="zh-CN"/>
                      <w:highlight w:val="none"/>
                    </w:rPr>
                    <w:t>职工生活</w:t>
                  </w:r>
                </w:p>
              </w:tc>
              <w:tc>
                <w:tcPr>
                  <w:tcW w:w="589" w:type="pct"/>
                  <w:vAlign w:val="center"/>
                </w:tcPr>
                <w:p>
                  <w:pPr>
                    <w:spacing w:line="320" w:lineRule="exact"/>
                    <w:jc w:val="center"/>
                    <w:rPr>
                      <w:color w:val="auto"/>
                      <w:kern w:val="2"/>
                      <w:sz w:val="21"/>
                      <w:szCs w:val="21"/>
                      <w:lang w:eastAsia="zh-CN" w:bidi="ar-SA"/>
                      <w:highlight w:val="none"/>
                    </w:rPr>
                  </w:pPr>
                  <w:r>
                    <w:rPr>
                      <w:color w:val="auto"/>
                      <w:kern w:val="2"/>
                      <w:sz w:val="21"/>
                      <w:szCs w:val="21"/>
                      <w:lang w:val="en-US" w:eastAsia="zh-CN" w:bidi="ar-SA"/>
                      <w:highlight w:val="none"/>
                    </w:rPr>
                    <w:t>0.</w:t>
                  </w:r>
                  <w:r>
                    <w:rPr>
                      <w:color w:val="auto"/>
                      <w:kern w:val="2"/>
                      <w:sz w:val="21"/>
                      <w:szCs w:val="21"/>
                      <w:lang w:eastAsia="zh-CN" w:bidi="ar-SA"/>
                      <w:highlight w:val="none"/>
                    </w:rPr>
                    <w:t>44</w:t>
                  </w:r>
                </w:p>
              </w:tc>
              <w:tc>
                <w:tcPr>
                  <w:tcW w:w="442"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w:t>
                  </w:r>
                  <w:r>
                    <w:rPr>
                      <w:color w:val="auto"/>
                      <w:szCs w:val="21"/>
                      <w:lang w:eastAsia="zh-CN"/>
                      <w:highlight w:val="none"/>
                    </w:rPr>
                    <w:t>44</w:t>
                  </w:r>
                </w:p>
              </w:tc>
              <w:tc>
                <w:tcPr>
                  <w:tcW w:w="475" w:type="pct"/>
                  <w:vAlign w:val="center"/>
                </w:tcPr>
                <w:p>
                  <w:pPr>
                    <w:spacing w:line="320" w:lineRule="exact"/>
                    <w:jc w:val="center"/>
                    <w:rPr>
                      <w:color w:val="auto"/>
                      <w:kern w:val="2"/>
                      <w:sz w:val="21"/>
                      <w:szCs w:val="21"/>
                      <w:lang w:val="en-US" w:eastAsia="zh-CN" w:bidi="ar-SA"/>
                      <w:highlight w:val="none"/>
                    </w:rPr>
                  </w:pPr>
                  <w:r>
                    <w:rPr>
                      <w:rFonts w:hint="eastAsia"/>
                      <w:color w:val="auto"/>
                      <w:kern w:val="2"/>
                      <w:sz w:val="21"/>
                      <w:szCs w:val="21"/>
                      <w:lang w:val="en-US" w:eastAsia="zh-CN" w:bidi="ar-SA"/>
                      <w:highlight w:val="none"/>
                    </w:rPr>
                    <w:t>/</w:t>
                  </w:r>
                </w:p>
              </w:tc>
              <w:tc>
                <w:tcPr>
                  <w:tcW w:w="522"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0.0</w:t>
                  </w:r>
                  <w:r>
                    <w:rPr>
                      <w:color w:val="auto"/>
                      <w:szCs w:val="21"/>
                      <w:lang w:eastAsia="zh-CN"/>
                      <w:highlight w:val="none"/>
                    </w:rPr>
                    <w:t>9</w:t>
                  </w:r>
                </w:p>
              </w:tc>
              <w:tc>
                <w:tcPr>
                  <w:tcW w:w="475" w:type="pct"/>
                  <w:vAlign w:val="center"/>
                </w:tcPr>
                <w:p>
                  <w:pPr>
                    <w:spacing w:line="320" w:lineRule="exact"/>
                    <w:jc w:val="center"/>
                    <w:rPr>
                      <w:color w:val="auto"/>
                      <w:kern w:val="2"/>
                      <w:sz w:val="21"/>
                      <w:szCs w:val="21"/>
                      <w:lang w:eastAsia="zh-CN" w:bidi="ar-SA"/>
                      <w:highlight w:val="none"/>
                    </w:rPr>
                  </w:pPr>
                  <w:r>
                    <w:rPr>
                      <w:rFonts w:hint="eastAsia"/>
                      <w:color w:val="auto"/>
                      <w:szCs w:val="21"/>
                      <w:lang w:val="en-US" w:eastAsia="zh-CN"/>
                      <w:highlight w:val="none"/>
                    </w:rPr>
                    <w:t>0.</w:t>
                  </w:r>
                  <w:r>
                    <w:rPr>
                      <w:color w:val="auto"/>
                      <w:szCs w:val="21"/>
                      <w:lang w:eastAsia="zh-CN"/>
                      <w:highlight w:val="none"/>
                    </w:rPr>
                    <w:t>35</w:t>
                  </w:r>
                </w:p>
              </w:tc>
              <w:tc>
                <w:tcPr>
                  <w:tcW w:w="1204" w:type="pct"/>
                  <w:vAlign w:val="center"/>
                </w:tcPr>
                <w:p>
                  <w:pPr>
                    <w:spacing w:line="320" w:lineRule="exac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p>
              </w:tc>
            </w:tr>
            <w:tr>
              <w:trPr>
                <w:trHeight w:val="544"/>
              </w:trPr>
              <w:tc>
                <w:tcPr>
                  <w:tcW w:w="1291" w:type="pct"/>
                  <w:gridSpan w:val="2"/>
                  <w:vAlign w:val="center"/>
                </w:tcPr>
                <w:p>
                  <w:pPr>
                    <w:spacing w:line="320" w:lineRule="exact"/>
                    <w:jc w:val="center"/>
                    <w:rPr>
                      <w:color w:val="auto"/>
                      <w:szCs w:val="21"/>
                      <w:highlight w:val="none"/>
                    </w:rPr>
                  </w:pPr>
                  <w:r>
                    <w:rPr>
                      <w:color w:val="auto"/>
                      <w:szCs w:val="21"/>
                      <w:highlight w:val="none"/>
                    </w:rPr>
                    <w:t>合计</w:t>
                  </w:r>
                </w:p>
              </w:tc>
              <w:tc>
                <w:tcPr>
                  <w:tcW w:w="589" w:type="pct"/>
                  <w:vAlign w:val="center"/>
                </w:tcPr>
                <w:p>
                  <w:pPr>
                    <w:spacing w:line="320" w:lineRule="exact"/>
                    <w:jc w:val="center"/>
                    <w:rPr>
                      <w:rFonts w:eastAsia="宋体"/>
                      <w:color w:val="auto"/>
                      <w:szCs w:val="21"/>
                      <w:highlight w:val="none"/>
                    </w:rPr>
                  </w:pPr>
                  <w:r>
                    <w:rPr>
                      <w:color w:val="auto"/>
                      <w:szCs w:val="21"/>
                      <w:lang w:eastAsia="zh-CN"/>
                      <w:highlight w:val="none"/>
                    </w:rPr>
                    <w:t>1</w:t>
                  </w:r>
                  <w:r>
                    <w:rPr>
                      <w:rFonts w:hint="eastAsia"/>
                      <w:color w:val="auto"/>
                      <w:szCs w:val="21"/>
                      <w:lang w:val="en-US"/>
                      <w:highlight w:val="none"/>
                    </w:rPr>
                    <w:t>.</w:t>
                  </w:r>
                  <w:r>
                    <w:rPr>
                      <w:color w:val="auto"/>
                      <w:szCs w:val="21"/>
                      <w:highlight w:val="none"/>
                    </w:rPr>
                    <w:t>14</w:t>
                  </w:r>
                </w:p>
              </w:tc>
              <w:tc>
                <w:tcPr>
                  <w:tcW w:w="442" w:type="pct"/>
                  <w:vAlign w:val="center"/>
                </w:tcPr>
                <w:p>
                  <w:pPr>
                    <w:spacing w:line="320" w:lineRule="exact"/>
                    <w:jc w:val="center"/>
                    <w:rPr>
                      <w:rFonts w:eastAsia="宋体"/>
                      <w:color w:val="auto"/>
                      <w:szCs w:val="21"/>
                      <w:lang w:eastAsia="zh-CN"/>
                      <w:highlight w:val="none"/>
                    </w:rPr>
                  </w:pPr>
                  <w:r>
                    <w:rPr>
                      <w:rFonts w:hint="eastAsia"/>
                      <w:color w:val="auto"/>
                      <w:szCs w:val="21"/>
                      <w:lang w:val="en-US" w:eastAsia="zh-CN"/>
                      <w:highlight w:val="none"/>
                    </w:rPr>
                    <w:t>0.</w:t>
                  </w:r>
                  <w:r>
                    <w:rPr>
                      <w:color w:val="auto"/>
                      <w:szCs w:val="21"/>
                      <w:lang w:eastAsia="zh-CN"/>
                      <w:highlight w:val="none"/>
                    </w:rPr>
                    <w:t>48</w:t>
                  </w:r>
                </w:p>
              </w:tc>
              <w:tc>
                <w:tcPr>
                  <w:tcW w:w="475" w:type="pct"/>
                  <w:vAlign w:val="center"/>
                </w:tcPr>
                <w:p>
                  <w:pPr>
                    <w:spacing w:line="320" w:lineRule="exact"/>
                    <w:jc w:val="center"/>
                    <w:rPr>
                      <w:rFonts w:eastAsia="宋体"/>
                      <w:color w:val="auto"/>
                      <w:szCs w:val="21"/>
                      <w:lang w:val="en-US" w:eastAsia="zh-CN"/>
                      <w:highlight w:val="none"/>
                    </w:rPr>
                  </w:pPr>
                  <w:r>
                    <w:rPr>
                      <w:rFonts w:hint="eastAsia"/>
                      <w:color w:val="auto"/>
                      <w:szCs w:val="21"/>
                      <w:lang w:val="en-US" w:eastAsia="zh-CN"/>
                      <w:highlight w:val="none"/>
                    </w:rPr>
                    <w:t>0.7</w:t>
                  </w:r>
                </w:p>
              </w:tc>
              <w:tc>
                <w:tcPr>
                  <w:tcW w:w="522" w:type="pct"/>
                  <w:vAlign w:val="center"/>
                </w:tcPr>
                <w:p>
                  <w:pPr>
                    <w:spacing w:line="320" w:lineRule="exact"/>
                    <w:jc w:val="center"/>
                    <w:rPr>
                      <w:rFonts w:eastAsia="宋体"/>
                      <w:color w:val="auto"/>
                      <w:szCs w:val="21"/>
                      <w:lang w:eastAsia="zh-CN"/>
                      <w:highlight w:val="none"/>
                    </w:rPr>
                  </w:pPr>
                  <w:r>
                    <w:rPr>
                      <w:rFonts w:eastAsia="宋体" w:hint="eastAsia"/>
                      <w:color w:val="auto"/>
                      <w:szCs w:val="21"/>
                      <w:lang w:val="en-US" w:eastAsia="zh-CN"/>
                      <w:highlight w:val="none"/>
                    </w:rPr>
                    <w:t>0.</w:t>
                  </w:r>
                  <w:r>
                    <w:rPr>
                      <w:color w:val="auto"/>
                      <w:szCs w:val="21"/>
                      <w:lang w:eastAsia="zh-CN"/>
                      <w:highlight w:val="none"/>
                    </w:rPr>
                    <w:t>13</w:t>
                  </w:r>
                </w:p>
              </w:tc>
              <w:tc>
                <w:tcPr>
                  <w:tcW w:w="475" w:type="pct"/>
                  <w:vAlign w:val="center"/>
                </w:tcPr>
                <w:p>
                  <w:pPr>
                    <w:spacing w:line="320" w:lineRule="exact"/>
                    <w:jc w:val="center"/>
                    <w:rPr>
                      <w:rFonts w:eastAsia="宋体"/>
                      <w:color w:val="auto"/>
                      <w:szCs w:val="21"/>
                      <w:lang w:eastAsia="zh-CN"/>
                      <w:highlight w:val="none"/>
                    </w:rPr>
                  </w:pPr>
                  <w:r>
                    <w:rPr>
                      <w:rFonts w:hint="eastAsia"/>
                      <w:color w:val="auto"/>
                      <w:szCs w:val="21"/>
                      <w:lang w:val="en-US" w:eastAsia="zh-CN"/>
                      <w:highlight w:val="none"/>
                    </w:rPr>
                    <w:t>0.</w:t>
                  </w:r>
                  <w:r>
                    <w:rPr>
                      <w:color w:val="auto"/>
                      <w:szCs w:val="21"/>
                      <w:lang w:eastAsia="zh-CN"/>
                      <w:highlight w:val="none"/>
                    </w:rPr>
                    <w:t>35</w:t>
                  </w:r>
                </w:p>
              </w:tc>
              <w:tc>
                <w:tcPr>
                  <w:tcW w:w="1204" w:type="pct"/>
                  <w:vAlign w:val="center"/>
                </w:tcPr>
                <w:p>
                  <w:pPr>
                    <w:spacing w:line="320" w:lineRule="exact"/>
                    <w:jc w:val="center"/>
                    <w:rPr>
                      <w:rFonts w:eastAsia="宋体"/>
                      <w:color w:val="auto"/>
                      <w:szCs w:val="21"/>
                      <w:lang w:val="en-US" w:eastAsia="zh-CN"/>
                      <w:highlight w:val="none"/>
                    </w:rPr>
                  </w:pPr>
                  <w:r>
                    <w:rPr>
                      <w:rFonts w:hint="eastAsia"/>
                      <w:color w:val="auto"/>
                      <w:szCs w:val="21"/>
                      <w:lang w:val="en-US" w:eastAsia="zh-CN"/>
                      <w:highlight w:val="none"/>
                    </w:rPr>
                    <w:t>--</w:t>
                  </w:r>
                </w:p>
              </w:tc>
            </w:tr>
          </w:tbl>
          <w:p>
            <w:pPr>
              <w:pStyle w:val="65"/>
              <w:jc w:val="both"/>
              <w:rPr>
                <w:color w:val="auto"/>
                <w:highlight w:val="none"/>
              </w:rPr>
            </w:pPr>
            <w:r>
              <w:rPr>
                <w:color w:val="auto"/>
                <w:sz w:val="24"/>
              </w:rPr>
              <mc:AlternateContent>
                <mc:Choice Requires="wps">
                  <w:drawing>
                    <wp:anchor distT="0" distB="0" distL="114300" distR="114300" simplePos="0" relativeHeight="202" behindDoc="0" locked="0" layoutInCell="1" hidden="0" allowOverlap="1">
                      <wp:simplePos x="0" y="0"/>
                      <wp:positionH relativeFrom="column">
                        <wp:posOffset>758190</wp:posOffset>
                      </wp:positionH>
                      <wp:positionV relativeFrom="paragraph">
                        <wp:posOffset>90170</wp:posOffset>
                      </wp:positionV>
                      <wp:extent cx="4567555" cy="2602865"/>
                      <wp:wrapNone/>
                      <wp:docPr id="158" name="组合 158"/>
                      <wp:cNvGraphicFramePr>
                        <a:graphicFrameLocks noChangeAspect="0"/>
                      </wp:cNvGraphicFramePr>
                      <a:graphic>
                        <a:graphicData uri="http://schemas.microsoft.com/office/word/2010/wordprocessingGroup">
                          <wpg:wgp>
                            <wpg:cNvPr id="3" name="组合 3"/>
                            <wpg:cNvGrpSpPr/>
                            <wpg:grpSpPr>
                              <a:xfrm rot="0">
                                <a:off x="0" y="0"/>
                                <a:ext cx="4567555" cy="2602865"/>
                                <a:chOff x="0" y="0"/>
                                <a:chExt cx="4567555" cy="2602865"/>
                              </a:xfrm>
                              <a:prstGeom prst="rect"/>
                              <a:solidFill>
                                <a:srgbClr val="FFFFFF"/>
                              </a:solidFill>
                              <a:ln w="9525" cmpd="sng" cap="flat">
                                <a:solidFill>
                                  <a:srgbClr val="000000"/>
                                </a:solidFill>
                                <a:prstDash val="solid"/>
                                <a:miter/>
                              </a:ln>
                            </wpg:grpSpPr>
                            <wps:wsp>
                              <wps:cNvPr id="4" name="直接连接符 108 4"/>
                              <wps:cNvSpPr/>
                              <wps:spPr>
                                <a:xfrm rot="0">
                                  <a:off x="2653665" y="527050"/>
                                  <a:ext cx="421640" cy="1904"/>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5" name="文本框 91 5"/>
                              <wps:cNvSpPr/>
                              <wps:spPr>
                                <a:xfrm rot="0">
                                  <a:off x="3281044" y="1406524"/>
                                  <a:ext cx="1102359" cy="256540"/>
                                </a:xfrm>
                                <a:prstGeom prst="rect"/>
                                <a:noFill/>
                                <a:ln cmpd="sng" cap="flat">
                                  <a:noFill/>
                                  <a:prstDash val="solid"/>
                                  <a:round/>
                                </a:ln>
                              </wps:spPr>
                              <wps:txbx id="6">
                                <w:txbxContent>
                                  <w:p>
                                    <w:pPr>
                                      <w:ind w:firstLineChars="50" w:firstLine="105"/>
                                      <w:rPr>
                                        <w:rFonts w:eastAsia="宋体" w:hint="eastAsia"/>
                                        <w:lang w:eastAsia="zh-CN"/>
                                      </w:rPr>
                                    </w:pPr>
                                    <w:r>
                                      <w:rPr>
                                        <w:rFonts w:hint="eastAsia"/>
                                        <w:lang w:eastAsia="zh-CN"/>
                                      </w:rPr>
                                      <w:t>化粪池（依托）</w:t>
                                    </w:r>
                                  </w:p>
                                </w:txbxContent>
                              </wps:txbx>
                              <wps:bodyPr vert="horz" wrap="square" lIns="0" tIns="45720" rIns="0" bIns="45720" anchor="t" anchorCtr="0" upright="1">
                                <a:noAutofit/>
                              </wps:bodyPr>
                            </wps:wsp>
                            <wps:wsp>
                              <wps:cNvPr id="7" name="直线 92 7"/>
                              <wps:cNvSpPr/>
                              <wps:spPr>
                                <a:xfrm rot="0">
                                  <a:off x="0" y="1042035"/>
                                  <a:ext cx="1033145"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8" name="文本框 93 8"/>
                              <wps:cNvSpPr/>
                              <wps:spPr>
                                <a:xfrm rot="0">
                                  <a:off x="106680" y="798830"/>
                                  <a:ext cx="902970" cy="279400"/>
                                </a:xfrm>
                                <a:prstGeom prst="rect"/>
                                <a:noFill/>
                                <a:ln cmpd="sng" cap="flat">
                                  <a:noFill/>
                                  <a:prstDash val="solid"/>
                                  <a:round/>
                                </a:ln>
                              </wps:spPr>
                              <wps:txbx id="9">
                                <w:txbxContent>
                                  <w:p>
                                    <w:pPr>
                                      <w:rPr>
                                        <w:rFonts w:eastAsia="宋体"/>
                                        <w:lang w:eastAsia="zh-CN"/>
                                      </w:rPr>
                                    </w:pPr>
                                    <w:r>
                                      <w:rPr>
                                        <w:rFonts w:hint="eastAsia"/>
                                      </w:rPr>
                                      <w:t>新鲜水</w:t>
                                    </w:r>
                                    <w:r>
                                      <w:rPr>
                                        <w:rFonts w:hint="eastAsia"/>
                                        <w:bCs/>
                                        <w:spacing w:val="8"/>
                                        <w:szCs w:val="21"/>
                                        <w:lang w:val="en-US" w:eastAsia="zh-CN"/>
                                      </w:rPr>
                                      <w:t>0.</w:t>
                                    </w:r>
                                    <w:r>
                                      <w:rPr>
                                        <w:bCs/>
                                        <w:spacing w:val="8"/>
                                        <w:szCs w:val="21"/>
                                        <w:lang w:eastAsia="zh-CN"/>
                                      </w:rPr>
                                      <w:t>48</w:t>
                                    </w:r>
                                  </w:p>
                                </w:txbxContent>
                              </wps:txbx>
                              <wps:bodyPr vert="horz" wrap="square" lIns="0" tIns="45720" rIns="0" bIns="45720" anchor="t" anchorCtr="0" upright="1">
                                <a:noAutofit/>
                              </wps:bodyPr>
                            </wps:wsp>
                            <wps:wsp>
                              <wps:cNvPr id="10" name="文本框 96 10"/>
                              <wps:cNvSpPr/>
                              <wps:spPr>
                                <a:xfrm rot="0">
                                  <a:off x="2527300" y="749934"/>
                                  <a:ext cx="506730" cy="279400"/>
                                </a:xfrm>
                                <a:prstGeom prst="rect"/>
                                <a:noFill/>
                                <a:ln cmpd="sng" cap="flat">
                                  <a:noFill/>
                                  <a:prstDash val="solid"/>
                                  <a:round/>
                                </a:ln>
                              </wps:spPr>
                              <wps:txbx id="11">
                                <w:txbxContent>
                                  <w:p>
                                    <w:pPr>
                                      <w:rPr>
                                        <w:rFonts w:eastAsia="宋体"/>
                                        <w:lang w:val="en-US" w:eastAsia="zh-CN"/>
                                      </w:rPr>
                                    </w:pPr>
                                    <w:r>
                                      <w:rPr>
                                        <w:rFonts w:hint="eastAsia"/>
                                      </w:rPr>
                                      <w:t>0.</w:t>
                                    </w:r>
                                    <w:r>
                                      <w:rPr>
                                        <w:rFonts w:hint="eastAsia"/>
                                        <w:lang w:val="en-US" w:eastAsia="zh-CN"/>
                                      </w:rPr>
                                      <w:t>7</w:t>
                                    </w:r>
                                  </w:p>
                                </w:txbxContent>
                              </wps:txbx>
                              <wps:bodyPr vert="horz" wrap="square" lIns="91440" tIns="45720" rIns="91440" bIns="45720" anchor="t" anchorCtr="0" upright="1">
                                <a:noAutofit/>
                              </wps:bodyPr>
                            </wps:wsp>
                            <wps:wsp>
                              <wps:cNvPr id="12" name="自选图形 97 12"/>
                              <wps:cNvSpPr/>
                              <wps:spPr>
                                <a:xfrm flipH="1" flipV="1" rot="0">
                                  <a:off x="2193924" y="664209"/>
                                  <a:ext cx="5714" cy="307340"/>
                                </a:xfrm>
                                <a:prstGeom prst="straightConnector1"/>
                                <a:noFill/>
                                <a:ln w="9525" cmpd="sng" cap="flat">
                                  <a:solidFill>
                                    <a:srgbClr val="000000"/>
                                  </a:solidFill>
                                  <a:prstDash val="solid"/>
                                  <a:round/>
                                  <a:tailEnd type="triangle" w="sm" len="lg"/>
                                </a:ln>
                              </wps:spPr>
                              <wps:bodyPr vert="horz" wrap="square" lIns="91440" tIns="45720" rIns="91440" bIns="45720" anchor="t" anchorCtr="0" upright="0">
                                <a:noAutofit/>
                              </wps:bodyPr>
                            </wps:wsp>
                            <wps:wsp>
                              <wps:cNvPr id="13" name="自选图形 98 13"/>
                              <wps:cNvSpPr/>
                              <wps:spPr>
                                <a:xfrm flipH="1" rot="21600000">
                                  <a:off x="1033145" y="521334"/>
                                  <a:ext cx="1904" cy="1042670"/>
                                </a:xfrm>
                                <a:prstGeom prst="straightConnector1"/>
                                <a:noFill/>
                                <a:ln w="9525" cmpd="sng" cap="flat">
                                  <a:solidFill>
                                    <a:srgbClr val="000000"/>
                                  </a:solidFill>
                                  <a:prstDash val="solid"/>
                                  <a:round/>
                                </a:ln>
                              </wps:spPr>
                              <wps:bodyPr vert="horz" wrap="square" lIns="91440" tIns="45720" rIns="91440" bIns="45720" anchor="t" anchorCtr="0" upright="0">
                                <a:noAutofit/>
                              </wps:bodyPr>
                            </wps:wsp>
                            <wps:wsp>
                              <wps:cNvPr id="14" name="文本框 99 14"/>
                              <wps:cNvSpPr/>
                              <wps:spPr>
                                <a:xfrm rot="0">
                                  <a:off x="2584450" y="0"/>
                                  <a:ext cx="675005" cy="280034"/>
                                </a:xfrm>
                                <a:prstGeom prst="rect"/>
                                <a:noFill/>
                                <a:ln cmpd="sng" cap="flat">
                                  <a:noFill/>
                                  <a:prstDash val="solid"/>
                                  <a:round/>
                                </a:ln>
                              </wps:spPr>
                              <wps:txbx id="15">
                                <w:txbxContent>
                                  <w:p>
                                    <w:pPr>
                                      <w:rPr>
                                        <w:rFonts w:eastAsia="宋体"/>
                                        <w:lang w:val="en-US" w:eastAsia="zh-CN"/>
                                      </w:rPr>
                                    </w:pPr>
                                    <w:r>
                                      <w:rPr>
                                        <w:rFonts w:hint="eastAsia"/>
                                      </w:rPr>
                                      <w:t>-</w:t>
                                    </w:r>
                                    <w:r>
                                      <w:rPr>
                                        <w:rFonts w:hint="eastAsia"/>
                                        <w:lang w:val="en-US" w:eastAsia="zh-CN"/>
                                      </w:rPr>
                                      <w:t>0.04</w:t>
                                    </w:r>
                                  </w:p>
                                </w:txbxContent>
                              </wps:txbx>
                              <wps:bodyPr vert="horz" wrap="square" lIns="0" tIns="45720" rIns="0" bIns="45720" anchor="t" anchorCtr="0" upright="1">
                                <a:noAutofit/>
                              </wps:bodyPr>
                            </wps:wsp>
                            <wps:wsp>
                              <wps:cNvPr id="16" name="文本框 100 16"/>
                              <wps:cNvSpPr/>
                              <wps:spPr>
                                <a:xfrm rot="0">
                                  <a:off x="1129030" y="282574"/>
                                  <a:ext cx="558165" cy="279400"/>
                                </a:xfrm>
                                <a:prstGeom prst="rect"/>
                                <a:noFill/>
                                <a:ln cmpd="sng" cap="flat">
                                  <a:noFill/>
                                  <a:prstDash val="solid"/>
                                  <a:round/>
                                </a:ln>
                              </wps:spPr>
                              <wps:txbx id="17">
                                <w:txbxContent>
                                  <w:p>
                                    <w:pPr>
                                      <w:ind w:firstLineChars="100" w:firstLine="210"/>
                                      <w:rPr>
                                        <w:rFonts w:eastAsia="宋体"/>
                                        <w:szCs w:val="21"/>
                                        <w:lang w:val="en-US" w:eastAsia="zh-CN"/>
                                      </w:rPr>
                                    </w:pPr>
                                    <w:r>
                                      <w:rPr>
                                        <w:rFonts w:hint="eastAsia"/>
                                        <w:szCs w:val="21"/>
                                        <w:lang w:val="en-US" w:eastAsia="zh-CN"/>
                                      </w:rPr>
                                      <w:t>0.04</w:t>
                                    </w:r>
                                  </w:p>
                                </w:txbxContent>
                              </wps:txbx>
                              <wps:bodyPr vert="horz" wrap="square" lIns="0" tIns="45720" rIns="0" bIns="45720" anchor="t" anchorCtr="0" upright="1">
                                <a:noAutofit/>
                              </wps:bodyPr>
                            </wps:wsp>
                            <wps:wsp>
                              <wps:cNvPr id="18" name="文本框 101 18"/>
                              <wps:cNvSpPr/>
                              <wps:spPr>
                                <a:xfrm rot="0">
                                  <a:off x="1712595" y="386714"/>
                                  <a:ext cx="941070" cy="280035"/>
                                </a:xfrm>
                                <a:prstGeom prst="rect"/>
                                <a:solidFill>
                                  <a:srgbClr val="FFFFFF"/>
                                </a:solidFill>
                                <a:ln w="9525" cmpd="sng" cap="flat">
                                  <a:solidFill>
                                    <a:srgbClr val="000000"/>
                                  </a:solidFill>
                                  <a:prstDash val="solid"/>
                                  <a:miter/>
                                </a:ln>
                              </wps:spPr>
                              <wps:txbx id="19">
                                <w:txbxContent>
                                  <w:p>
                                    <w:pPr>
                                      <w:jc w:val="center"/>
                                      <w:rPr>
                                        <w:rFonts w:eastAsia="宋体" w:hint="eastAsia"/>
                                        <w:lang w:eastAsia="zh-CN"/>
                                      </w:rPr>
                                    </w:pPr>
                                    <w:r>
                                      <w:rPr>
                                        <w:rFonts w:hint="eastAsia"/>
                                        <w:lang w:eastAsia="zh-CN"/>
                                      </w:rPr>
                                      <w:t>碱液喷淋装置</w:t>
                                    </w:r>
                                  </w:p>
                                </w:txbxContent>
                              </wps:txbx>
                              <wps:bodyPr vert="horz" wrap="square" lIns="0" tIns="45720" rIns="0" bIns="45720" anchor="t" anchorCtr="0" upright="1">
                                <a:noAutofit/>
                              </wps:bodyPr>
                            </wps:wsp>
                            <wps:wsp>
                              <wps:cNvPr id="20" name="直线 102 20"/>
                              <wps:cNvSpPr/>
                              <wps:spPr>
                                <a:xfrm flipV="1" rot="21600000">
                                  <a:off x="2097405" y="187324"/>
                                  <a:ext cx="444500" cy="188594"/>
                                </a:xfrm>
                                <a:prstGeom prst="line"/>
                                <a:noFill/>
                                <a:ln w="9525" cmpd="sng" cap="flat">
                                  <a:solidFill>
                                    <a:srgbClr val="000000"/>
                                  </a:solidFill>
                                  <a:prstDash val="dash"/>
                                  <a:round/>
                                  <a:tailEnd type="triangle" w="sm" len="lg"/>
                                </a:ln>
                              </wps:spPr>
                              <wps:bodyPr vert="horz" wrap="square" lIns="91440" tIns="45720" rIns="91440" bIns="45720" anchor="t" anchorCtr="0" upright="1">
                                <a:noAutofit/>
                              </wps:bodyPr>
                            </wps:wsp>
                            <wps:wsp>
                              <wps:cNvPr id="21" name="文本框 104 21"/>
                              <wps:cNvSpPr/>
                              <wps:spPr>
                                <a:xfrm rot="0">
                                  <a:off x="1725295" y="1415414"/>
                                  <a:ext cx="887094" cy="279400"/>
                                </a:xfrm>
                                <a:prstGeom prst="rect"/>
                                <a:solidFill>
                                  <a:srgbClr val="FFFFFF"/>
                                </a:solidFill>
                                <a:ln w="9525" cmpd="sng" cap="flat">
                                  <a:solidFill>
                                    <a:srgbClr val="000000"/>
                                  </a:solidFill>
                                  <a:prstDash val="solid"/>
                                  <a:miter/>
                                </a:ln>
                              </wps:spPr>
                              <wps:txbx id="22">
                                <w:txbxContent>
                                  <w:p>
                                    <w:pPr>
                                      <w:jc w:val="center"/>
                                      <w:rPr>
                                        <w:rFonts w:eastAsia="宋体" w:hint="eastAsia"/>
                                        <w:lang w:eastAsia="zh-CN"/>
                                      </w:rPr>
                                    </w:pPr>
                                    <w:r>
                                      <w:rPr>
                                        <w:rFonts w:hint="eastAsia"/>
                                        <w:lang w:eastAsia="zh-CN"/>
                                      </w:rPr>
                                      <w:t>职工生活</w:t>
                                    </w:r>
                                  </w:p>
                                </w:txbxContent>
                              </wps:txbx>
                              <wps:bodyPr vert="horz" wrap="square" lIns="0" tIns="45720" rIns="0" bIns="45720" anchor="t" anchorCtr="0" upright="1">
                                <a:noAutofit/>
                              </wps:bodyPr>
                            </wps:wsp>
                            <wps:wsp>
                              <wps:cNvPr id="23" name="文本框 105 23"/>
                              <wps:cNvSpPr/>
                              <wps:spPr>
                                <a:xfrm rot="0">
                                  <a:off x="1271904" y="1336675"/>
                                  <a:ext cx="450849" cy="279400"/>
                                </a:xfrm>
                                <a:prstGeom prst="rect"/>
                                <a:noFill/>
                                <a:ln cmpd="sng" cap="flat">
                                  <a:noFill/>
                                  <a:prstDash val="solid"/>
                                  <a:round/>
                                </a:ln>
                              </wps:spPr>
                              <wps:txbx id="24">
                                <w:txbxContent>
                                  <w:p>
                                    <w:pPr>
                                      <w:rPr>
                                        <w:rFonts w:eastAsia="宋体"/>
                                        <w:lang w:eastAsia="zh-CN"/>
                                      </w:rPr>
                                    </w:pPr>
                                    <w:r>
                                      <w:rPr>
                                        <w:rFonts w:hint="eastAsia"/>
                                        <w:bCs/>
                                        <w:spacing w:val="8"/>
                                        <w:szCs w:val="21"/>
                                        <w:lang w:val="en-US" w:eastAsia="zh-CN"/>
                                      </w:rPr>
                                      <w:t>0.</w:t>
                                    </w:r>
                                    <w:r>
                                      <w:rPr>
                                        <w:bCs/>
                                        <w:spacing w:val="8"/>
                                        <w:szCs w:val="21"/>
                                        <w:lang w:eastAsia="zh-CN"/>
                                      </w:rPr>
                                      <w:t>44</w:t>
                                    </w:r>
                                  </w:p>
                                </w:txbxContent>
                              </wps:txbx>
                              <wps:bodyPr vert="horz" wrap="square" lIns="0" tIns="45720" rIns="0" bIns="45720" anchor="t" anchorCtr="0" upright="1">
                                <a:noAutofit/>
                              </wps:bodyPr>
                            </wps:wsp>
                            <wps:wsp>
                              <wps:cNvPr id="25" name="直线 106 25"/>
                              <wps:cNvSpPr/>
                              <wps:spPr>
                                <a:xfrm flipV="1" rot="21600000">
                                  <a:off x="2110105" y="1215389"/>
                                  <a:ext cx="444500" cy="189230"/>
                                </a:xfrm>
                                <a:prstGeom prst="line"/>
                                <a:noFill/>
                                <a:ln w="9525" cmpd="sng" cap="flat">
                                  <a:solidFill>
                                    <a:srgbClr val="000000"/>
                                  </a:solidFill>
                                  <a:prstDash val="dash"/>
                                  <a:round/>
                                  <a:tailEnd type="triangle" w="sm" len="lg"/>
                                </a:ln>
                              </wps:spPr>
                              <wps:bodyPr vert="horz" wrap="square" lIns="91440" tIns="45720" rIns="91440" bIns="45720" anchor="t" anchorCtr="0" upright="1">
                                <a:noAutofit/>
                              </wps:bodyPr>
                            </wps:wsp>
                            <wps:wsp>
                              <wps:cNvPr id="26" name="文本框 107 26"/>
                              <wps:cNvSpPr/>
                              <wps:spPr>
                                <a:xfrm rot="0">
                                  <a:off x="2594610" y="1024889"/>
                                  <a:ext cx="448945" cy="280035"/>
                                </a:xfrm>
                                <a:prstGeom prst="rect"/>
                                <a:noFill/>
                                <a:ln cmpd="sng" cap="flat">
                                  <a:noFill/>
                                  <a:prstDash val="solid"/>
                                  <a:round/>
                                </a:ln>
                              </wps:spPr>
                              <wps:txbx id="27">
                                <w:txbxContent>
                                  <w:p>
                                    <w:pPr>
                                      <w:rPr>
                                        <w:rFonts w:eastAsia="宋体"/>
                                        <w:lang w:eastAsia="zh-CN"/>
                                      </w:rPr>
                                    </w:pPr>
                                    <w:r>
                                      <w:rPr>
                                        <w:rFonts w:hint="eastAsia"/>
                                      </w:rPr>
                                      <w:t>-</w:t>
                                    </w:r>
                                    <w:r>
                                      <w:rPr>
                                        <w:rFonts w:hint="eastAsia"/>
                                        <w:bCs/>
                                        <w:spacing w:val="8"/>
                                        <w:szCs w:val="21"/>
                                        <w:lang w:val="en-US" w:eastAsia="zh-CN"/>
                                      </w:rPr>
                                      <w:t>0.</w:t>
                                    </w:r>
                                    <w:r>
                                      <w:rPr>
                                        <w:bCs/>
                                        <w:spacing w:val="8"/>
                                        <w:szCs w:val="21"/>
                                        <w:lang w:eastAsia="zh-CN"/>
                                      </w:rPr>
                                      <w:t>09</w:t>
                                    </w:r>
                                  </w:p>
                                </w:txbxContent>
                              </wps:txbx>
                              <wps:bodyPr vert="horz" wrap="square" lIns="0" tIns="45720" rIns="0" bIns="45720" anchor="t" anchorCtr="0" upright="1">
                                <a:noAutofit/>
                              </wps:bodyPr>
                            </wps:wsp>
                            <wps:wsp>
                              <wps:cNvPr id="28" name="直线 108 28"/>
                              <wps:cNvSpPr/>
                              <wps:spPr>
                                <a:xfrm rot="0">
                                  <a:off x="1046479" y="1564004"/>
                                  <a:ext cx="676275"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29" name="直接连接符 109 29"/>
                              <wps:cNvSpPr/>
                              <wps:spPr>
                                <a:xfrm rot="0">
                                  <a:off x="2195194" y="972819"/>
                                  <a:ext cx="880110" cy="634"/>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30" name="直接连接符 110 30"/>
                              <wps:cNvSpPr/>
                              <wps:spPr>
                                <a:xfrm rot="0">
                                  <a:off x="3076575" y="528954"/>
                                  <a:ext cx="6349" cy="452755"/>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31" name="直线 108 31"/>
                              <wps:cNvSpPr/>
                              <wps:spPr>
                                <a:xfrm flipV="1" rot="21600000">
                                  <a:off x="2611755" y="1553209"/>
                                  <a:ext cx="654050" cy="4444"/>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2" name="直线 108 32"/>
                              <wps:cNvSpPr/>
                              <wps:spPr>
                                <a:xfrm rot="0">
                                  <a:off x="1048384" y="525779"/>
                                  <a:ext cx="676275" cy="0"/>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3" name="直线 108 33"/>
                              <wps:cNvSpPr/>
                              <wps:spPr>
                                <a:xfrm flipH="1" rot="21600000">
                                  <a:off x="3661409" y="1654174"/>
                                  <a:ext cx="7619" cy="343535"/>
                                </a:xfrm>
                                <a:prstGeom prst="line"/>
                                <a:noFill/>
                                <a:ln w="9525" cmpd="sng" cap="flat">
                                  <a:solidFill>
                                    <a:srgbClr val="000000"/>
                                  </a:solidFill>
                                  <a:prstDash val="solid"/>
                                  <a:round/>
                                  <a:tailEnd type="triangle" w="sm" len="lg"/>
                                </a:ln>
                              </wps:spPr>
                              <wps:bodyPr vert="horz" wrap="square" lIns="91440" tIns="45720" rIns="91440" bIns="45720" anchor="t" anchorCtr="0" upright="1">
                                <a:noAutofit/>
                              </wps:bodyPr>
                            </wps:wsp>
                            <wps:wsp>
                              <wps:cNvPr id="34" name="文本框 91 34"/>
                              <wps:cNvSpPr/>
                              <wps:spPr>
                                <a:xfrm rot="0">
                                  <a:off x="2893694" y="2012950"/>
                                  <a:ext cx="1673860" cy="589915"/>
                                </a:xfrm>
                                <a:prstGeom prst="rect"/>
                                <a:noFill/>
                                <a:ln cmpd="sng" cap="flat">
                                  <a:noFill/>
                                  <a:prstDash val="solid"/>
                                  <a:round/>
                                </a:ln>
                              </wps:spPr>
                              <wps:txbx id="35">
                                <w:txbxContent>
                                  <w:p>
                                    <w:pPr>
                                      <w:jc w:val="center"/>
                                      <w:rPr>
                                        <w:rFonts w:hint="eastAsia"/>
                                        <w:lang w:eastAsia="zh-CN"/>
                                      </w:rPr>
                                    </w:pPr>
                                    <w:r>
                                      <w:rPr>
                                        <w:rFonts w:cs="Times New Roman" w:hint="eastAsia"/>
                                        <w:color w:val="auto"/>
                                        <w:kern w:val="2"/>
                                        <w:sz w:val="21"/>
                                        <w:szCs w:val="21"/>
                                        <w:lang w:val="en-US" w:eastAsia="zh-CN" w:bidi="ar-SA"/>
                                        <w:highlight w:val="none"/>
                                      </w:rPr>
                                      <w:t>定期清掏、不外排</w:t>
                                    </w:r>
                                  </w:p>
                                </w:txbxContent>
                              </wps:txbx>
                              <wps:bodyPr vert="horz" wrap="square" lIns="0" tIns="45720" rIns="0" bIns="45720" anchor="t" anchorCtr="0" upright="1">
                                <a:noAutofit/>
                              </wps:bodyPr>
                            </wps:wsp>
                            <wps:wsp>
                              <wps:cNvPr id="36" name="文本框 99 36"/>
                              <wps:cNvSpPr/>
                              <wps:spPr>
                                <a:xfrm rot="0">
                                  <a:off x="2757169" y="1326515"/>
                                  <a:ext cx="675005" cy="280034"/>
                                </a:xfrm>
                                <a:prstGeom prst="rect"/>
                                <a:noFill/>
                                <a:ln cmpd="sng" cap="flat">
                                  <a:noFill/>
                                  <a:prstDash val="solid"/>
                                  <a:round/>
                                </a:ln>
                              </wps:spPr>
                              <wps:txbx id="37">
                                <w:txbxContent>
                                  <w:p>
                                    <w:pPr>
                                      <w:rPr>
                                        <w:rFonts w:eastAsia="宋体"/>
                                        <w:lang w:eastAsia="zh-CN"/>
                                      </w:rPr>
                                    </w:pPr>
                                    <w:r>
                                      <w:rPr>
                                        <w:rFonts w:hint="eastAsia"/>
                                        <w:lang w:val="en-US" w:eastAsia="zh-CN"/>
                                      </w:rPr>
                                      <w:t>0.</w:t>
                                    </w:r>
                                    <w:r>
                                      <w:rPr>
                                        <w:lang w:eastAsia="zh-CN"/>
                                      </w:rPr>
                                      <w:t>35</w:t>
                                    </w:r>
                                  </w:p>
                                </w:txbxContent>
                              </wps:txbx>
                              <wps:bodyPr vert="horz" wrap="square" lIns="0" tIns="45720" rIns="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58" o:spid="_x0000_s38" coordorigin="3449,8227" coordsize="7193,4099" style="position:absolute;margin-left:59.700005pt;margin-top:7.1000004pt;width:359.65pt;height:204.95001pt;z-index:202;mso-position-horizontal:absolute;mso-position-vertical:absolute;">
                      <v:line type="#_x0000_t20" id="直接连接符 108 4" o:spid="_x0000_s39" style="position:absolute;visibility:visible;" from="7628.3945,9057.501" to="8292.395,9060.5" filled="f" stroked="t">
                        <v:stroke color="#000000"/>
                      </v:line>
                      <v:rect type="#_x0000_t1" id="_s40" o:spid="_x0000_s40" style="position:absolute;left:8616;top:10442;width:1735;height:404;mso-wrap-style:square;" filled="f" stroked="f" strokeweight="-1.0pt">
                        <v:textbox id="848" inset="0mm,1.27mm,0mm,1.27mm" o:insetmode="custom" style="layout-flow:horizontal;v-text-anchor:top;">
                          <w:txbxContent>
                            <w:p>
                              <w:pPr>
                                <w:ind w:firstLineChars="50" w:firstLine="105"/>
                                <w:rPr>
                                  <w:rFonts w:eastAsia="宋体" w:hint="eastAsia"/>
                                  <w:lang w:eastAsia="zh-CN"/>
                                </w:rPr>
                              </w:pPr>
                              <w:r>
                                <w:rPr>
                                  <w:rFonts w:hint="eastAsia"/>
                                  <w:lang w:eastAsia="zh-CN"/>
                                </w:rPr>
                                <w:t>化粪池（依托）</w:t>
                              </w:r>
                            </w:p>
                          </w:txbxContent>
                        </v:textbox>
                        <v:stroke/>
                      </v:rect>
                      <v:line type="#_x0000_t20" id="直线 92 7" o:spid="_x0000_s41" style="position:absolute;visibility:visible;" from="3449.3945,9868.5" to="5076.3945,9868.5" filled="f" stroked="t">
                        <v:stroke color="#000000" endarrow="block" endarrowwidth="narrow" endarrowlength="long"/>
                      </v:line>
                      <v:rect type="#_x0000_t1" id="_s42" o:spid="_x0000_s42" style="position:absolute;left:3617;top:9485;width:1421;height:439;mso-wrap-style:square;" filled="f" stroked="f" strokeweight="-1.0pt">
                        <v:textbox id="849" inset="0mm,1.27mm,0mm,1.27mm" o:insetmode="custom" style="layout-flow:horizontal;v-text-anchor:top;">
                          <w:txbxContent>
                            <w:p>
                              <w:pPr>
                                <w:rPr>
                                  <w:rFonts w:eastAsia="宋体"/>
                                  <w:lang w:eastAsia="zh-CN"/>
                                </w:rPr>
                              </w:pPr>
                              <w:r>
                                <w:rPr>
                                  <w:rFonts w:hint="eastAsia"/>
                                </w:rPr>
                                <w:t>新鲜水</w:t>
                              </w:r>
                              <w:r>
                                <w:rPr>
                                  <w:rFonts w:hint="eastAsia"/>
                                  <w:bCs/>
                                  <w:spacing w:val="8"/>
                                  <w:szCs w:val="21"/>
                                  <w:lang w:val="en-US" w:eastAsia="zh-CN"/>
                                </w:rPr>
                                <w:t>0.</w:t>
                              </w:r>
                              <w:r>
                                <w:rPr>
                                  <w:bCs/>
                                  <w:spacing w:val="8"/>
                                  <w:szCs w:val="21"/>
                                  <w:lang w:eastAsia="zh-CN"/>
                                </w:rPr>
                                <w:t>48</w:t>
                              </w:r>
                            </w:p>
                          </w:txbxContent>
                        </v:textbox>
                        <v:stroke/>
                      </v:rect>
                      <v:rect type="#_x0000_t1" id="_s43" o:spid="_x0000_s43" style="position:absolute;left:7429;top:9408;width:798;height:439;mso-wrap-style:square;" filled="f" stroked="f" strokeweight="-1.0pt">
                        <v:textbox id="850" inset="2.54mm,1.27mm,2.54mm,1.27mm" o:insetmode="custom" style="layout-flow:horizontal;v-text-anchor:top;">
                          <w:txbxContent>
                            <w:p>
                              <w:pPr>
                                <w:rPr>
                                  <w:rFonts w:eastAsia="宋体"/>
                                  <w:lang w:val="en-US" w:eastAsia="zh-CN"/>
                                </w:rPr>
                              </w:pPr>
                              <w:r>
                                <w:rPr>
                                  <w:rFonts w:hint="eastAsia"/>
                                </w:rPr>
                                <w:t>0.</w:t>
                              </w:r>
                              <w:r>
                                <w:rPr>
                                  <w:rFonts w:hint="eastAsia"/>
                                  <w:lang w:val="en-US" w:eastAsia="zh-CN"/>
                                </w:rPr>
                                <w:t>7</w:t>
                              </w:r>
                            </w:p>
                          </w:txbxContent>
                        </v:textbox>
                        <v:stroke/>
                      </v:rect>
                      <v:shape type="#_x0000_t32" id="自选图形 97 12" o:spid="_x0000_s44" style="position:absolute;left:6904;top:9273;width:9;height:484;flip:x y;" filled="f" stroked="t">
                        <v:stroke color="#000000" endarrow="block" endarrowwidth="narrow" endarrowlength="long"/>
                      </v:shape>
                      <v:shape type="#_x0000_t32" id="自选图形 98 13" o:spid="_x0000_s45" style="position:absolute;left:5076;top:9048;width:3;height:1642;flip:x;" filled="f" stroked="t">
                        <v:stroke color="#000000"/>
                      </v:shape>
                      <v:rect type="#_x0000_t1" id="_s46" o:spid="_x0000_s46" style="position:absolute;left:7519;top:8227;width:1063;height:441;mso-wrap-style:square;" filled="f" stroked="f" strokeweight="-1.0pt">
                        <v:textbox id="851" inset="0mm,1.27mm,0mm,1.27mm" o:insetmode="custom" style="layout-flow:horizontal;v-text-anchor:top;">
                          <w:txbxContent>
                            <w:p>
                              <w:pPr>
                                <w:rPr>
                                  <w:rFonts w:eastAsia="宋体"/>
                                  <w:lang w:val="en-US" w:eastAsia="zh-CN"/>
                                </w:rPr>
                              </w:pPr>
                              <w:r>
                                <w:rPr>
                                  <w:rFonts w:hint="eastAsia"/>
                                </w:rPr>
                                <w:t>-</w:t>
                              </w:r>
                              <w:r>
                                <w:rPr>
                                  <w:rFonts w:hint="eastAsia"/>
                                  <w:lang w:val="en-US" w:eastAsia="zh-CN"/>
                                </w:rPr>
                                <w:t>0.04</w:t>
                              </w:r>
                            </w:p>
                          </w:txbxContent>
                        </v:textbox>
                        <v:stroke/>
                      </v:rect>
                      <v:rect type="#_x0000_t1" id="_s47" o:spid="_x0000_s47" style="position:absolute;left:5227;top:8672;width:879;height:439;mso-wrap-style:square;" filled="f" stroked="f" strokeweight="-1.0pt">
                        <v:textbox id="852" inset="0mm,1.27mm,0mm,1.27mm" o:insetmode="custom" style="layout-flow:horizontal;v-text-anchor:top;">
                          <w:txbxContent>
                            <w:p>
                              <w:pPr>
                                <w:ind w:firstLineChars="100" w:firstLine="210"/>
                                <w:rPr>
                                  <w:rFonts w:eastAsia="宋体"/>
                                  <w:szCs w:val="21"/>
                                  <w:lang w:val="en-US" w:eastAsia="zh-CN"/>
                                </w:rPr>
                              </w:pPr>
                              <w:r>
                                <w:rPr>
                                  <w:rFonts w:hint="eastAsia"/>
                                  <w:szCs w:val="21"/>
                                  <w:lang w:val="en-US" w:eastAsia="zh-CN"/>
                                </w:rPr>
                                <w:t>0.04</w:t>
                              </w:r>
                            </w:p>
                          </w:txbxContent>
                        </v:textbox>
                        <v:stroke/>
                      </v:rect>
                      <v:rect type="#_x0000_t1" id="_s48" o:spid="_x0000_s48" style="position:absolute;left:6146;top:8836;width:1482;height:441;mso-wrap-style:square;" fillcolor="#FFFFFF" stroked="t">
                        <v:textbox id="853" inset="0mm,1.27mm,0mm,1.27mm" o:insetmode="custom" style="layout-flow:horizontal;v-text-anchor:top;">
                          <w:txbxContent>
                            <w:p>
                              <w:pPr>
                                <w:jc w:val="center"/>
                                <w:rPr>
                                  <w:rFonts w:eastAsia="宋体" w:hint="eastAsia"/>
                                  <w:lang w:eastAsia="zh-CN"/>
                                </w:rPr>
                              </w:pPr>
                              <w:r>
                                <w:rPr>
                                  <w:rFonts w:hint="eastAsia"/>
                                  <w:lang w:eastAsia="zh-CN"/>
                                </w:rPr>
                                <w:t>碱液喷淋装置</w:t>
                              </w:r>
                            </w:p>
                          </w:txbxContent>
                        </v:textbox>
                        <v:stroke color="#000000"/>
                      </v:rect>
                      <v:line type="#_x0000_t20" id="直线 102 20" o:spid="_x0000_s49" style="position:absolute;flip:y;visibility:visible;" from="6752.3945,8522.499" to="7452.395,8819.5" filled="f" stroked="t">
                        <v:stroke dashstyle="dash" color="#000000" endarrow="block" endarrowwidth="narrow" endarrowlength="long"/>
                      </v:line>
                      <v:rect type="#_x0000_t1" id="_s50" o:spid="_x0000_s50" style="position:absolute;left:6166;top:10456;width:1396;height:440;mso-wrap-style:square;" fillcolor="#FFFFFF" stroked="t">
                        <v:textbox id="854" inset="0mm,1.27mm,0mm,1.27mm" o:insetmode="custom" style="layout-flow:horizontal;v-text-anchor:top;">
                          <w:txbxContent>
                            <w:p>
                              <w:pPr>
                                <w:jc w:val="center"/>
                                <w:rPr>
                                  <w:rFonts w:eastAsia="宋体" w:hint="eastAsia"/>
                                  <w:lang w:eastAsia="zh-CN"/>
                                </w:rPr>
                              </w:pPr>
                              <w:r>
                                <w:rPr>
                                  <w:rFonts w:hint="eastAsia"/>
                                  <w:lang w:eastAsia="zh-CN"/>
                                </w:rPr>
                                <w:t>职工生活</w:t>
                              </w:r>
                            </w:p>
                          </w:txbxContent>
                        </v:textbox>
                        <v:stroke color="#000000"/>
                      </v:rect>
                      <v:rect type="#_x0000_t1" id="_s51" o:spid="_x0000_s51" style="position:absolute;left:5452;top:10332;width:710;height:440;mso-wrap-style:square;" filled="f" stroked="f" strokeweight="-1.0pt">
                        <v:textbox id="855" inset="0mm,1.27mm,0mm,1.27mm" o:insetmode="custom" style="layout-flow:horizontal;v-text-anchor:top;">
                          <w:txbxContent>
                            <w:p>
                              <w:pPr>
                                <w:rPr>
                                  <w:rFonts w:eastAsia="宋体"/>
                                  <w:lang w:eastAsia="zh-CN"/>
                                </w:rPr>
                              </w:pPr>
                              <w:r>
                                <w:rPr>
                                  <w:rFonts w:hint="eastAsia"/>
                                  <w:bCs/>
                                  <w:spacing w:val="8"/>
                                  <w:szCs w:val="21"/>
                                  <w:lang w:val="en-US" w:eastAsia="zh-CN"/>
                                </w:rPr>
                                <w:t>0.</w:t>
                              </w:r>
                              <w:r>
                                <w:rPr>
                                  <w:bCs/>
                                  <w:spacing w:val="8"/>
                                  <w:szCs w:val="21"/>
                                  <w:lang w:eastAsia="zh-CN"/>
                                </w:rPr>
                                <w:t>44</w:t>
                              </w:r>
                            </w:p>
                          </w:txbxContent>
                        </v:textbox>
                        <v:stroke/>
                      </v:rect>
                      <v:line type="#_x0000_t20" id="直线 106 25" o:spid="_x0000_s52" style="position:absolute;flip:y;visibility:visible;" from="6772.395,10141.5" to="7472.395,10439.5" filled="f" stroked="t">
                        <v:stroke dashstyle="dash" color="#000000" endarrow="block" endarrowwidth="narrow" endarrowlength="long"/>
                      </v:line>
                      <v:rect type="#_x0000_t1" id="_s53" o:spid="_x0000_s53" style="position:absolute;left:7535;top:9841;width:707;height:441;mso-wrap-style:square;" filled="f" stroked="f" strokeweight="-1.0pt">
                        <v:textbox id="856" inset="0mm,1.27mm,0mm,1.27mm" o:insetmode="custom" style="layout-flow:horizontal;v-text-anchor:top;">
                          <w:txbxContent>
                            <w:p>
                              <w:pPr>
                                <w:rPr>
                                  <w:rFonts w:eastAsia="宋体"/>
                                  <w:lang w:eastAsia="zh-CN"/>
                                </w:rPr>
                              </w:pPr>
                              <w:r>
                                <w:rPr>
                                  <w:rFonts w:hint="eastAsia"/>
                                </w:rPr>
                                <w:t>-</w:t>
                              </w:r>
                              <w:r>
                                <w:rPr>
                                  <w:rFonts w:hint="eastAsia"/>
                                  <w:bCs/>
                                  <w:spacing w:val="8"/>
                                  <w:szCs w:val="21"/>
                                  <w:lang w:val="en-US" w:eastAsia="zh-CN"/>
                                </w:rPr>
                                <w:t>0.</w:t>
                              </w:r>
                              <w:r>
                                <w:rPr>
                                  <w:bCs/>
                                  <w:spacing w:val="8"/>
                                  <w:szCs w:val="21"/>
                                  <w:lang w:eastAsia="zh-CN"/>
                                </w:rPr>
                                <w:t>09</w:t>
                              </w:r>
                            </w:p>
                          </w:txbxContent>
                        </v:textbox>
                        <v:stroke/>
                      </v:rect>
                      <v:line type="#_x0000_t20" id="直线 108 28" o:spid="_x0000_s54" style="position:absolute;visibility:visible;" from="5097.3945,10690.499" to="6162.3945,10690.499" filled="f" stroked="t">
                        <v:stroke color="#000000" endarrow="block" endarrowwidth="narrow" endarrowlength="long"/>
                      </v:line>
                      <v:line type="#_x0000_t20" id="直接连接符 109 29" o:spid="_x0000_s55" style="position:absolute;visibility:visible;" from="6906.3936,9759.5" to="8292.394,9760.499" filled="f" stroked="t">
                        <v:stroke color="#000000"/>
                      </v:line>
                      <v:line type="#_x0000_t20" id="直接连接符 110 30" o:spid="_x0000_s56" style="position:absolute;visibility:visible;" from="8294.3955,9060.5" to="8304.3955,9773.5" filled="f" stroked="t">
                        <v:stroke color="#000000"/>
                      </v:line>
                      <v:line type="#_x0000_t20" id="直线 108 31" o:spid="_x0000_s57" style="position:absolute;flip:y;visibility:visible;" from="7562.3945,10673.5" to="8592.395,10680.499" filled="f" stroked="t">
                        <v:stroke color="#000000" endarrow="block" endarrowwidth="narrow" endarrowlength="long"/>
                      </v:line>
                      <v:line type="#_x0000_t20" id="直线 108 32" o:spid="_x0000_s58" style="position:absolute;visibility:visible;" from="5100.3945,9055.499" to="6165.395,9055.499" filled="f" stroked="t">
                        <v:stroke color="#000000" endarrow="block" endarrowwidth="narrow" endarrowlength="long"/>
                      </v:line>
                      <v:line type="#_x0000_t20" id="直线 108 33" o:spid="_x0000_s59" style="position:absolute;flip:x;visibility:visible;" from="9215.395,10832.499" to="9227.394,11373.498" filled="f" stroked="t">
                        <v:stroke color="#000000" endarrow="block" endarrowwidth="narrow" endarrowlength="long"/>
                      </v:line>
                      <v:rect type="#_x0000_t1" id="_s60" o:spid="_x0000_s60" style="position:absolute;left:8006;top:11397;width:2636;height:929;mso-wrap-style:square;" filled="f" stroked="f" strokeweight="-1.0pt">
                        <v:textbox id="857" inset="0mm,1.27mm,0mm,1.27mm" o:insetmode="custom" style="layout-flow:horizontal;v-text-anchor:top;">
                          <w:txbxContent>
                            <w:p>
                              <w:pPr>
                                <w:jc w:val="center"/>
                                <w:rPr>
                                  <w:rFonts w:hint="eastAsia"/>
                                  <w:lang w:eastAsia="zh-CN"/>
                                </w:rPr>
                              </w:pPr>
                              <w:r>
                                <w:rPr>
                                  <w:rFonts w:cs="Times New Roman" w:hint="eastAsia"/>
                                  <w:color w:val="auto"/>
                                  <w:kern w:val="2"/>
                                  <w:sz w:val="21"/>
                                  <w:szCs w:val="21"/>
                                  <w:lang w:val="en-US" w:eastAsia="zh-CN" w:bidi="ar-SA"/>
                                  <w:highlight w:val="none"/>
                                </w:rPr>
                                <w:t>定期清掏、不外排</w:t>
                              </w:r>
                            </w:p>
                          </w:txbxContent>
                        </v:textbox>
                        <v:stroke/>
                      </v:rect>
                      <v:rect type="#_x0000_t1" id="_s61" o:spid="_x0000_s61" style="position:absolute;left:7791;top:10316;width:1063;height:441;mso-wrap-style:square;" filled="f" stroked="f" strokeweight="-1.0pt">
                        <v:textbox id="858" inset="0mm,1.27mm,0mm,1.27mm" o:insetmode="custom" style="layout-flow:horizontal;v-text-anchor:top;">
                          <w:txbxContent>
                            <w:p>
                              <w:pPr>
                                <w:rPr>
                                  <w:rFonts w:eastAsia="宋体"/>
                                  <w:lang w:eastAsia="zh-CN"/>
                                </w:rPr>
                              </w:pPr>
                              <w:r>
                                <w:rPr>
                                  <w:rFonts w:hint="eastAsia"/>
                                  <w:lang w:val="en-US" w:eastAsia="zh-CN"/>
                                </w:rPr>
                                <w:t>0.</w:t>
                              </w:r>
                              <w:r>
                                <w:rPr>
                                  <w:lang w:eastAsia="zh-CN"/>
                                </w:rPr>
                                <w:t>35</w:t>
                              </w:r>
                            </w:p>
                          </w:txbxContent>
                        </v:textbox>
                        <v:stroke/>
                      </v:rect>
                    </v:group>
                  </w:pict>
                </mc:Fallback>
              </mc:AlternateContent>
            </w:r>
          </w:p>
          <w:p>
            <w:pPr>
              <w:pStyle w:val="65"/>
              <w:rPr>
                <w:color w:val="auto"/>
                <w:highlight w:val="none"/>
              </w:rPr>
            </w:pPr>
          </w:p>
          <w:p>
            <w:pPr>
              <w:pStyle w:val="65"/>
              <w:rPr>
                <w:color w:val="auto"/>
                <w:highlight w:val="none"/>
              </w:rPr>
            </w:pPr>
          </w:p>
          <w:p>
            <w:pPr>
              <w:pStyle w:val="65"/>
              <w:rPr>
                <w:color w:val="auto"/>
                <w:highlight w:val="none"/>
              </w:rPr>
            </w:pPr>
          </w:p>
          <w:p>
            <w:pPr>
              <w:pStyle w:val="65"/>
              <w:rPr>
                <w:color w:val="auto"/>
                <w:highlight w:val="none"/>
              </w:rPr>
            </w:pPr>
          </w:p>
          <w:p>
            <w:pPr>
              <w:spacing w:line="460" w:lineRule="exact"/>
              <w:jc w:val="center"/>
              <w:rPr>
                <w:rFonts w:hint="eastAsia"/>
                <w:b/>
                <w:bCs/>
                <w:color w:val="auto"/>
                <w:sz w:val="24"/>
                <w:highlight w:val="none"/>
              </w:rPr>
            </w:pPr>
          </w:p>
          <w:p>
            <w:pPr>
              <w:spacing w:line="460" w:lineRule="exact"/>
              <w:jc w:val="center"/>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center"/>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both"/>
              <w:rPr>
                <w:rFonts w:hint="eastAsia"/>
                <w:b/>
                <w:bCs/>
                <w:color w:val="auto"/>
                <w:sz w:val="24"/>
                <w:highlight w:val="none"/>
              </w:rPr>
            </w:pPr>
          </w:p>
          <w:p>
            <w:pPr>
              <w:spacing w:line="460" w:lineRule="exact"/>
              <w:jc w:val="center"/>
              <w:rPr>
                <w:rFonts w:eastAsia="宋体" w:hint="eastAsia"/>
                <w:b/>
                <w:bCs/>
                <w:color w:val="auto"/>
                <w:sz w:val="24"/>
                <w:lang w:eastAsia="zh-CN"/>
                <w:highlight w:val="none"/>
              </w:rPr>
            </w:pPr>
            <w:r>
              <w:rPr>
                <w:rFonts w:hint="eastAsia"/>
                <w:b/>
                <w:bCs/>
                <w:color w:val="auto"/>
                <w:sz w:val="24"/>
                <w:highlight w:val="none"/>
              </w:rPr>
              <w:t>图2-1  项目水量平衡图  单位：m</w:t>
            </w:r>
            <w:r>
              <w:rPr>
                <w:rFonts w:hint="eastAsia"/>
                <w:b/>
                <w:bCs/>
                <w:color w:val="auto"/>
                <w:sz w:val="24"/>
                <w:vertAlign w:val="superscript"/>
                <w:highlight w:val="none"/>
              </w:rPr>
              <w:t>3</w:t>
            </w:r>
            <w:r>
              <w:rPr>
                <w:rFonts w:hint="eastAsia"/>
                <w:b/>
                <w:bCs/>
                <w:color w:val="auto"/>
                <w:sz w:val="24"/>
                <w:highlight w:val="none"/>
              </w:rPr>
              <w:t>/</w:t>
            </w:r>
            <w:r>
              <w:rPr>
                <w:rFonts w:hint="eastAsia"/>
                <w:b/>
                <w:bCs/>
                <w:color w:val="auto"/>
                <w:sz w:val="24"/>
                <w:lang w:val="en-US" w:eastAsia="zh-CN"/>
                <w:highlight w:val="none"/>
              </w:rPr>
              <w:t>d</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（2）供电</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项目用电</w:t>
            </w:r>
            <w:r>
              <w:rPr>
                <w:rFonts w:hint="eastAsia"/>
                <w:color w:val="auto"/>
                <w:szCs w:val="21"/>
                <w:highlight w:val="none"/>
              </w:rPr>
              <w:t>由</w:t>
            </w:r>
            <w:r>
              <w:rPr>
                <w:rFonts w:hint="eastAsia"/>
                <w:color w:val="auto"/>
                <w:szCs w:val="21"/>
                <w:lang w:val="en-US" w:eastAsia="zh-CN"/>
                <w:highlight w:val="none"/>
              </w:rPr>
              <w:t>园区供电</w:t>
            </w:r>
            <w:r>
              <w:rPr>
                <w:rFonts w:hint="eastAsia"/>
                <w:color w:val="auto"/>
                <w:szCs w:val="21"/>
                <w:highlight w:val="none"/>
              </w:rPr>
              <w:t>管网提供</w:t>
            </w:r>
            <w:r>
              <w:rPr>
                <w:rFonts w:hint="eastAsia"/>
                <w:color w:val="auto"/>
                <w:highlight w:val="none"/>
              </w:rPr>
              <w:t>，项目年用电量</w:t>
            </w:r>
            <w:r>
              <w:rPr>
                <w:rFonts w:hint="eastAsia"/>
                <w:color w:val="auto"/>
                <w:lang w:val="en-US" w:eastAsia="zh-CN"/>
                <w:highlight w:val="none"/>
              </w:rPr>
              <w:t>1</w:t>
            </w:r>
            <w:r>
              <w:rPr>
                <w:rFonts w:hint="eastAsia"/>
                <w:color w:val="auto"/>
                <w:highlight w:val="none"/>
              </w:rPr>
              <w:t>万kW·h。</w:t>
            </w:r>
          </w:p>
          <w:p>
            <w:pPr>
              <w:pStyle w:val="56"/>
              <w:keepNext w:val="0"/>
              <w:keepLines w:val="0"/>
              <w:pageBreakBefore w:val="0"/>
              <w:widowControl w:val="0"/>
              <w:kinsoku/>
              <w:wordWrap/>
              <w:overflowPunct/>
              <w:topLinePunct w:val="0"/>
              <w:autoSpaceDE/>
              <w:autoSpaceDN/>
              <w:bidi w:val="0"/>
              <w:adjustRightInd w:val="0"/>
              <w:snapToGrid/>
              <w:rPr>
                <w:color w:val="auto"/>
                <w:highlight w:val="none"/>
              </w:rPr>
            </w:pPr>
            <w:r>
              <w:rPr>
                <w:rFonts w:hint="eastAsia"/>
                <w:color w:val="auto"/>
                <w:highlight w:val="none"/>
              </w:rPr>
              <w:t>（3）供热及制冷</w:t>
            </w:r>
          </w:p>
          <w:p>
            <w:pPr>
              <w:pStyle w:val="56"/>
              <w:keepNext w:val="0"/>
              <w:keepLines w:val="0"/>
              <w:pageBreakBefore w:val="0"/>
              <w:widowControl w:val="0"/>
              <w:kinsoku/>
              <w:wordWrap/>
              <w:overflowPunct/>
              <w:topLinePunct w:val="0"/>
              <w:autoSpaceDE/>
              <w:autoSpaceDN/>
              <w:bidi w:val="0"/>
              <w:adjustRightInd w:val="0"/>
              <w:snapToGrid/>
              <w:rPr>
                <w:rFonts w:hint="eastAsia"/>
                <w:color w:val="auto"/>
                <w:highlight w:val="none"/>
              </w:rPr>
            </w:pPr>
            <w:r>
              <w:rPr>
                <w:rFonts w:ascii="Times New Roman" w:eastAsia="宋体" w:cs="Times New Roman" w:hAnsi="Times New Roman" w:hint="eastAsia"/>
                <w:color w:val="auto"/>
                <w:lang w:val="en-US" w:eastAsia="zh-CN"/>
                <w:highlight w:val="none"/>
              </w:rPr>
              <w:t>项目生产</w:t>
            </w:r>
            <w:r>
              <w:rPr>
                <w:rFonts w:cs="Times New Roman" w:hint="eastAsia"/>
                <w:color w:val="auto"/>
                <w:lang w:val="en-US" w:eastAsia="zh-CN"/>
                <w:highlight w:val="none"/>
              </w:rPr>
              <w:t>用热由电能提供，</w:t>
            </w:r>
            <w:r>
              <w:rPr>
                <w:rFonts w:ascii="Times New Roman" w:eastAsia="宋体" w:cs="Times New Roman" w:hAnsi="Times New Roman" w:hint="eastAsia"/>
                <w:color w:val="auto"/>
                <w:lang w:val="en-US" w:eastAsia="zh-CN"/>
                <w:highlight w:val="none"/>
              </w:rPr>
              <w:t>职工冬季采暖</w:t>
            </w:r>
            <w:r>
              <w:rPr>
                <w:rFonts w:cs="Times New Roman" w:hint="eastAsia"/>
                <w:color w:val="auto"/>
                <w:lang w:val="en-US" w:eastAsia="zh-CN"/>
                <w:highlight w:val="none"/>
              </w:rPr>
              <w:t>、夏季制冷均</w:t>
            </w:r>
            <w:r>
              <w:rPr>
                <w:rFonts w:ascii="Times New Roman" w:eastAsia="宋体" w:cs="Times New Roman" w:hAnsi="Times New Roman" w:hint="eastAsia"/>
                <w:color w:val="auto"/>
                <w:lang w:val="en-US" w:eastAsia="zh-CN"/>
                <w:highlight w:val="none"/>
              </w:rPr>
              <w:t>由空调提供</w:t>
            </w:r>
            <w:r>
              <w:rPr>
                <w:rFonts w:hint="eastAsia"/>
                <w:color w:val="auto"/>
                <w:highlight w:val="none"/>
              </w:rPr>
              <w:t>。</w:t>
            </w:r>
          </w:p>
          <w:p>
            <w:pPr>
              <w:keepNext w:val="0"/>
              <w:keepLines w:val="0"/>
              <w:pageBreakBefore w:val="0"/>
              <w:widowControl w:val="0"/>
              <w:kinsoku/>
              <w:wordWrap/>
              <w:overflowPunct/>
              <w:topLinePunct w:val="0"/>
              <w:autoSpaceDE/>
              <w:autoSpaceDN/>
              <w:bidi w:val="0"/>
              <w:snapToGrid/>
              <w:spacing w:line="460" w:lineRule="exact"/>
              <w:ind w:firstLineChars="200" w:firstLine="480"/>
              <w:rPr>
                <w:rFonts w:hint="eastAsia"/>
                <w:color w:val="auto"/>
                <w:sz w:val="24"/>
                <w:lang w:val="en-US" w:eastAsia="zh-CN"/>
                <w:highlight w:val="none"/>
              </w:rPr>
            </w:pPr>
            <w:r>
              <w:rPr>
                <w:rFonts w:hint="eastAsia"/>
                <w:b/>
                <w:bCs/>
                <w:color w:val="auto"/>
                <w:sz w:val="24"/>
                <w:lang w:val="en-US" w:eastAsia="zh-CN"/>
                <w:highlight w:val="none"/>
              </w:rPr>
              <w:t>8</w:t>
            </w:r>
            <w:r>
              <w:rPr>
                <w:rFonts w:hint="eastAsia"/>
                <w:b/>
                <w:bCs/>
                <w:color w:val="auto"/>
                <w:sz w:val="24"/>
                <w:highlight w:val="none"/>
              </w:rPr>
              <w:t>、劳动定员及工作制度</w:t>
            </w:r>
          </w:p>
          <w:p>
            <w:pPr>
              <w:keepNext w:val="0"/>
              <w:keepLines w:val="0"/>
              <w:pageBreakBefore w:val="0"/>
              <w:widowControl w:val="0"/>
              <w:kinsoku/>
              <w:wordWrap/>
              <w:overflowPunct/>
              <w:topLinePunct w:val="0"/>
              <w:autoSpaceDE/>
              <w:autoSpaceDN/>
              <w:bidi w:val="0"/>
              <w:adjustRightInd/>
              <w:snapToGrid/>
              <w:spacing w:line="460" w:lineRule="exact"/>
              <w:ind w:left="0" w:firstLineChars="200" w:firstLine="480"/>
              <w:textAlignment w:val="auto"/>
              <w:rPr>
                <w:color w:val="auto"/>
                <w:sz w:val="24"/>
                <w:lang w:val="en-US" w:eastAsia="zh-CN"/>
                <w:highlight w:val="none"/>
              </w:rPr>
            </w:pPr>
            <w:r>
              <w:rPr>
                <w:rFonts w:hint="eastAsia"/>
                <w:color w:val="auto"/>
                <w:sz w:val="24"/>
                <w:lang w:val="en-US" w:eastAsia="zh-CN"/>
                <w:highlight w:val="none"/>
              </w:rPr>
              <w:t>本项目劳动定员</w:t>
            </w:r>
            <w:r>
              <w:rPr>
                <w:color w:val="auto"/>
                <w:sz w:val="24"/>
                <w:lang w:eastAsia="zh-CN"/>
                <w:highlight w:val="none"/>
              </w:rPr>
              <w:t>6</w:t>
            </w:r>
            <w:r>
              <w:rPr>
                <w:rFonts w:hint="eastAsia"/>
                <w:color w:val="auto"/>
                <w:sz w:val="24"/>
                <w:lang w:val="en-US" w:eastAsia="zh-CN"/>
                <w:highlight w:val="none"/>
              </w:rPr>
              <w:t>人，采用</w:t>
            </w:r>
            <w:r>
              <w:rPr>
                <w:color w:val="auto"/>
                <w:sz w:val="24"/>
                <w:lang w:eastAsia="zh-CN"/>
                <w:highlight w:val="none"/>
              </w:rPr>
              <w:t>2</w:t>
            </w:r>
            <w:r>
              <w:rPr>
                <w:rFonts w:hint="eastAsia"/>
                <w:color w:val="auto"/>
                <w:sz w:val="24"/>
                <w:lang w:val="en-US" w:eastAsia="zh-CN"/>
                <w:highlight w:val="none"/>
              </w:rPr>
              <w:t>班</w:t>
            </w:r>
            <w:r>
              <w:rPr>
                <w:rFonts w:hint="eastAsia"/>
                <w:color w:val="auto"/>
                <w:sz w:val="24"/>
                <w:lang w:val="en-US"/>
                <w:highlight w:val="none"/>
              </w:rPr>
              <w:t>制</w:t>
            </w:r>
            <w:r>
              <w:rPr>
                <w:color w:val="auto"/>
                <w:sz w:val="24"/>
                <w:highlight w:val="none"/>
              </w:rPr>
              <w:t>，</w:t>
            </w:r>
            <w:r>
              <w:rPr>
                <w:rFonts w:hint="eastAsia"/>
                <w:color w:val="auto"/>
                <w:sz w:val="24"/>
                <w:lang w:val="en-US"/>
                <w:highlight w:val="none"/>
              </w:rPr>
              <w:t>每班</w:t>
            </w:r>
            <w:r>
              <w:rPr>
                <w:color w:val="auto"/>
                <w:sz w:val="24"/>
                <w:lang w:eastAsia="zh-CN"/>
                <w:highlight w:val="none"/>
              </w:rPr>
              <w:t>12</w:t>
            </w:r>
            <w:r>
              <w:rPr>
                <w:rFonts w:hint="eastAsia"/>
                <w:color w:val="auto"/>
                <w:sz w:val="24"/>
                <w:lang w:val="en-US" w:eastAsia="zh-CN"/>
                <w:highlight w:val="none"/>
              </w:rPr>
              <w:t>小时工作制</w:t>
            </w:r>
            <w:r>
              <w:rPr>
                <w:color w:val="auto"/>
                <w:sz w:val="24"/>
                <w:lang w:val="en-US" w:eastAsia="zh-CN"/>
                <w:highlight w:val="none"/>
              </w:rPr>
              <w:t>，年工作300天。</w:t>
            </w:r>
            <w:r>
              <w:rPr>
                <w:rFonts w:hint="eastAsia"/>
                <w:color w:val="auto"/>
                <w:sz w:val="24"/>
                <w:lang w:val="en-US" w:eastAsia="zh-CN"/>
                <w:highlight w:val="none"/>
              </w:rPr>
              <w:t>本项目分批次进行废铅蓄电池的贮存和转运。</w:t>
            </w:r>
          </w:p>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auto"/>
                <w:sz w:val="24"/>
                <w:highlight w:val="none"/>
              </w:rPr>
            </w:pPr>
            <w:r>
              <w:rPr>
                <w:rFonts w:hint="eastAsia"/>
                <w:b/>
                <w:bCs/>
                <w:color w:val="auto"/>
                <w:sz w:val="24"/>
                <w:lang w:val="en-US" w:eastAsia="zh-CN"/>
                <w:highlight w:val="none"/>
              </w:rPr>
              <w:t>9</w:t>
            </w:r>
            <w:r>
              <w:rPr>
                <w:rFonts w:hint="eastAsia"/>
                <w:b/>
                <w:bCs/>
                <w:color w:val="auto"/>
                <w:sz w:val="24"/>
                <w:highlight w:val="none"/>
              </w:rPr>
              <w:t>、平面布置</w:t>
            </w:r>
          </w:p>
          <w:p>
            <w:pPr>
              <w:pStyle w:val="56"/>
              <w:keepNext w:val="0"/>
              <w:keepLines w:val="0"/>
              <w:pageBreakBefore w:val="0"/>
              <w:widowControl w:val="0"/>
              <w:kinsoku/>
              <w:wordWrap/>
              <w:overflowPunct/>
              <w:topLinePunct w:val="0"/>
              <w:autoSpaceDE/>
              <w:autoSpaceDN/>
              <w:bidi w:val="0"/>
              <w:adjustRightInd w:val="0"/>
              <w:snapToGrid/>
              <w:rPr>
                <w:rFonts w:ascii="宋体" w:cs="宋体" w:hAnsi="宋体" w:hint="eastAsia"/>
                <w:color w:val="auto"/>
                <w:highlight w:val="none"/>
              </w:rPr>
            </w:pPr>
            <w:r>
              <w:rPr>
                <w:rFonts w:ascii="Times New Roman" w:eastAsia="宋体" w:cs="Times New Roman" w:hAnsi="Times New Roman" w:hint="eastAsia"/>
                <w:color w:val="auto"/>
                <w:sz w:val="24"/>
                <w:lang w:val="en-US" w:eastAsia="zh-CN"/>
                <w:highlight w:val="none"/>
              </w:rPr>
              <w:t>本项目租赁闲置库房，改造后用于</w:t>
            </w:r>
            <w:r>
              <w:rPr>
                <w:rFonts w:cs="Times New Roman" w:hint="eastAsia"/>
                <w:color w:val="auto"/>
                <w:sz w:val="24"/>
                <w:lang w:val="en-US" w:eastAsia="zh-CN"/>
                <w:highlight w:val="none"/>
              </w:rPr>
              <w:t>废铅蓄电池</w:t>
            </w:r>
            <w:r>
              <w:rPr>
                <w:rFonts w:ascii="Times New Roman" w:eastAsia="宋体" w:cs="Times New Roman" w:hAnsi="Times New Roman" w:hint="eastAsia"/>
                <w:color w:val="auto"/>
                <w:sz w:val="24"/>
                <w:lang w:val="en-US" w:eastAsia="zh-CN"/>
                <w:highlight w:val="none"/>
              </w:rPr>
              <w:t>收集中转</w:t>
            </w:r>
            <w:r>
              <w:rPr>
                <w:rFonts w:hint="eastAsia"/>
                <w:color w:val="auto"/>
                <w:sz w:val="24"/>
                <w:lang w:val="en-US" w:eastAsia="zh-CN"/>
                <w:highlight w:val="none"/>
              </w:rPr>
              <w:t>。库房内分区域进行废电池的存放，破损电池单独存放在库房内西侧区域，配备碱液喷淋装置，同时库房内东北侧设有废液收集池，用于收集泄漏的废电解液。租赁的办公室位于租赁厂区（河北泽豪环保新材料科技有限公司）内</w:t>
            </w:r>
            <w:r>
              <w:rPr>
                <w:rFonts w:hint="eastAsia"/>
                <w:color w:val="auto"/>
                <w:highlight w:val="none"/>
              </w:rPr>
              <w:t>。项目厂区平面布置图见附图3。</w:t>
            </w:r>
          </w:p>
        </w:tc>
      </w:tr>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color w:val="auto"/>
                <w:szCs w:val="24"/>
                <w:highlight w:val="none"/>
              </w:rPr>
              <w:t>工艺流程和产排污环节</w:t>
            </w:r>
          </w:p>
        </w:tc>
        <w:tc>
          <w:tcPr>
            <w:tcW w:w="4602" w:type="pct"/>
            <w:tcBorders>
              <w:left w:val="single" w:sz="4" w:space="0" w:color="auto"/>
            </w:tcBorders>
            <w:vAlign w:val="center"/>
          </w:tcPr>
          <w:p>
            <w:pPr>
              <w:keepNext w:val="0"/>
              <w:keepLines w:val="0"/>
              <w:pageBreakBefore w:val="0"/>
              <w:kinsoku/>
              <w:wordWrap/>
              <w:overflowPunct/>
              <w:topLinePunct w:val="0"/>
              <w:autoSpaceDE/>
              <w:autoSpaceDN/>
              <w:bidi w:val="0"/>
              <w:adjustRightInd/>
              <w:snapToGrid/>
              <w:spacing w:line="460" w:lineRule="exact"/>
              <w:ind w:firstLineChars="200" w:firstLine="480"/>
              <w:textAlignment w:val="auto"/>
              <w:rPr>
                <w:b/>
                <w:bCs/>
                <w:color w:val="auto"/>
                <w:sz w:val="24"/>
                <w:highlight w:val="none"/>
              </w:rPr>
            </w:pPr>
            <w:r>
              <w:rPr>
                <w:rFonts w:hint="eastAsia"/>
                <w:b/>
                <w:bCs/>
                <w:color w:val="auto"/>
                <w:sz w:val="24"/>
                <w:highlight w:val="none"/>
              </w:rPr>
              <w:t>一、施工期工艺流程简述及产污环节</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lang w:val="zh-CN"/>
              </w:rPr>
            </w:pPr>
            <w:r>
              <w:rPr>
                <w:rFonts w:ascii="Times New Roman" w:eastAsia="宋体" w:cs="Times New Roman" w:hAnsi="Times New Roman" w:hint="eastAsia"/>
                <w:color w:val="auto"/>
                <w:sz w:val="24"/>
                <w:lang w:val="en-US" w:eastAsia="zh-CN"/>
                <w:highlight w:val="none"/>
              </w:rPr>
              <w:t>本项目租赁闲置库房并进行改造，地面做防渗防腐环氧地坪漆处理，铺设防轧实心橡胶地垫，配备电池存放铁箱和碱喷淋应急装置，安装24小时现场监控设备</w:t>
            </w:r>
            <w:r>
              <w:rPr>
                <w:rFonts w:hint="eastAsia"/>
                <w:color w:val="auto"/>
                <w:sz w:val="24"/>
                <w:szCs w:val="32"/>
                <w:highlight w:val="none"/>
              </w:rPr>
              <w:t>。施工期建设内容主要为导流沟槽切割施工、地面防渗防腐蚀处理及设备设施的安装调试。施工期污染源主要为</w:t>
            </w:r>
            <w:r>
              <w:rPr>
                <w:rFonts w:hint="eastAsia"/>
                <w:color w:val="auto"/>
                <w:sz w:val="24"/>
                <w:szCs w:val="32"/>
                <w:lang w:eastAsia="zh-CN"/>
                <w:highlight w:val="none"/>
              </w:rPr>
              <w:t>施工扬尘</w:t>
            </w:r>
            <w:r>
              <w:rPr>
                <w:rFonts w:hint="eastAsia"/>
                <w:color w:val="auto"/>
                <w:sz w:val="24"/>
                <w:szCs w:val="32"/>
                <w:highlight w:val="none"/>
              </w:rPr>
              <w:t>、施工机械噪声、装饰材料垃圾及施工人员生活污水、生活垃圾等。本项目施工过程全部在库房内进行，不涉及破坏沙区植被和野生动植物资源、造成土地沙化及水土流失行为。本项目施工期较短，其产生的污染随着施工的结束而消失</w:t>
            </w:r>
            <w:r>
              <w:rPr>
                <w:color w:val="auto"/>
                <w:sz w:val="24"/>
                <w:lang w:val="zh-CN"/>
                <w:highlight w:val="none"/>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460" w:lineRule="exact"/>
              <w:ind w:left="0" w:firstLineChars="200" w:firstLine="480"/>
              <w:rPr>
                <w:rFonts w:hint="eastAsia"/>
                <w:b/>
                <w:bCs/>
                <w:color w:val="auto"/>
                <w:sz w:val="24"/>
                <w:highlight w:val="none"/>
              </w:rPr>
            </w:pPr>
            <w:r>
              <w:rPr>
                <w:rFonts w:hint="eastAsia"/>
                <w:b/>
                <w:bCs/>
                <w:color w:val="auto"/>
                <w:sz w:val="24"/>
                <w:highlight w:val="none"/>
              </w:rPr>
              <w:t>运营期</w:t>
            </w:r>
            <w:r>
              <w:rPr>
                <w:rFonts w:hint="eastAsia"/>
                <w:b/>
                <w:bCs/>
                <w:color w:val="auto"/>
                <w:sz w:val="24"/>
                <w:lang w:eastAsia="zh-CN"/>
                <w:highlight w:val="none"/>
              </w:rPr>
              <w:t>贮存过程</w:t>
            </w:r>
            <w:r>
              <w:rPr>
                <w:rFonts w:hint="eastAsia"/>
                <w:b/>
                <w:bCs/>
                <w:color w:val="auto"/>
                <w:sz w:val="24"/>
                <w:highlight w:val="none"/>
              </w:rPr>
              <w:t>工艺流程简述及产污环节</w:t>
            </w:r>
          </w:p>
          <w:p>
            <w:pPr>
              <w:pStyle w:val="17"/>
              <w:keepNext w:val="0"/>
              <w:keepLines w:val="0"/>
              <w:pageBreakBefore w:val="0"/>
              <w:widowControl/>
              <w:tabs>
                <w:tab w:val="left" w:pos="3024"/>
              </w:tabs>
              <w:kinsoku/>
              <w:wordWrap/>
              <w:overflowPunct/>
              <w:topLinePunct w:val="0"/>
              <w:autoSpaceDE/>
              <w:autoSpaceDN/>
              <w:bidi w:val="0"/>
              <w:adjustRightInd/>
              <w:snapToGrid/>
              <w:spacing w:line="240" w:lineRule="auto"/>
              <w:ind w:firstLineChars="200" w:firstLine="560"/>
              <w:textAlignment w:val="auto"/>
              <w:rPr>
                <w:rFonts w:ascii="Times New Roman" w:eastAsia="宋体" w:cs="Times New Roman" w:hAnsi="Times New Roman" w:hint="eastAsia"/>
                <w:color w:val="auto"/>
                <w:sz w:val="24"/>
                <w:lang w:eastAsia="zh-CN"/>
                <w:highlight w:val="none"/>
              </w:rPr>
            </w:pPr>
            <w:r>
              <w:rPr>
                <w:color w:val="auto"/>
                <w:sz w:val="28"/>
              </w:rPr>
              <mc:AlternateContent>
                <mc:Choice Requires="wps">
                  <w:drawing>
                    <wp:anchor distT="0" distB="0" distL="114300" distR="114300" simplePos="0" relativeHeight="204" behindDoc="0" locked="0" layoutInCell="1" hidden="0" allowOverlap="1">
                      <wp:simplePos x="0" y="0"/>
                      <wp:positionH relativeFrom="column">
                        <wp:posOffset>1741170</wp:posOffset>
                      </wp:positionH>
                      <wp:positionV relativeFrom="paragraph">
                        <wp:posOffset>90170</wp:posOffset>
                      </wp:positionV>
                      <wp:extent cx="2698750" cy="4231686"/>
                      <wp:effectExtent l="5080" t="0" r="0" b="5080"/>
                      <wp:wrapNone/>
                      <wp:docPr id="159" name="组合 159"/>
                      <wp:cNvGraphicFramePr>
                        <a:graphicFrameLocks noChangeAspect="0"/>
                      </wp:cNvGraphicFramePr>
                      <a:graphic>
                        <a:graphicData uri="http://schemas.microsoft.com/office/word/2010/wordprocessingGroup">
                          <wpg:wgp>
                            <wpg:cNvPr id="62" name="组合 62"/>
                            <wpg:cNvGrpSpPr/>
                            <wpg:grpSpPr>
                              <a:xfrm rot="0">
                                <a:off x="0" y="0"/>
                                <a:ext cx="2698750" cy="4231686"/>
                                <a:chOff x="0" y="0"/>
                                <a:chExt cx="2698750" cy="4231686"/>
                              </a:xfrm>
                              <a:prstGeom prst="rect"/>
                              <a:solidFill>
                                <a:srgbClr val="FFFFFF"/>
                              </a:solidFill>
                              <a:ln w="9525" cmpd="sng" cap="flat">
                                <a:solidFill>
                                  <a:srgbClr val="000000"/>
                                </a:solidFill>
                                <a:prstDash val="solid"/>
                                <a:miter/>
                              </a:ln>
                            </wpg:grpSpPr>
                            <wps:wsp>
                              <wps:cNvPr id="63" name="文本框 137 63"/>
                              <wps:cNvSpPr/>
                              <wps:spPr>
                                <a:xfrm rot="0">
                                  <a:off x="384174" y="2361637"/>
                                  <a:ext cx="661670" cy="297823"/>
                                </a:xfrm>
                                <a:prstGeom prst="rect"/>
                                <a:noFill/>
                                <a:ln cmpd="sng" cap="flat">
                                  <a:noFill/>
                                  <a:prstDash val="solid"/>
                                  <a:round/>
                                </a:ln>
                              </wps:spPr>
                              <wps:txbx id="64">
                                <w:txbxContent>
                                  <w:p>
                                    <w:pPr>
                                      <w:jc w:val="center"/>
                                      <w:rPr>
                                        <w:rFonts w:eastAsia="宋体" w:hint="eastAsia"/>
                                        <w:lang w:eastAsia="zh-CN"/>
                                      </w:rPr>
                                    </w:pPr>
                                    <w:r>
                                      <w:rPr>
                                        <w:rFonts w:hint="eastAsia"/>
                                        <w:lang w:eastAsia="zh-CN"/>
                                      </w:rPr>
                                      <w:t>完整</w:t>
                                    </w:r>
                                  </w:p>
                                </w:txbxContent>
                              </wps:txbx>
                              <wps:bodyPr vert="horz" wrap="square" lIns="91440" tIns="45720" rIns="91440" bIns="45720" anchor="t" anchorCtr="0" upright="1">
                                <a:noAutofit/>
                              </wps:bodyPr>
                            </wps:wsp>
                            <wps:wsp>
                              <wps:cNvPr id="65" name="文本框 131 65"/>
                              <wps:cNvSpPr/>
                              <wps:spPr>
                                <a:xfrm rot="0">
                                  <a:off x="567689" y="0"/>
                                  <a:ext cx="1097280" cy="281949"/>
                                </a:xfrm>
                                <a:prstGeom prst="rect"/>
                                <a:noFill/>
                                <a:ln cmpd="sng" cap="flat">
                                  <a:noFill/>
                                  <a:prstDash val="solid"/>
                                  <a:round/>
                                </a:ln>
                              </wps:spPr>
                              <wps:txbx id="66">
                                <w:txbxContent>
                                  <w:p>
                                    <w:pPr>
                                      <w:jc w:val="center"/>
                                      <w:rPr>
                                        <w:rFonts w:eastAsia="宋体" w:hint="eastAsia"/>
                                        <w:lang w:eastAsia="zh-CN"/>
                                      </w:rPr>
                                    </w:pPr>
                                    <w:r>
                                      <w:rPr>
                                        <w:rFonts w:hint="eastAsia"/>
                                        <w:lang w:eastAsia="zh-CN"/>
                                      </w:rPr>
                                      <w:t>废旧铅酸蓄电池</w:t>
                                    </w:r>
                                  </w:p>
                                </w:txbxContent>
                              </wps:txbx>
                              <wps:bodyPr vert="horz" wrap="square" lIns="91440" tIns="45720" rIns="91440" bIns="45720" anchor="t" anchorCtr="0" upright="1">
                                <a:noAutofit/>
                              </wps:bodyPr>
                            </wps:wsp>
                            <wps:wsp>
                              <wps:cNvPr id="67" name="直接箭头连接符 138 67"/>
                              <wps:cNvSpPr/>
                              <wps:spPr>
                                <a:xfrm rot="0">
                                  <a:off x="1116330" y="270551"/>
                                  <a:ext cx="6350" cy="351167"/>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68" name="文本框 149 68"/>
                              <wps:cNvSpPr/>
                              <wps:spPr>
                                <a:xfrm rot="0">
                                  <a:off x="446405" y="635055"/>
                                  <a:ext cx="1334770" cy="297177"/>
                                </a:xfrm>
                                <a:prstGeom prst="rect"/>
                                <a:noFill/>
                                <a:ln w="9525" cmpd="sng" cap="flat">
                                  <a:solidFill>
                                    <a:srgbClr val="000000"/>
                                  </a:solidFill>
                                  <a:prstDash val="solid"/>
                                  <a:miter/>
                                </a:ln>
                              </wps:spPr>
                              <wps:txbx id="69">
                                <w:txbxContent>
                                  <w:p>
                                    <w:pPr>
                                      <w:jc w:val="center"/>
                                      <w:rPr>
                                        <w:rFonts w:eastAsia="宋体" w:hint="eastAsia"/>
                                        <w:lang w:eastAsia="zh-CN"/>
                                      </w:rPr>
                                    </w:pPr>
                                    <w:r>
                                      <w:rPr>
                                        <w:rFonts w:hint="eastAsia"/>
                                        <w:lang w:eastAsia="zh-CN"/>
                                      </w:rPr>
                                      <w:t>过磅、检查和记录</w:t>
                                    </w:r>
                                  </w:p>
                                </w:txbxContent>
                              </wps:txbx>
                              <wps:bodyPr vert="horz" wrap="square" lIns="91440" tIns="45720" rIns="91440" bIns="45720" anchor="t" anchorCtr="0" upright="1">
                                <a:noAutofit/>
                              </wps:bodyPr>
                            </wps:wsp>
                            <wps:wsp>
                              <wps:cNvPr id="70" name="直接箭头连接符 148 70"/>
                              <wps:cNvSpPr/>
                              <wps:spPr>
                                <a:xfrm rot="0">
                                  <a:off x="1118235" y="932232"/>
                                  <a:ext cx="6350" cy="235572"/>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1" name="文本框 147 71"/>
                              <wps:cNvSpPr/>
                              <wps:spPr>
                                <a:xfrm rot="0">
                                  <a:off x="593724" y="1183679"/>
                                  <a:ext cx="1034415" cy="289563"/>
                                </a:xfrm>
                                <a:prstGeom prst="rect"/>
                                <a:noFill/>
                                <a:ln w="9525" cmpd="sng" cap="flat">
                                  <a:solidFill>
                                    <a:srgbClr val="000000"/>
                                  </a:solidFill>
                                  <a:prstDash val="solid"/>
                                  <a:miter/>
                                </a:ln>
                              </wps:spPr>
                              <wps:txbx id="72">
                                <w:txbxContent>
                                  <w:p>
                                    <w:pPr>
                                      <w:jc w:val="center"/>
                                      <w:rPr>
                                        <w:rFonts w:eastAsia="宋体" w:hint="eastAsia"/>
                                        <w:lang w:eastAsia="zh-CN"/>
                                      </w:rPr>
                                    </w:pPr>
                                    <w:r>
                                      <w:rPr>
                                        <w:rFonts w:hint="eastAsia"/>
                                        <w:lang w:eastAsia="zh-CN"/>
                                      </w:rPr>
                                      <w:t>转运至库房</w:t>
                                    </w:r>
                                  </w:p>
                                </w:txbxContent>
                              </wps:txbx>
                              <wps:bodyPr vert="horz" wrap="square" lIns="91440" tIns="45720" rIns="91440" bIns="45720" anchor="t" anchorCtr="0" upright="1">
                                <a:noAutofit/>
                              </wps:bodyPr>
                            </wps:wsp>
                            <wps:wsp>
                              <wps:cNvPr id="73" name="直接箭头连接符 146 73"/>
                              <wps:cNvSpPr/>
                              <wps:spPr>
                                <a:xfrm flipH="1" rot="21600000">
                                  <a:off x="1108710" y="1473243"/>
                                  <a:ext cx="2539" cy="466069"/>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4" name="文本框 145 74"/>
                              <wps:cNvSpPr/>
                              <wps:spPr>
                                <a:xfrm rot="0">
                                  <a:off x="785495" y="1939359"/>
                                  <a:ext cx="645795" cy="289563"/>
                                </a:xfrm>
                                <a:prstGeom prst="rect"/>
                                <a:noFill/>
                                <a:ln w="9525" cmpd="sng" cap="flat">
                                  <a:solidFill>
                                    <a:srgbClr val="000000"/>
                                  </a:solidFill>
                                  <a:prstDash val="solid"/>
                                  <a:miter/>
                                </a:ln>
                              </wps:spPr>
                              <wps:txbx id="75">
                                <w:txbxContent>
                                  <w:p>
                                    <w:pPr>
                                      <w:jc w:val="center"/>
                                      <w:rPr>
                                        <w:rFonts w:eastAsia="宋体" w:hint="eastAsia"/>
                                        <w:lang w:eastAsia="zh-CN"/>
                                      </w:rPr>
                                    </w:pPr>
                                    <w:r>
                                      <w:rPr>
                                        <w:rFonts w:hint="eastAsia"/>
                                        <w:lang w:eastAsia="zh-CN"/>
                                      </w:rPr>
                                      <w:t>分类</w:t>
                                    </w:r>
                                  </w:p>
                                </w:txbxContent>
                              </wps:txbx>
                              <wps:bodyPr vert="horz" wrap="square" lIns="91440" tIns="45720" rIns="91440" bIns="45720" anchor="t" anchorCtr="0" upright="1">
                                <a:noAutofit/>
                              </wps:bodyPr>
                            </wps:wsp>
                            <wps:wsp>
                              <wps:cNvPr id="76" name="直接箭头连接符 144 76"/>
                              <wps:cNvSpPr/>
                              <wps:spPr>
                                <a:xfrm rot="0">
                                  <a:off x="1105535" y="2228922"/>
                                  <a:ext cx="6349" cy="35116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7" name="直接连接符 143 77"/>
                              <wps:cNvSpPr/>
                              <wps:spPr>
                                <a:xfrm rot="0">
                                  <a:off x="410209" y="2593380"/>
                                  <a:ext cx="1428750" cy="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78" name="直接箭头连接符 38 78"/>
                              <wps:cNvSpPr/>
                              <wps:spPr>
                                <a:xfrm rot="0">
                                  <a:off x="427354" y="2591488"/>
                                  <a:ext cx="6350" cy="351167"/>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79" name="直接箭头连接符 139 79"/>
                              <wps:cNvSpPr/>
                              <wps:spPr>
                                <a:xfrm rot="0">
                                  <a:off x="1840230" y="2599102"/>
                                  <a:ext cx="6350" cy="351168"/>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0" name="文本框 142 80"/>
                              <wps:cNvSpPr/>
                              <wps:spPr>
                                <a:xfrm rot="0">
                                  <a:off x="0" y="2941410"/>
                                  <a:ext cx="850900" cy="289563"/>
                                </a:xfrm>
                                <a:prstGeom prst="rect"/>
                                <a:noFill/>
                                <a:ln w="9525" cmpd="sng" cap="flat">
                                  <a:solidFill>
                                    <a:srgbClr val="000000"/>
                                  </a:solidFill>
                                  <a:prstDash val="solid"/>
                                  <a:miter/>
                                </a:ln>
                              </wps:spPr>
                              <wps:txbx id="81">
                                <w:txbxContent>
                                  <w:p>
                                    <w:pPr>
                                      <w:jc w:val="center"/>
                                      <w:rPr>
                                        <w:rFonts w:eastAsia="宋体" w:hint="eastAsia"/>
                                        <w:lang w:eastAsia="zh-CN"/>
                                      </w:rPr>
                                    </w:pPr>
                                    <w:r>
                                      <w:rPr>
                                        <w:rFonts w:hint="eastAsia"/>
                                        <w:lang w:eastAsia="zh-CN"/>
                                      </w:rPr>
                                      <w:t>堆码贮存</w:t>
                                    </w:r>
                                  </w:p>
                                </w:txbxContent>
                              </wps:txbx>
                              <wps:bodyPr vert="horz" wrap="square" lIns="91440" tIns="45720" rIns="91440" bIns="45720" anchor="t" anchorCtr="0" upright="1">
                                <a:noAutofit/>
                              </wps:bodyPr>
                            </wps:wsp>
                            <wps:wsp>
                              <wps:cNvPr id="82" name="文本框 135 82"/>
                              <wps:cNvSpPr/>
                              <wps:spPr>
                                <a:xfrm rot="0">
                                  <a:off x="1369060" y="2950870"/>
                                  <a:ext cx="921385" cy="289563"/>
                                </a:xfrm>
                                <a:prstGeom prst="rect"/>
                                <a:noFill/>
                                <a:ln w="9525" cmpd="sng" cap="flat">
                                  <a:solidFill>
                                    <a:srgbClr val="000000"/>
                                  </a:solidFill>
                                  <a:prstDash val="solid"/>
                                  <a:miter/>
                                </a:ln>
                              </wps:spPr>
                              <wps:txbx id="83">
                                <w:txbxContent>
                                  <w:p>
                                    <w:pPr>
                                      <w:jc w:val="center"/>
                                      <w:rPr>
                                        <w:rFonts w:eastAsia="宋体" w:hint="eastAsia"/>
                                        <w:lang w:eastAsia="zh-CN"/>
                                      </w:rPr>
                                    </w:pPr>
                                    <w:r>
                                      <w:rPr>
                                        <w:rFonts w:hint="eastAsia"/>
                                        <w:lang w:eastAsia="zh-CN"/>
                                      </w:rPr>
                                      <w:t>独立贮存间</w:t>
                                    </w:r>
                                  </w:p>
                                </w:txbxContent>
                              </wps:txbx>
                              <wps:bodyPr vert="horz" wrap="square" lIns="91440" tIns="45720" rIns="91440" bIns="45720" anchor="t" anchorCtr="0" upright="1">
                                <a:noAutofit/>
                              </wps:bodyPr>
                            </wps:wsp>
                            <wps:wsp>
                              <wps:cNvPr id="84" name="直接箭头连接符 141 84"/>
                              <wps:cNvSpPr/>
                              <wps:spPr>
                                <a:xfrm rot="0">
                                  <a:off x="1834515" y="3243617"/>
                                  <a:ext cx="6350" cy="351167"/>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5" name="文本框 136 85"/>
                              <wps:cNvSpPr/>
                              <wps:spPr>
                                <a:xfrm rot="0">
                                  <a:off x="1202689" y="2361637"/>
                                  <a:ext cx="661670" cy="297823"/>
                                </a:xfrm>
                                <a:prstGeom prst="rect"/>
                                <a:noFill/>
                                <a:ln cmpd="sng" cap="flat">
                                  <a:noFill/>
                                  <a:prstDash val="solid"/>
                                  <a:round/>
                                </a:ln>
                              </wps:spPr>
                              <wps:txbx id="86">
                                <w:txbxContent>
                                  <w:p>
                                    <w:pPr>
                                      <w:jc w:val="center"/>
                                      <w:rPr>
                                        <w:rFonts w:eastAsia="宋体" w:hint="eastAsia"/>
                                        <w:lang w:eastAsia="zh-CN"/>
                                      </w:rPr>
                                    </w:pPr>
                                    <w:r>
                                      <w:rPr>
                                        <w:rFonts w:hint="eastAsia"/>
                                        <w:lang w:eastAsia="zh-CN"/>
                                      </w:rPr>
                                      <w:t>破损</w:t>
                                    </w:r>
                                  </w:p>
                                </w:txbxContent>
                              </wps:txbx>
                              <wps:bodyPr vert="horz" wrap="square" lIns="91440" tIns="45720" rIns="91440" bIns="45720" anchor="t" anchorCtr="0" upright="1">
                                <a:noAutofit/>
                              </wps:bodyPr>
                            </wps:wsp>
                            <wps:wsp>
                              <wps:cNvPr id="87" name="直接箭头连接符 140 87"/>
                              <wps:cNvSpPr/>
                              <wps:spPr>
                                <a:xfrm flipH="1" rot="21600000">
                                  <a:off x="424179" y="3230927"/>
                                  <a:ext cx="1269" cy="344799"/>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8" name="直接箭头连接符 133 88"/>
                              <wps:cNvSpPr/>
                              <wps:spPr>
                                <a:xfrm rot="0">
                                  <a:off x="1113790" y="3578957"/>
                                  <a:ext cx="6349" cy="351167"/>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89" name="直接连接符 134 89"/>
                              <wps:cNvSpPr/>
                              <wps:spPr>
                                <a:xfrm rot="0">
                                  <a:off x="420369" y="3587171"/>
                                  <a:ext cx="1428750" cy="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0" name="文本框 132 90"/>
                              <wps:cNvSpPr/>
                              <wps:spPr>
                                <a:xfrm rot="0">
                                  <a:off x="694055" y="3942122"/>
                                  <a:ext cx="850900" cy="289563"/>
                                </a:xfrm>
                                <a:prstGeom prst="rect"/>
                                <a:noFill/>
                                <a:ln w="9525" cmpd="sng" cap="flat">
                                  <a:solidFill>
                                    <a:srgbClr val="000000"/>
                                  </a:solidFill>
                                  <a:prstDash val="solid"/>
                                  <a:miter/>
                                </a:ln>
                              </wps:spPr>
                              <wps:txbx id="91">
                                <w:txbxContent>
                                  <w:p>
                                    <w:pPr>
                                      <w:jc w:val="center"/>
                                      <w:rPr>
                                        <w:rFonts w:eastAsia="宋体" w:hint="eastAsia"/>
                                        <w:lang w:eastAsia="zh-CN"/>
                                      </w:rPr>
                                    </w:pPr>
                                    <w:r>
                                      <w:rPr>
                                        <w:rFonts w:hint="eastAsia"/>
                                        <w:lang w:eastAsia="zh-CN"/>
                                      </w:rPr>
                                      <w:t>装车</w:t>
                                    </w:r>
                                  </w:p>
                                </w:txbxContent>
                              </wps:txbx>
                              <wps:bodyPr vert="horz" wrap="square" lIns="91440" tIns="45720" rIns="91440" bIns="45720" anchor="t" anchorCtr="0" upright="1">
                                <a:noAutofit/>
                              </wps:bodyPr>
                            </wps:wsp>
                            <wps:wsp>
                              <wps:cNvPr id="92" name="文本框 155 92"/>
                              <wps:cNvSpPr/>
                              <wps:spPr>
                                <a:xfrm rot="0">
                                  <a:off x="1680210" y="2420011"/>
                                  <a:ext cx="1018539" cy="297823"/>
                                </a:xfrm>
                                <a:prstGeom prst="rect"/>
                                <a:noFill/>
                                <a:ln cmpd="sng" cap="flat">
                                  <a:noFill/>
                                  <a:prstDash val="solid"/>
                                  <a:round/>
                                </a:ln>
                              </wps:spPr>
                              <wps:txbx id="93">
                                <w:txbxContent>
                                  <w:p>
                                    <w:pPr>
                                      <w:jc w:val="center"/>
                                      <w:rPr>
                                        <w:rFonts w:eastAsia="宋体"/>
                                        <w:lang w:val="en-US" w:eastAsia="zh-CN"/>
                                      </w:rPr>
                                    </w:pPr>
                                    <w:r>
                                      <w:rPr>
                                        <w:rFonts w:hint="eastAsia"/>
                                        <w:lang w:val="en-US" w:eastAsia="zh-CN"/>
                                      </w:rPr>
                                      <w:t>G、N、S</w:t>
                                    </w:r>
                                  </w:p>
                                </w:txbxContent>
                              </wps:txbx>
                              <wps:bodyPr vert="horz" wrap="square" lIns="91440" tIns="45720" rIns="91440" bIns="45720" anchor="t" anchorCtr="0" upright="1">
                                <a:noAutofit/>
                              </wps:bodyPr>
                            </wps:wsp>
                            <wps:wsp>
                              <wps:cNvPr id="94" name="直接箭头连接符 154 94"/>
                              <wps:cNvSpPr/>
                              <wps:spPr>
                                <a:xfrm flipH="1" flipV="1" rot="0">
                                  <a:off x="2099310" y="2654985"/>
                                  <a:ext cx="2539" cy="292747"/>
                                </a:xfrm>
                                <a:prstGeom prst="straightConnector1"/>
                                <a:noFill/>
                                <a:ln w="9525" cmpd="sng" cap="flat">
                                  <a:solidFill>
                                    <a:srgbClr val="000000"/>
                                  </a:solidFill>
                                  <a:prstDash val="dash"/>
                                  <a:round/>
                                  <a:tailEnd type="triangle" w="med" len="med"/>
                                </a:ln>
                              </wps:spPr>
                              <wps:bodyPr vert="horz" wrap="square" lIns="91440" tIns="45720" rIns="91440" bIns="45720" anchor="t" anchorCtr="0" upright="0">
                                <a:noAutofit/>
                              </wps:bodyPr>
                            </wps:wsp>
                            <wps:wsp>
                              <wps:cNvPr id="95" name="直接箭头连接符 156 95"/>
                              <wps:cNvSpPr/>
                              <wps:spPr>
                                <a:xfrm flipV="1" rot="21600000">
                                  <a:off x="1339215" y="1699956"/>
                                  <a:ext cx="0" cy="229851"/>
                                </a:xfrm>
                                <a:prstGeom prst="straightConnector1"/>
                                <a:noFill/>
                                <a:ln w="9525" cmpd="sng" cap="flat">
                                  <a:solidFill>
                                    <a:srgbClr val="000000"/>
                                  </a:solidFill>
                                  <a:prstDash val="dash"/>
                                  <a:round/>
                                  <a:tailEnd type="triangle" w="med" len="med"/>
                                </a:ln>
                              </wps:spPr>
                              <wps:bodyPr vert="horz" wrap="square" lIns="91440" tIns="45720" rIns="91440" bIns="45720" anchor="t" anchorCtr="0" upright="0">
                                <a:noAutofit/>
                              </wps:bodyPr>
                            </wps:wsp>
                            <wps:wsp>
                              <wps:cNvPr id="96" name="文本框 157 96"/>
                              <wps:cNvSpPr/>
                              <wps:spPr>
                                <a:xfrm rot="0">
                                  <a:off x="905509" y="1479610"/>
                                  <a:ext cx="1018540" cy="297823"/>
                                </a:xfrm>
                                <a:prstGeom prst="rect"/>
                                <a:noFill/>
                                <a:ln cmpd="sng" cap="flat">
                                  <a:noFill/>
                                  <a:prstDash val="solid"/>
                                  <a:round/>
                                </a:ln>
                              </wps:spPr>
                              <wps:txbx id="97">
                                <w:txbxContent>
                                  <w:p>
                                    <w:pPr>
                                      <w:jc w:val="center"/>
                                      <w:rPr>
                                        <w:rFonts w:eastAsia="宋体"/>
                                        <w:lang w:val="en-US" w:eastAsia="zh-CN"/>
                                      </w:rPr>
                                    </w:pPr>
                                    <w:r>
                                      <w:rPr>
                                        <w:rFonts w:hint="eastAsia"/>
                                        <w:lang w:val="en-US" w:eastAsia="zh-CN"/>
                                      </w:rPr>
                                      <w:t>G、S</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59" o:spid="_x0000_s98" coordorigin="4997,8779" coordsize="4250,6664" style="position:absolute;margin-left:137.1pt;margin-top:7.1000004pt;width:212.5pt;height:333.2036pt;z-index:204;mso-position-horizontal:absolute;mso-position-vertical:absolute;">
                      <v:rect type="#_x0000_t1" id="_s99" o:spid="_x0000_s99" style="position:absolute;left:5602;top:12498;width:1042;height:469;mso-wrap-style:square;" filled="f" stroked="f" strokeweight="-1.0pt">
                        <v:textbox id="859" inset="2.54mm,1.27mm,2.54mm,1.27mm" o:insetmode="custom" style="layout-flow:horizontal;v-text-anchor:top;">
                          <w:txbxContent>
                            <w:p>
                              <w:pPr>
                                <w:jc w:val="center"/>
                                <w:rPr>
                                  <w:rFonts w:eastAsia="宋体" w:hint="eastAsia"/>
                                  <w:lang w:eastAsia="zh-CN"/>
                                </w:rPr>
                              </w:pPr>
                              <w:r>
                                <w:rPr>
                                  <w:rFonts w:hint="eastAsia"/>
                                  <w:lang w:eastAsia="zh-CN"/>
                                </w:rPr>
                                <w:t>完整</w:t>
                              </w:r>
                            </w:p>
                          </w:txbxContent>
                        </v:textbox>
                        <v:stroke/>
                      </v:rect>
                      <v:rect type="#_x0000_t1" id="_s100" o:spid="_x0000_s100" style="position:absolute;left:5891;top:8779;width:1728;height:444;mso-wrap-style:square;" filled="f" stroked="f" strokeweight="-1.0pt">
                        <v:textbox id="860" inset="2.54mm,1.27mm,2.54mm,1.27mm" o:insetmode="custom" style="layout-flow:horizontal;v-text-anchor:top;">
                          <w:txbxContent>
                            <w:p>
                              <w:pPr>
                                <w:jc w:val="center"/>
                                <w:rPr>
                                  <w:rFonts w:eastAsia="宋体" w:hint="eastAsia"/>
                                  <w:lang w:eastAsia="zh-CN"/>
                                </w:rPr>
                              </w:pPr>
                              <w:r>
                                <w:rPr>
                                  <w:rFonts w:hint="eastAsia"/>
                                  <w:lang w:eastAsia="zh-CN"/>
                                </w:rPr>
                                <w:t>废旧铅酸蓄电池</w:t>
                              </w:r>
                            </w:p>
                          </w:txbxContent>
                        </v:textbox>
                        <v:stroke/>
                      </v:rect>
                      <v:shape type="#_x0000_t32" id="直接箭头连接符 138 67" o:spid="_x0000_s101" style="position:absolute;left:6755;top:9205;width:10;height:553;" filled="f" stroked="t">
                        <v:stroke color="#000000" endarrow="block"/>
                      </v:shape>
                      <v:rect type="#_x0000_t1" id="_s102" o:spid="_x0000_s102" style="position:absolute;left:5700;top:9779;width:2102;height:467;mso-wrap-style:square;" filled="f" stroked="t">
                        <v:textbox id="861" inset="2.54mm,1.27mm,2.54mm,1.27mm" o:insetmode="custom" style="layout-flow:horizontal;v-text-anchor:top;">
                          <w:txbxContent>
                            <w:p>
                              <w:pPr>
                                <w:jc w:val="center"/>
                                <w:rPr>
                                  <w:rFonts w:eastAsia="宋体" w:hint="eastAsia"/>
                                  <w:lang w:eastAsia="zh-CN"/>
                                </w:rPr>
                              </w:pPr>
                              <w:r>
                                <w:rPr>
                                  <w:rFonts w:hint="eastAsia"/>
                                  <w:lang w:eastAsia="zh-CN"/>
                                </w:rPr>
                                <w:t>过磅、检查和记录</w:t>
                              </w:r>
                            </w:p>
                          </w:txbxContent>
                        </v:textbox>
                        <v:stroke color="#000000"/>
                      </v:rect>
                      <v:shape type="#_x0000_t32" id="直接箭头连接符 148 70" o:spid="_x0000_s103" style="position:absolute;left:6758;top:10247;width:10;height:371;" filled="f" stroked="t">
                        <v:stroke color="#000000" endarrow="block"/>
                      </v:shape>
                      <v:rect type="#_x0000_t1" id="_s104" o:spid="_x0000_s104" style="position:absolute;left:5932;top:10643;width:1629;height:456;mso-wrap-style:square;" filled="f" stroked="t">
                        <v:textbox id="862" inset="2.54mm,1.27mm,2.54mm,1.27mm" o:insetmode="custom" style="layout-flow:horizontal;v-text-anchor:top;">
                          <w:txbxContent>
                            <w:p>
                              <w:pPr>
                                <w:jc w:val="center"/>
                                <w:rPr>
                                  <w:rFonts w:eastAsia="宋体" w:hint="eastAsia"/>
                                  <w:lang w:eastAsia="zh-CN"/>
                                </w:rPr>
                              </w:pPr>
                              <w:r>
                                <w:rPr>
                                  <w:rFonts w:hint="eastAsia"/>
                                  <w:lang w:eastAsia="zh-CN"/>
                                </w:rPr>
                                <w:t>转运至库房</w:t>
                              </w:r>
                            </w:p>
                          </w:txbxContent>
                        </v:textbox>
                        <v:stroke color="#000000"/>
                      </v:rect>
                      <v:shape type="#_x0000_t32" id="直接箭头连接符 146 73" o:spid="_x0000_s105" style="position:absolute;left:6743;top:11099;width:4;height:734;flip:x;" filled="f" stroked="t">
                        <v:stroke color="#000000" endarrow="block"/>
                      </v:shape>
                      <v:rect type="#_x0000_t1" id="_s106" o:spid="_x0000_s106" style="position:absolute;left:6234;top:11833;width:1017;height:456;mso-wrap-style:square;" filled="f" stroked="t">
                        <v:textbox id="863" inset="2.54mm,1.27mm,2.54mm,1.27mm" o:insetmode="custom" style="layout-flow:horizontal;v-text-anchor:top;">
                          <w:txbxContent>
                            <w:p>
                              <w:pPr>
                                <w:jc w:val="center"/>
                                <w:rPr>
                                  <w:rFonts w:eastAsia="宋体" w:hint="eastAsia"/>
                                  <w:lang w:eastAsia="zh-CN"/>
                                </w:rPr>
                              </w:pPr>
                              <w:r>
                                <w:rPr>
                                  <w:rFonts w:hint="eastAsia"/>
                                  <w:lang w:eastAsia="zh-CN"/>
                                </w:rPr>
                                <w:t>分类</w:t>
                              </w:r>
                            </w:p>
                          </w:txbxContent>
                        </v:textbox>
                        <v:stroke color="#000000"/>
                      </v:rect>
                      <v:shape type="#_x0000_t32" id="直接箭头连接符 144 76" o:spid="_x0000_s107" style="position:absolute;left:6738;top:12289;width:10;height:553;" filled="f" stroked="t">
                        <v:stroke color="#000000" endarrow="block"/>
                      </v:shape>
                      <v:line type="#_x0000_t20" id="直接连接符 143 77" o:spid="_x0000_s108" style="position:absolute;visibility:visible;" from="5643.3945,12863.064" to="7893.3955,12863.064" filled="f" stroked="t">
                        <v:stroke color="#000000"/>
                      </v:line>
                      <v:shape type="#_x0000_t32" id="直接箭头连接符 38 78" o:spid="_x0000_s109" style="position:absolute;left:5670;top:12860;width:10;height:553;" filled="f" stroked="t">
                        <v:stroke color="#000000" endarrow="block"/>
                      </v:shape>
                      <v:shape type="#_x0000_t32" id="直接箭头连接符 139 79" o:spid="_x0000_s110" style="position:absolute;left:7895;top:12872;width:10;height:553;" filled="f" stroked="t">
                        <v:stroke color="#000000" endarrow="block"/>
                      </v:shape>
                      <v:rect type="#_x0000_t1" id="_s111" o:spid="_x0000_s111" style="position:absolute;left:4997;top:13411;width:1340;height:456;mso-wrap-style:square;" filled="f" stroked="t">
                        <v:textbox id="864" inset="2.54mm,1.27mm,2.54mm,1.27mm" o:insetmode="custom" style="layout-flow:horizontal;v-text-anchor:top;">
                          <w:txbxContent>
                            <w:p>
                              <w:pPr>
                                <w:jc w:val="center"/>
                                <w:rPr>
                                  <w:rFonts w:eastAsia="宋体" w:hint="eastAsia"/>
                                  <w:lang w:eastAsia="zh-CN"/>
                                </w:rPr>
                              </w:pPr>
                              <w:r>
                                <w:rPr>
                                  <w:rFonts w:hint="eastAsia"/>
                                  <w:lang w:eastAsia="zh-CN"/>
                                </w:rPr>
                                <w:t>堆码贮存</w:t>
                              </w:r>
                            </w:p>
                          </w:txbxContent>
                        </v:textbox>
                        <v:stroke color="#000000"/>
                      </v:rect>
                      <v:rect type="#_x0000_t1" id="_s112" o:spid="_x0000_s112" style="position:absolute;left:7153;top:13426;width:1451;height:456;mso-wrap-style:square;" filled="f" stroked="t">
                        <v:textbox id="865" inset="2.54mm,1.27mm,2.54mm,1.27mm" o:insetmode="custom" style="layout-flow:horizontal;v-text-anchor:top;">
                          <w:txbxContent>
                            <w:p>
                              <w:pPr>
                                <w:jc w:val="center"/>
                                <w:rPr>
                                  <w:rFonts w:eastAsia="宋体" w:hint="eastAsia"/>
                                  <w:lang w:eastAsia="zh-CN"/>
                                </w:rPr>
                              </w:pPr>
                              <w:r>
                                <w:rPr>
                                  <w:rFonts w:hint="eastAsia"/>
                                  <w:lang w:eastAsia="zh-CN"/>
                                </w:rPr>
                                <w:t>独立贮存间</w:t>
                              </w:r>
                            </w:p>
                          </w:txbxContent>
                        </v:textbox>
                        <v:stroke color="#000000"/>
                      </v:rect>
                      <v:shape type="#_x0000_t32" id="直接箭头连接符 141 84" o:spid="_x0000_s113" style="position:absolute;left:7886;top:13887;width:10;height:553;" filled="f" stroked="t">
                        <v:stroke color="#000000" endarrow="block"/>
                      </v:shape>
                      <v:rect type="#_x0000_t1" id="_s114" o:spid="_x0000_s114" style="position:absolute;left:6891;top:12498;width:1042;height:469;mso-wrap-style:square;" filled="f" stroked="f" strokeweight="-1.0pt">
                        <v:textbox id="866" inset="2.54mm,1.27mm,2.54mm,1.27mm" o:insetmode="custom" style="layout-flow:horizontal;v-text-anchor:top;">
                          <w:txbxContent>
                            <w:p>
                              <w:pPr>
                                <w:jc w:val="center"/>
                                <w:rPr>
                                  <w:rFonts w:eastAsia="宋体" w:hint="eastAsia"/>
                                  <w:lang w:eastAsia="zh-CN"/>
                                </w:rPr>
                              </w:pPr>
                              <w:r>
                                <w:rPr>
                                  <w:rFonts w:hint="eastAsia"/>
                                  <w:lang w:eastAsia="zh-CN"/>
                                </w:rPr>
                                <w:t>破损</w:t>
                              </w:r>
                            </w:p>
                          </w:txbxContent>
                        </v:textbox>
                        <v:stroke/>
                      </v:rect>
                      <v:shape type="#_x0000_t32" id="直接箭头连接符 140 87" o:spid="_x0000_s115" style="position:absolute;left:5665;top:13867;width:2;height:543;flip:x;" filled="f" stroked="t">
                        <v:stroke color="#000000" endarrow="block"/>
                      </v:shape>
                      <v:shape type="#_x0000_t32" id="直接箭头连接符 133 88" o:spid="_x0000_s116" style="position:absolute;left:6751;top:14415;width:10;height:553;" filled="f" stroked="t">
                        <v:stroke color="#000000" endarrow="block"/>
                      </v:shape>
                      <v:line type="#_x0000_t20" id="直接连接符 134 89" o:spid="_x0000_s117" style="position:absolute;visibility:visible;" from="5659.3945,14428.088" to="7909.395,14428.088" filled="f" stroked="t">
                        <v:stroke color="#000000"/>
                      </v:line>
                      <v:rect type="#_x0000_t1" id="_s118" o:spid="_x0000_s118" style="position:absolute;left:6090;top:14987;width:1340;height:456;mso-wrap-style:square;" filled="f" stroked="t">
                        <v:textbox id="867" inset="2.54mm,1.27mm,2.54mm,1.27mm" o:insetmode="custom" style="layout-flow:horizontal;v-text-anchor:top;">
                          <w:txbxContent>
                            <w:p>
                              <w:pPr>
                                <w:jc w:val="center"/>
                                <w:rPr>
                                  <w:rFonts w:eastAsia="宋体" w:hint="eastAsia"/>
                                  <w:lang w:eastAsia="zh-CN"/>
                                </w:rPr>
                              </w:pPr>
                              <w:r>
                                <w:rPr>
                                  <w:rFonts w:hint="eastAsia"/>
                                  <w:lang w:eastAsia="zh-CN"/>
                                </w:rPr>
                                <w:t>装车</w:t>
                              </w:r>
                            </w:p>
                          </w:txbxContent>
                        </v:textbox>
                        <v:stroke color="#000000"/>
                      </v:rect>
                      <v:rect type="#_x0000_t1" id="_s119" o:spid="_x0000_s119" style="position:absolute;left:7643;top:12590;width:1604;height:469;mso-wrap-style:square;" filled="f" stroked="f" strokeweight="-1.0pt">
                        <v:textbox id="868" inset="2.54mm,1.27mm,2.54mm,1.27mm" o:insetmode="custom" style="layout-flow:horizontal;v-text-anchor:top;">
                          <w:txbxContent>
                            <w:p>
                              <w:pPr>
                                <w:jc w:val="center"/>
                                <w:rPr>
                                  <w:rFonts w:eastAsia="宋体"/>
                                  <w:lang w:val="en-US" w:eastAsia="zh-CN"/>
                                </w:rPr>
                              </w:pPr>
                              <w:r>
                                <w:rPr>
                                  <w:rFonts w:hint="eastAsia"/>
                                  <w:lang w:val="en-US" w:eastAsia="zh-CN"/>
                                </w:rPr>
                                <w:t>G、N、S</w:t>
                              </w:r>
                            </w:p>
                          </w:txbxContent>
                        </v:textbox>
                        <v:stroke/>
                      </v:rect>
                      <v:shape type="#_x0000_t32" id="直接箭头连接符 154 94" o:spid="_x0000_s120" style="position:absolute;left:8303;top:12960;width:4;height:461;flip:x y;" filled="f" stroked="t">
                        <v:stroke dashstyle="dash" color="#000000" endarrow="block"/>
                      </v:shape>
                      <v:shape type="#_x0000_t32" id="直接箭头连接符 156 95" o:spid="_x0000_s121" style="position:absolute;left:7106;top:11456;width:0;height:362;flip:y;" filled="f" stroked="t">
                        <v:stroke dashstyle="dash" color="#000000" endarrow="block"/>
                      </v:shape>
                      <v:rect type="#_x0000_t1" id="_s122" o:spid="_x0000_s122" style="position:absolute;left:6423;top:11109;width:1604;height:469;mso-wrap-style:square;" filled="f" stroked="f" strokeweight="-1.0pt">
                        <v:textbox id="869" inset="2.54mm,1.27mm,2.54mm,1.27mm" o:insetmode="custom" style="layout-flow:horizontal;v-text-anchor:top;">
                          <w:txbxContent>
                            <w:p>
                              <w:pPr>
                                <w:jc w:val="center"/>
                                <w:rPr>
                                  <w:rFonts w:eastAsia="宋体"/>
                                  <w:lang w:val="en-US" w:eastAsia="zh-CN"/>
                                </w:rPr>
                              </w:pPr>
                              <w:r>
                                <w:rPr>
                                  <w:rFonts w:hint="eastAsia"/>
                                  <w:lang w:val="en-US" w:eastAsia="zh-CN"/>
                                </w:rPr>
                                <w:t>G、S</w:t>
                              </w:r>
                            </w:p>
                          </w:txbxContent>
                        </v:textbox>
                        <v:stroke/>
                      </v:rect>
                    </v:group>
                  </w:pict>
                </mc:Fallback>
              </mc:AlternateContent>
            </w:r>
            <w:r>
              <w:rPr>
                <w:rFonts w:ascii="Times New Roman" w:cs="Times New Roman" w:hAnsi="Times New Roman" w:hint="eastAsia"/>
                <w:color w:val="auto"/>
                <w:sz w:val="24"/>
                <w:lang w:eastAsia="zh-CN"/>
                <w:highlight w:val="none"/>
              </w:rPr>
              <w:tab/>
            </w: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17"/>
              <w:keepNext w:val="0"/>
              <w:keepLines w:val="0"/>
              <w:pageBreakBefore w:val="0"/>
              <w:widowControl/>
              <w:kinsoku/>
              <w:wordWrap/>
              <w:overflowPunct/>
              <w:topLinePunct w:val="0"/>
              <w:autoSpaceDE/>
              <w:autoSpaceDN/>
              <w:bidi w:val="0"/>
              <w:adjustRightInd/>
              <w:snapToGrid/>
              <w:spacing w:line="240" w:lineRule="auto"/>
              <w:ind w:firstLineChars="200" w:firstLine="480"/>
              <w:textAlignment w:val="auto"/>
              <w:rPr>
                <w:rFonts w:ascii="Times New Roman" w:cs="Times New Roman" w:hAnsi="Times New Roman"/>
                <w:color w:val="auto"/>
                <w:sz w:val="24"/>
                <w:highlight w:val="none"/>
              </w:rPr>
            </w:pPr>
          </w:p>
          <w:p>
            <w:pPr>
              <w:pStyle w:val="98"/>
              <w:rPr>
                <w:color w:val="auto"/>
                <w:sz w:val="24"/>
              </w:rPr>
            </w:pPr>
          </w:p>
          <w:p>
            <w:pPr>
              <w:pStyle w:val="98"/>
              <w:rPr>
                <w:color w:val="auto"/>
                <w:sz w:val="24"/>
              </w:rPr>
            </w:pPr>
            <w:r>
              <w:rPr>
                <w:color w:val="auto"/>
                <w:sz w:val="24"/>
              </w:rPr>
              <w:t>图</w:t>
            </w:r>
            <w:r>
              <w:rPr>
                <w:rFonts w:hint="eastAsia"/>
                <w:color w:val="auto"/>
                <w:sz w:val="24"/>
                <w:lang w:val="en-US" w:eastAsia="zh-CN"/>
              </w:rPr>
              <w:t>3</w:t>
            </w:r>
            <w:r>
              <w:rPr>
                <w:rFonts w:hint="eastAsia"/>
                <w:color w:val="auto"/>
                <w:sz w:val="24"/>
              </w:rPr>
              <w:t>-</w:t>
            </w:r>
            <w:r>
              <w:rPr>
                <w:color w:val="auto"/>
                <w:sz w:val="24"/>
              </w:rPr>
              <w:t>1 生产工艺流程图</w:t>
            </w:r>
          </w:p>
          <w:p>
            <w:pPr>
              <w:pStyle w:val="17"/>
              <w:keepNext w:val="0"/>
              <w:keepLines w:val="0"/>
              <w:pageBreakBefore w:val="0"/>
              <w:widowControl/>
              <w:tabs>
                <w:tab w:val="left" w:pos="5474"/>
              </w:tabs>
              <w:kinsoku/>
              <w:wordWrap/>
              <w:overflowPunct/>
              <w:topLinePunct w:val="0"/>
              <w:autoSpaceDE/>
              <w:autoSpaceDN/>
              <w:bidi w:val="0"/>
              <w:adjustRightInd/>
              <w:snapToGrid/>
              <w:spacing w:line="360" w:lineRule="auto"/>
              <w:ind w:firstLineChars="200" w:firstLine="480"/>
              <w:textAlignment w:val="auto"/>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color w:val="auto"/>
                <w:kern w:val="2"/>
                <w:sz w:val="24"/>
                <w:szCs w:val="20"/>
                <w:lang w:val="en-US" w:eastAsia="zh-CN" w:bidi="ar-SA"/>
              </w:rPr>
              <w:t>项目生产工艺流程简述见下：</w:t>
            </w:r>
            <w:r>
              <w:rPr>
                <w:rFonts w:ascii="Times New Roman" w:cs="Times New Roman" w:hAnsi="Times New Roman" w:hint="eastAsia"/>
                <w:color w:val="auto"/>
                <w:kern w:val="2"/>
                <w:sz w:val="24"/>
                <w:szCs w:val="20"/>
                <w:lang w:val="en-US" w:eastAsia="zh-CN" w:bidi="ar-SA"/>
              </w:rPr>
              <w:tab/>
            </w:r>
          </w:p>
          <w:p>
            <w:pPr>
              <w:pStyle w:val="99"/>
              <w:keepNext w:val="0"/>
              <w:keepLines w:val="0"/>
              <w:pageBreakBefore w:val="0"/>
              <w:kinsoku/>
              <w:wordWrap/>
              <w:overflowPunct/>
              <w:topLinePunct w:val="0"/>
              <w:autoSpaceDE/>
              <w:autoSpaceDN/>
              <w:bidi w:val="0"/>
              <w:adjustRightInd w:val="0"/>
              <w:snapToGrid w:val="0"/>
              <w:spacing w:line="360" w:lineRule="auto"/>
              <w:textAlignment w:val="auto"/>
              <w:rPr>
                <w:rFonts w:cs="Times New Roman" w:hint="eastAsia"/>
                <w:color w:val="auto"/>
              </w:rPr>
            </w:pPr>
            <w:r>
              <w:rPr>
                <w:rFonts w:ascii="Times New Roman" w:eastAsia="宋体" w:cs="Times New Roman" w:hAnsi="Times New Roman" w:hint="eastAsia"/>
                <w:color w:val="auto"/>
                <w:kern w:val="2"/>
                <w:sz w:val="24"/>
                <w:szCs w:val="20"/>
                <w:lang w:val="en-US" w:eastAsia="zh-CN" w:bidi="ar-SA"/>
              </w:rPr>
              <w:t>废电池由专业单位运输至厂区，</w:t>
            </w:r>
            <w:r>
              <w:rPr>
                <w:rFonts w:cs="Times New Roman" w:hint="eastAsia"/>
                <w:color w:val="auto"/>
                <w:kern w:val="2"/>
                <w:sz w:val="24"/>
                <w:szCs w:val="20"/>
                <w:lang w:val="en-US" w:eastAsia="zh-CN" w:bidi="ar-SA"/>
              </w:rPr>
              <w:t>进口处设有监控，智能识别运输车辆，随</w:t>
            </w:r>
            <w:r>
              <w:rPr>
                <w:rFonts w:ascii="Times New Roman" w:eastAsia="宋体" w:cs="Times New Roman" w:hAnsi="Times New Roman" w:hint="eastAsia"/>
                <w:color w:val="auto"/>
                <w:kern w:val="2"/>
                <w:sz w:val="24"/>
                <w:szCs w:val="20"/>
                <w:lang w:val="en-US" w:eastAsia="zh-CN" w:bidi="ar-SA"/>
              </w:rPr>
              <w:t>后进行过磅，同时进行简单的检查和记录，</w:t>
            </w:r>
            <w:r>
              <w:rPr>
                <w:rFonts w:cs="Times New Roman" w:hint="eastAsia"/>
                <w:color w:val="auto"/>
                <w:kern w:val="2"/>
                <w:sz w:val="24"/>
                <w:szCs w:val="20"/>
                <w:lang w:val="en-US" w:eastAsia="zh-CN" w:bidi="ar-SA"/>
              </w:rPr>
              <w:t>过磅后</w:t>
            </w:r>
            <w:r>
              <w:rPr>
                <w:rFonts w:ascii="Times New Roman" w:eastAsia="宋体" w:cs="Times New Roman" w:hAnsi="Times New Roman" w:hint="eastAsia"/>
                <w:color w:val="auto"/>
                <w:kern w:val="2"/>
                <w:sz w:val="24"/>
                <w:szCs w:val="20"/>
                <w:lang w:val="en-US" w:eastAsia="zh-CN" w:bidi="ar-SA"/>
              </w:rPr>
              <w:t>运输至本项目库房。在装卸区用叉车卸</w:t>
            </w:r>
            <w:r>
              <w:rPr>
                <w:rFonts w:cs="Times New Roman" w:hint="eastAsia"/>
                <w:color w:val="auto"/>
              </w:rPr>
              <w:t>车，将装有废电池的托盘运入库房内暂存区，用智能台秤计量称重，建立台帐、入库交接记录。</w:t>
            </w:r>
            <w:r>
              <w:rPr>
                <w:rFonts w:cs="Times New Roman" w:hint="eastAsia"/>
                <w:color w:val="auto"/>
                <w:lang w:eastAsia="zh-CN"/>
              </w:rPr>
              <w:t>同时</w:t>
            </w:r>
            <w:r>
              <w:rPr>
                <w:rFonts w:cs="Times New Roman" w:hint="eastAsia"/>
                <w:color w:val="auto"/>
              </w:rPr>
              <w:t>对废电池进行人工</w:t>
            </w:r>
            <w:r>
              <w:rPr>
                <w:rFonts w:cs="Times New Roman" w:hint="eastAsia"/>
                <w:color w:val="auto"/>
                <w:lang w:eastAsia="zh-CN"/>
              </w:rPr>
              <w:t>分类</w:t>
            </w:r>
            <w:r>
              <w:rPr>
                <w:rFonts w:cs="Times New Roman" w:hint="eastAsia"/>
                <w:color w:val="auto"/>
              </w:rPr>
              <w:t>，将完整的废电池</w:t>
            </w:r>
            <w:r>
              <w:rPr>
                <w:rFonts w:cs="Times New Roman" w:hint="eastAsia"/>
                <w:color w:val="auto"/>
                <w:lang w:eastAsia="zh-CN"/>
              </w:rPr>
              <w:t>（第I类</w:t>
            </w:r>
            <w:r>
              <w:rPr>
                <w:rFonts w:ascii="Times New Roman" w:eastAsia="宋体" w:cs="Times New Roman" w:hAnsi="Times New Roman"/>
                <w:color w:val="auto"/>
                <w:lang w:eastAsia="zh-CN"/>
              </w:rPr>
              <w:t>）</w:t>
            </w:r>
            <w:r>
              <w:rPr>
                <w:rFonts w:cs="Times New Roman" w:hint="eastAsia"/>
                <w:color w:val="auto"/>
              </w:rPr>
              <w:t>放入托盘，</w:t>
            </w:r>
            <w:r>
              <w:rPr>
                <w:rFonts w:cs="Times New Roman" w:hint="eastAsia"/>
                <w:color w:val="auto"/>
                <w:lang w:eastAsia="zh-CN"/>
              </w:rPr>
              <w:t>在贮存区</w:t>
            </w:r>
            <w:r>
              <w:rPr>
                <w:rFonts w:cs="Times New Roman" w:hint="eastAsia"/>
                <w:color w:val="auto"/>
              </w:rPr>
              <w:t>码放整齐。破损电池</w:t>
            </w:r>
            <w:r>
              <w:rPr>
                <w:rFonts w:cs="Times New Roman" w:hint="eastAsia"/>
                <w:color w:val="auto"/>
                <w:lang w:eastAsia="zh-CN"/>
              </w:rPr>
              <w:t>按第II类要求进行处理，</w:t>
            </w:r>
            <w:r>
              <w:rPr>
                <w:rFonts w:cs="Times New Roman" w:hint="eastAsia"/>
                <w:color w:val="auto"/>
              </w:rPr>
              <w:t>用塑料薄膜缠绕后放入耐腐蚀PE桶，加盖盖严</w:t>
            </w:r>
            <w:r>
              <w:rPr>
                <w:rFonts w:cs="Times New Roman" w:hint="eastAsia"/>
                <w:color w:val="auto"/>
                <w:lang w:eastAsia="zh-CN"/>
              </w:rPr>
              <w:t>，并转入独立的破损电池贮存间</w:t>
            </w:r>
            <w:r>
              <w:rPr>
                <w:rFonts w:cs="Times New Roman" w:hint="eastAsia"/>
                <w:color w:val="auto"/>
              </w:rPr>
              <w:t>。贮存的废铅蓄电池由叉车装车</w:t>
            </w:r>
            <w:r>
              <w:rPr>
                <w:rFonts w:cs="Times New Roman" w:hint="eastAsia"/>
                <w:color w:val="auto"/>
                <w:lang w:eastAsia="zh-CN"/>
              </w:rPr>
              <w:t>，</w:t>
            </w:r>
            <w:r>
              <w:rPr>
                <w:rFonts w:cs="Times New Roman" w:hint="eastAsia"/>
                <w:color w:val="auto"/>
              </w:rPr>
              <w:t>装车后</w:t>
            </w:r>
            <w:r>
              <w:rPr>
                <w:rFonts w:cs="Times New Roman" w:hint="eastAsia"/>
                <w:color w:val="auto"/>
                <w:lang w:eastAsia="zh-CN"/>
              </w:rPr>
              <w:t>由专业单位</w:t>
            </w:r>
            <w:r>
              <w:rPr>
                <w:rFonts w:cs="Times New Roman" w:hint="eastAsia"/>
                <w:color w:val="auto"/>
              </w:rPr>
              <w:t>外运至具有相应资质的公司处置、利用。</w:t>
            </w:r>
          </w:p>
          <w:p>
            <w:pPr>
              <w:pStyle w:val="99"/>
              <w:keepNext w:val="0"/>
              <w:keepLines w:val="0"/>
              <w:pageBreakBefore w:val="0"/>
              <w:kinsoku/>
              <w:wordWrap/>
              <w:overflowPunct/>
              <w:topLinePunct w:val="0"/>
              <w:autoSpaceDE/>
              <w:autoSpaceDN/>
              <w:bidi w:val="0"/>
              <w:adjustRightInd w:val="0"/>
              <w:snapToGrid w:val="0"/>
              <w:spacing w:line="360" w:lineRule="auto"/>
              <w:textAlignment w:val="auto"/>
              <w:rPr>
                <w:rFonts w:cs="Times New Roman" w:hint="eastAsia"/>
                <w:color w:val="auto"/>
              </w:rPr>
            </w:pPr>
            <w:r>
              <w:rPr>
                <w:rFonts w:cs="Times New Roman" w:hint="eastAsia"/>
                <w:color w:val="auto"/>
              </w:rPr>
              <w:t>破损电池在</w:t>
            </w:r>
            <w:r>
              <w:rPr>
                <w:rFonts w:cs="Times New Roman" w:hint="eastAsia"/>
                <w:color w:val="auto"/>
                <w:lang w:eastAsia="zh-CN"/>
              </w:rPr>
              <w:t>分类</w:t>
            </w:r>
            <w:r>
              <w:rPr>
                <w:rFonts w:cs="Times New Roman" w:hint="eastAsia"/>
                <w:color w:val="auto"/>
              </w:rPr>
              <w:t>过程中</w:t>
            </w:r>
            <w:r>
              <w:rPr>
                <w:rFonts w:cs="Times New Roman" w:hint="eastAsia"/>
                <w:color w:val="auto"/>
                <w:lang w:eastAsia="zh-CN"/>
              </w:rPr>
              <w:t>可能会</w:t>
            </w:r>
            <w:r>
              <w:rPr>
                <w:rFonts w:cs="Times New Roman" w:hint="eastAsia"/>
                <w:color w:val="auto"/>
              </w:rPr>
              <w:t>有</w:t>
            </w:r>
            <w:r>
              <w:rPr>
                <w:rFonts w:cs="Times New Roman" w:hint="eastAsia"/>
                <w:color w:val="auto"/>
                <w:lang w:eastAsia="zh-CN"/>
              </w:rPr>
              <w:t>废</w:t>
            </w:r>
            <w:r>
              <w:rPr>
                <w:rFonts w:cs="Times New Roman" w:hint="eastAsia"/>
                <w:color w:val="auto"/>
              </w:rPr>
              <w:t>电解液渗漏现象，电池电解液中硫酸含量 40%左右，不属于浓硫酸，挥发性较弱。工人需穿防护服、戴护目镜、手套等防护用具进行</w:t>
            </w:r>
            <w:r>
              <w:rPr>
                <w:rFonts w:cs="Times New Roman" w:hint="eastAsia"/>
                <w:color w:val="auto"/>
                <w:lang w:eastAsia="zh-CN"/>
              </w:rPr>
              <w:t>分类</w:t>
            </w:r>
            <w:r>
              <w:rPr>
                <w:rFonts w:cs="Times New Roman" w:hint="eastAsia"/>
                <w:color w:val="auto"/>
              </w:rPr>
              <w:t>，</w:t>
            </w:r>
            <w:r>
              <w:rPr>
                <w:rFonts w:cs="Times New Roman" w:hint="eastAsia"/>
                <w:color w:val="auto"/>
                <w:lang w:eastAsia="zh-CN"/>
              </w:rPr>
              <w:t>该</w:t>
            </w:r>
            <w:r>
              <w:rPr>
                <w:rFonts w:cs="Times New Roman" w:hint="eastAsia"/>
                <w:color w:val="auto"/>
              </w:rPr>
              <w:t>过程历时短，产生极少量硫酸雾，通过库房风扇排出。工人分拣过程中如遇少量废电解液滴落地面，需用抹布擦拭干净，产生沾染电解液的废抹布、废防护服、废手套等废防护用具，作为危废委托有资质单位处置。破损电池间</w:t>
            </w:r>
            <w:r>
              <w:rPr>
                <w:rFonts w:cs="Times New Roman" w:hint="eastAsia"/>
                <w:color w:val="auto"/>
                <w:lang w:eastAsia="zh-CN"/>
              </w:rPr>
              <w:t>配备碱液喷淋装置</w:t>
            </w:r>
            <w:r>
              <w:rPr>
                <w:rFonts w:cs="Times New Roman" w:hint="eastAsia"/>
                <w:color w:val="auto"/>
              </w:rPr>
              <w:t>，硫酸雾废气处理后通过</w:t>
            </w:r>
            <w:r>
              <w:rPr>
                <w:rFonts w:cs="Times New Roman" w:hint="eastAsia"/>
                <w:color w:val="auto"/>
                <w:lang w:val="en-US" w:eastAsia="zh-CN"/>
              </w:rPr>
              <w:t>15</w:t>
            </w:r>
            <w:r>
              <w:rPr>
                <w:rFonts w:cs="Times New Roman" w:hint="eastAsia"/>
                <w:color w:val="auto"/>
              </w:rPr>
              <w:t>m高排气筒排放，碱液循环使用，定期更换，废碱液作为危废委托有资质单位处置。</w:t>
            </w:r>
          </w:p>
          <w:p>
            <w:pPr>
              <w:keepNext w:val="0"/>
              <w:keepLines w:val="0"/>
              <w:pageBreakBefore w:val="0"/>
              <w:widowControl/>
              <w:kinsoku/>
              <w:wordWrap/>
              <w:overflowPunct/>
              <w:topLinePunct w:val="0"/>
              <w:autoSpaceDE/>
              <w:autoSpaceDN/>
              <w:bidi w:val="0"/>
              <w:spacing w:line="360" w:lineRule="auto"/>
              <w:ind w:firstLineChars="200" w:firstLine="480"/>
              <w:textAlignment w:val="auto"/>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项目</w:t>
            </w:r>
            <w:r>
              <w:rPr>
                <w:rFonts w:ascii="Times New Roman" w:eastAsia="宋体" w:cs="Times New Roman" w:hAnsi="Times New Roman" w:hint="eastAsia"/>
                <w:color w:val="auto"/>
                <w:sz w:val="24"/>
                <w:lang w:val="zh-CN"/>
                <w:highlight w:val="none"/>
              </w:rPr>
              <w:t>产排污节点一览表</w:t>
            </w:r>
            <w:r>
              <w:rPr>
                <w:rFonts w:ascii="Times New Roman" w:eastAsia="宋体" w:cs="Times New Roman" w:hAnsi="Times New Roman" w:hint="eastAsia"/>
                <w:color w:val="auto"/>
                <w:sz w:val="24"/>
                <w:lang w:val="en-US" w:eastAsia="zh-CN"/>
                <w:highlight w:val="none"/>
              </w:rPr>
              <w:t>见下：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color w:val="auto"/>
                <w:highlight w:val="none"/>
              </w:rPr>
            </w:pPr>
            <w:r>
              <w:rPr>
                <w:b/>
                <w:bCs/>
                <w:color w:val="auto"/>
                <w:sz w:val="24"/>
                <w:highlight w:val="none"/>
              </w:rPr>
              <w:t>表2-</w:t>
            </w:r>
            <w:r>
              <w:rPr>
                <w:rFonts w:hint="eastAsia"/>
                <w:b/>
                <w:bCs/>
                <w:color w:val="auto"/>
                <w:sz w:val="24"/>
                <w:lang w:val="en-US" w:eastAsia="zh-CN"/>
                <w:highlight w:val="none"/>
              </w:rPr>
              <w:t>9</w:t>
            </w:r>
            <w:r>
              <w:rPr>
                <w:b/>
                <w:bCs/>
                <w:color w:val="auto"/>
                <w:sz w:val="24"/>
                <w:highlight w:val="none"/>
              </w:rPr>
              <w:t xml:space="preserve">  </w:t>
            </w:r>
            <w:r>
              <w:rPr>
                <w:rFonts w:hint="eastAsia"/>
                <w:b/>
                <w:bCs/>
                <w:color w:val="auto"/>
                <w:sz w:val="24"/>
                <w:lang w:val="en-US" w:eastAsia="zh-CN"/>
                <w:highlight w:val="none"/>
              </w:rPr>
              <w:t>项目</w:t>
            </w:r>
            <w:r>
              <w:rPr>
                <w:b/>
                <w:bCs/>
                <w:color w:val="auto"/>
                <w:sz w:val="24"/>
                <w:highlight w:val="none"/>
              </w:rPr>
              <w:t>产排污节点一览表</w:t>
            </w:r>
          </w:p>
          <w:tbl>
            <w:tblPr>
              <w:jc w:val="cent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80"/>
              <w:gridCol w:w="549"/>
              <w:gridCol w:w="1804"/>
              <w:gridCol w:w="1558"/>
              <w:gridCol w:w="767"/>
              <w:gridCol w:w="2735"/>
            </w:tblGrid>
            <w:tr>
              <w:trPr>
                <w:cantSplit/>
                <w:trHeight w:val="397"/>
              </w:trPr>
              <w:tc>
                <w:tcPr>
                  <w:tcW w:w="420"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类别</w:t>
                  </w:r>
                </w:p>
              </w:tc>
              <w:tc>
                <w:tcPr>
                  <w:tcW w:w="1453" w:type="pct"/>
                  <w:gridSpan w:val="2"/>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排污节点</w:t>
                  </w:r>
                </w:p>
              </w:tc>
              <w:tc>
                <w:tcPr>
                  <w:tcW w:w="962"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主要污染物</w:t>
                  </w:r>
                </w:p>
              </w:tc>
              <w:tc>
                <w:tcPr>
                  <w:tcW w:w="474"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排放规律</w:t>
                  </w:r>
                </w:p>
              </w:tc>
              <w:tc>
                <w:tcPr>
                  <w:tcW w:w="1689" w:type="pct"/>
                  <w:vAlign w:val="center"/>
                </w:tcPr>
                <w:p>
                  <w:pPr>
                    <w:tabs>
                      <w:tab w:val="center" w:pos="4153"/>
                      <w:tab w:val="right" w:pos="8306"/>
                    </w:tabs>
                    <w:snapToGrid w:val="0"/>
                    <w:jc w:val="center"/>
                    <w:rPr>
                      <w:b/>
                      <w:bCs/>
                      <w:color w:val="auto"/>
                      <w:sz w:val="21"/>
                      <w:szCs w:val="21"/>
                      <w:highlight w:val="none"/>
                    </w:rPr>
                  </w:pPr>
                  <w:r>
                    <w:rPr>
                      <w:rFonts w:hint="eastAsia"/>
                      <w:b/>
                      <w:bCs/>
                      <w:color w:val="auto"/>
                      <w:sz w:val="21"/>
                      <w:szCs w:val="21"/>
                      <w:highlight w:val="none"/>
                    </w:rPr>
                    <w:t>防治措施</w:t>
                  </w:r>
                </w:p>
              </w:tc>
            </w:tr>
            <w:tr>
              <w:trPr>
                <w:cantSplit/>
                <w:trHeight w:val="397"/>
              </w:trPr>
              <w:tc>
                <w:tcPr>
                  <w:tcW w:w="420" w:type="pct"/>
                  <w:vMerge w:val="restart"/>
                  <w:vAlign w:val="center"/>
                </w:tcPr>
                <w:p>
                  <w:pPr>
                    <w:tabs>
                      <w:tab w:val="center" w:pos="4153"/>
                      <w:tab w:val="right" w:pos="8306"/>
                    </w:tabs>
                    <w:snapToGrid w:val="0"/>
                    <w:jc w:val="center"/>
                    <w:rPr>
                      <w:color w:val="auto"/>
                      <w:sz w:val="21"/>
                      <w:szCs w:val="21"/>
                      <w:highlight w:val="none"/>
                    </w:rPr>
                  </w:pPr>
                  <w:r>
                    <w:rPr>
                      <w:rFonts w:hint="eastAsia"/>
                      <w:color w:val="auto"/>
                      <w:sz w:val="21"/>
                      <w:szCs w:val="21"/>
                      <w:highlight w:val="none"/>
                    </w:rPr>
                    <w:t>废气</w:t>
                  </w:r>
                </w:p>
              </w:tc>
              <w:tc>
                <w:tcPr>
                  <w:tcW w:w="339" w:type="pct"/>
                  <w:tcBorders>
                    <w:left w:val="single" w:sz="4" w:space="0" w:color="auto"/>
                  </w:tcBorders>
                  <w:vAlign w:val="center"/>
                </w:tcPr>
                <w:p>
                  <w:pPr>
                    <w:tabs>
                      <w:tab w:val="center" w:pos="4153"/>
                      <w:tab w:val="right" w:pos="8306"/>
                    </w:tabs>
                    <w:snapToGrid w:val="0"/>
                    <w:jc w:val="center"/>
                    <w:rPr>
                      <w:rFonts w:eastAsia="宋体"/>
                      <w:color w:val="auto"/>
                      <w:sz w:val="21"/>
                      <w:szCs w:val="21"/>
                      <w:lang w:val="en-US" w:eastAsia="zh-CN"/>
                      <w:highlight w:val="none"/>
                    </w:rPr>
                  </w:pPr>
                  <w:r>
                    <w:rPr>
                      <w:rFonts w:hint="eastAsia"/>
                      <w:color w:val="auto"/>
                      <w:sz w:val="21"/>
                      <w:szCs w:val="21"/>
                      <w:lang w:val="en-US" w:eastAsia="zh-CN"/>
                      <w:highlight w:val="none"/>
                    </w:rPr>
                    <w:t>G</w:t>
                  </w:r>
                  <w:r>
                    <w:rPr>
                      <w:rFonts w:hint="eastAsia"/>
                      <w:color w:val="auto"/>
                      <w:sz w:val="21"/>
                      <w:szCs w:val="21"/>
                      <w:vertAlign w:val="subscript"/>
                      <w:lang w:val="en-US" w:eastAsia="zh-CN"/>
                      <w:highlight w:val="none"/>
                    </w:rPr>
                    <w:t>1</w:t>
                  </w:r>
                </w:p>
              </w:tc>
              <w:tc>
                <w:tcPr>
                  <w:tcW w:w="1114" w:type="pct"/>
                  <w:tcBorders>
                    <w:left w:val="single" w:sz="4" w:space="0" w:color="auto"/>
                  </w:tcBorders>
                  <w:vAlign w:val="center"/>
                </w:tcPr>
                <w:p>
                  <w:pPr>
                    <w:pStyle w:val="68"/>
                    <w:tabs>
                      <w:tab w:val="left" w:pos="0"/>
                      <w:tab w:val="left" w:pos="360"/>
                      <w:tab w:val="left" w:pos="900"/>
                    </w:tabs>
                    <w:rPr>
                      <w:rFonts w:eastAsia="宋体" w:hint="eastAsia"/>
                      <w:color w:val="auto"/>
                      <w:sz w:val="21"/>
                      <w:szCs w:val="21"/>
                      <w:lang w:eastAsia="zh-CN"/>
                      <w:highlight w:val="none"/>
                    </w:rPr>
                  </w:pPr>
                  <w:r>
                    <w:rPr>
                      <w:rFonts w:hint="eastAsia"/>
                      <w:color w:val="auto"/>
                      <w:sz w:val="21"/>
                      <w:szCs w:val="21"/>
                      <w:lang w:eastAsia="zh-CN"/>
                      <w:highlight w:val="none"/>
                    </w:rPr>
                    <w:t>库房分类区</w:t>
                  </w:r>
                </w:p>
              </w:tc>
              <w:tc>
                <w:tcPr>
                  <w:tcW w:w="962" w:type="pct"/>
                  <w:tcBorders>
                    <w:left w:val="single" w:sz="4" w:space="0" w:color="auto"/>
                  </w:tcBorders>
                  <w:vAlign w:val="center"/>
                </w:tcPr>
                <w:p>
                  <w:pPr>
                    <w:pStyle w:val="68"/>
                    <w:tabs>
                      <w:tab w:val="left" w:pos="0"/>
                      <w:tab w:val="left" w:pos="360"/>
                      <w:tab w:val="left" w:pos="900"/>
                    </w:tabs>
                    <w:rPr>
                      <w:rFonts w:eastAsia="宋体"/>
                      <w:color w:val="auto"/>
                      <w:sz w:val="21"/>
                      <w:szCs w:val="21"/>
                      <w:lang w:val="en-US" w:eastAsia="zh-CN"/>
                      <w:highlight w:val="none"/>
                    </w:rPr>
                  </w:pPr>
                  <w:r>
                    <w:rPr>
                      <w:rFonts w:hint="eastAsia"/>
                      <w:color w:val="auto"/>
                      <w:sz w:val="21"/>
                      <w:szCs w:val="21"/>
                      <w:lang w:val="en-US" w:eastAsia="zh-CN"/>
                      <w:highlight w:val="none"/>
                    </w:rPr>
                    <w:t>硫酸雾</w:t>
                  </w:r>
                </w:p>
              </w:tc>
              <w:tc>
                <w:tcPr>
                  <w:tcW w:w="474" w:type="pct"/>
                  <w:tcBorders>
                    <w:left w:val="single" w:sz="4" w:space="0" w:color="auto"/>
                  </w:tcBorders>
                  <w:vAlign w:val="center"/>
                </w:tcPr>
                <w:p>
                  <w:pPr>
                    <w:jc w:val="center"/>
                    <w:rPr>
                      <w:rFonts w:eastAsia="宋体" w:hint="eastAsia"/>
                      <w:color w:val="auto"/>
                      <w:sz w:val="21"/>
                      <w:szCs w:val="21"/>
                      <w:lang w:eastAsia="zh-CN"/>
                      <w:highlight w:val="none"/>
                    </w:rPr>
                  </w:pPr>
                  <w:r>
                    <w:rPr>
                      <w:rFonts w:hint="eastAsia"/>
                      <w:color w:val="auto"/>
                      <w:sz w:val="21"/>
                      <w:szCs w:val="21"/>
                      <w:highlight w:val="none"/>
                    </w:rPr>
                    <w:t>间断</w:t>
                  </w:r>
                </w:p>
              </w:tc>
              <w:tc>
                <w:tcPr>
                  <w:tcW w:w="1689" w:type="pct"/>
                  <w:tcBorders>
                    <w:left w:val="single" w:sz="4" w:space="0" w:color="auto"/>
                  </w:tcBorders>
                  <w:vAlign w:val="center"/>
                </w:tcPr>
                <w:p>
                  <w:pPr>
                    <w:tabs>
                      <w:tab w:val="center" w:pos="4153"/>
                      <w:tab w:val="right" w:pos="8306"/>
                    </w:tabs>
                    <w:snapToGrid w:val="0"/>
                    <w:jc w:val="both"/>
                    <w:rPr>
                      <w:rFonts w:ascii="Times New Roman" w:eastAsia="宋体" w:cs="Times New Roman" w:hAnsi="Times New Roman"/>
                      <w:bCs/>
                      <w:color w:val="auto"/>
                      <w:sz w:val="21"/>
                      <w:szCs w:val="21"/>
                      <w:lang w:val="en-US" w:eastAsia="zh-CN"/>
                      <w:highlight w:val="none"/>
                    </w:rPr>
                  </w:pPr>
                  <w:r>
                    <w:rPr>
                      <w:rFonts w:cs="Times New Roman" w:hint="eastAsia"/>
                      <w:bCs/>
                      <w:color w:val="auto"/>
                      <w:sz w:val="21"/>
                      <w:szCs w:val="21"/>
                      <w:lang w:val="en-US" w:eastAsia="zh-CN"/>
                      <w:highlight w:val="none"/>
                    </w:rPr>
                    <w:t>历时短、产生量极少，无组织排放</w:t>
                  </w:r>
                </w:p>
              </w:tc>
            </w:tr>
            <w:tr>
              <w:trPr>
                <w:cantSplit/>
                <w:trHeight w:val="397"/>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lang w:val="en-US" w:eastAsia="zh-CN"/>
                      <w:highlight w:val="none"/>
                    </w:rPr>
                  </w:pPr>
                  <w:r>
                    <w:rPr>
                      <w:rFonts w:hint="eastAsia"/>
                      <w:color w:val="auto"/>
                      <w:sz w:val="21"/>
                      <w:szCs w:val="21"/>
                      <w:lang w:val="en-US" w:eastAsia="zh-CN"/>
                      <w:highlight w:val="none"/>
                    </w:rPr>
                    <w:t>G</w:t>
                  </w:r>
                  <w:r>
                    <w:rPr>
                      <w:rFonts w:hint="eastAsia"/>
                      <w:color w:val="auto"/>
                      <w:sz w:val="21"/>
                      <w:szCs w:val="21"/>
                      <w:vertAlign w:val="subscript"/>
                      <w:lang w:val="en-US" w:eastAsia="zh-CN"/>
                      <w:highlight w:val="none"/>
                    </w:rPr>
                    <w:t>2</w:t>
                  </w:r>
                </w:p>
              </w:tc>
              <w:tc>
                <w:tcPr>
                  <w:tcW w:w="1114" w:type="pct"/>
                  <w:tcBorders>
                    <w:left w:val="single" w:sz="4" w:space="0" w:color="auto"/>
                  </w:tcBorders>
                  <w:vAlign w:val="center"/>
                </w:tcPr>
                <w:p>
                  <w:pPr>
                    <w:pStyle w:val="68"/>
                    <w:tabs>
                      <w:tab w:val="left" w:pos="0"/>
                      <w:tab w:val="left" w:pos="360"/>
                      <w:tab w:val="left" w:pos="900"/>
                    </w:tabs>
                    <w:rPr>
                      <w:rFonts w:hint="eastAsia"/>
                      <w:color w:val="auto"/>
                      <w:sz w:val="21"/>
                      <w:szCs w:val="21"/>
                      <w:lang w:eastAsia="zh-CN"/>
                      <w:highlight w:val="none"/>
                    </w:rPr>
                  </w:pPr>
                  <w:r>
                    <w:rPr>
                      <w:rFonts w:hint="eastAsia"/>
                      <w:color w:val="auto"/>
                      <w:sz w:val="21"/>
                      <w:szCs w:val="21"/>
                      <w:lang w:eastAsia="zh-CN"/>
                      <w:highlight w:val="none"/>
                    </w:rPr>
                    <w:t>破损电池贮存间、危废间</w:t>
                  </w:r>
                </w:p>
              </w:tc>
              <w:tc>
                <w:tcPr>
                  <w:tcW w:w="962" w:type="pct"/>
                  <w:tcBorders>
                    <w:left w:val="single" w:sz="4" w:space="0" w:color="auto"/>
                  </w:tcBorders>
                  <w:vAlign w:val="center"/>
                </w:tcPr>
                <w:p>
                  <w:pPr>
                    <w:pStyle w:val="68"/>
                    <w:tabs>
                      <w:tab w:val="left" w:pos="0"/>
                      <w:tab w:val="left" w:pos="360"/>
                      <w:tab w:val="left" w:pos="900"/>
                    </w:tabs>
                    <w:rPr>
                      <w:rFonts w:hint="eastAsia"/>
                      <w:color w:val="auto"/>
                      <w:sz w:val="21"/>
                      <w:szCs w:val="21"/>
                      <w:lang w:val="en-US" w:eastAsia="zh-CN"/>
                      <w:highlight w:val="none"/>
                    </w:rPr>
                  </w:pPr>
                  <w:r>
                    <w:rPr>
                      <w:rFonts w:hint="eastAsia"/>
                      <w:color w:val="auto"/>
                      <w:sz w:val="21"/>
                      <w:szCs w:val="21"/>
                      <w:lang w:val="en-US" w:eastAsia="zh-CN"/>
                      <w:highlight w:val="none"/>
                    </w:rPr>
                    <w:t>硫酸雾</w:t>
                  </w:r>
                </w:p>
              </w:tc>
              <w:tc>
                <w:tcPr>
                  <w:tcW w:w="474" w:type="pct"/>
                  <w:tcBorders>
                    <w:left w:val="single" w:sz="4" w:space="0" w:color="auto"/>
                  </w:tcBorders>
                  <w:vAlign w:val="center"/>
                </w:tcPr>
                <w:p>
                  <w:pPr>
                    <w:jc w:val="center"/>
                    <w:rPr>
                      <w:rFonts w:hint="eastAsia"/>
                      <w:color w:val="auto"/>
                      <w:sz w:val="21"/>
                      <w:szCs w:val="21"/>
                      <w:highlight w:val="none"/>
                    </w:rPr>
                  </w:pPr>
                  <w:r>
                    <w:rPr>
                      <w:rFonts w:hint="eastAsia"/>
                      <w:color w:val="auto"/>
                      <w:sz w:val="21"/>
                      <w:szCs w:val="21"/>
                      <w:highlight w:val="none"/>
                    </w:rPr>
                    <w:t>间断</w:t>
                  </w:r>
                </w:p>
              </w:tc>
              <w:tc>
                <w:tcPr>
                  <w:tcW w:w="1689" w:type="pct"/>
                  <w:tcBorders>
                    <w:left w:val="single" w:sz="4" w:space="0" w:color="auto"/>
                  </w:tcBorders>
                  <w:vAlign w:val="center"/>
                </w:tcPr>
                <w:p>
                  <w:pPr>
                    <w:tabs>
                      <w:tab w:val="center" w:pos="4153"/>
                      <w:tab w:val="right" w:pos="8306"/>
                    </w:tabs>
                    <w:snapToGrid w:val="0"/>
                    <w:jc w:val="both"/>
                    <w:rPr>
                      <w:rFonts w:ascii="Times New Roman" w:eastAsia="宋体" w:cs="Times New Roman" w:hAnsi="Times New Roman"/>
                      <w:bCs/>
                      <w:color w:val="auto"/>
                      <w:sz w:val="21"/>
                      <w:szCs w:val="21"/>
                      <w:lang w:val="en-US" w:eastAsia="zh-CN"/>
                      <w:highlight w:val="none"/>
                    </w:rPr>
                  </w:pPr>
                  <w:r>
                    <w:rPr>
                      <w:rFonts w:cs="Times New Roman" w:hint="eastAsia"/>
                      <w:bCs/>
                      <w:color w:val="auto"/>
                      <w:sz w:val="21"/>
                      <w:szCs w:val="21"/>
                      <w:lang w:val="en-US" w:eastAsia="zh-CN"/>
                      <w:highlight w:val="none"/>
                    </w:rPr>
                    <w:t>密闭空间+碱液喷淋装置+15m高排气筒排放</w:t>
                  </w:r>
                </w:p>
              </w:tc>
            </w:tr>
            <w:tr>
              <w:trPr>
                <w:cantSplit/>
                <w:trHeight w:val="397"/>
              </w:trPr>
              <w:tc>
                <w:tcPr>
                  <w:tcW w:w="420" w:type="pct"/>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废水</w:t>
                  </w:r>
                </w:p>
              </w:tc>
              <w:tc>
                <w:tcPr>
                  <w:tcW w:w="339"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 w:val="21"/>
                      <w:szCs w:val="21"/>
                      <w:highlight w:val="none"/>
                    </w:rPr>
                    <w:t>W</w:t>
                  </w:r>
                  <w:r>
                    <w:rPr>
                      <w:rFonts w:hint="eastAsia"/>
                      <w:color w:val="auto"/>
                      <w:sz w:val="21"/>
                      <w:szCs w:val="21"/>
                      <w:vertAlign w:val="subscript"/>
                      <w:lang w:val="en-US" w:eastAsia="zh-CN"/>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b w:val="0"/>
                      <w:bCs w:val="0"/>
                      <w:color w:val="auto"/>
                      <w:sz w:val="21"/>
                      <w:szCs w:val="21"/>
                      <w:lang w:val="en-US" w:eastAsia="zh-CN"/>
                      <w:highlight w:val="none"/>
                    </w:rPr>
                    <w:t>职工生活污水</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lang w:val="en-US" w:eastAsia="zh-CN"/>
                      <w:highlight w:val="none"/>
                    </w:rPr>
                    <w:t>pH</w:t>
                  </w:r>
                  <w:r>
                    <w:rPr>
                      <w:rFonts w:ascii="Times New Roman" w:eastAsia="宋体" w:cs="Times New Roman" w:hAnsi="Times New Roman" w:hint="eastAsia"/>
                      <w:b w:val="0"/>
                      <w:bCs w:val="0"/>
                      <w:color w:val="auto"/>
                      <w:sz w:val="21"/>
                      <w:szCs w:val="21"/>
                      <w:lang w:val="en-US" w:eastAsia="zh-CN"/>
                      <w:highlight w:val="none"/>
                    </w:rPr>
                    <w:t>、COD、BOD</w:t>
                  </w:r>
                  <w:r>
                    <w:rPr>
                      <w:rFonts w:ascii="Times New Roman" w:eastAsia="宋体" w:cs="Times New Roman" w:hAnsi="Times New Roman" w:hint="eastAsia"/>
                      <w:b w:val="0"/>
                      <w:bCs w:val="0"/>
                      <w:color w:val="auto"/>
                      <w:sz w:val="21"/>
                      <w:szCs w:val="21"/>
                      <w:vertAlign w:val="subscript"/>
                      <w:lang w:val="en-US" w:eastAsia="zh-CN"/>
                      <w:highlight w:val="none"/>
                    </w:rPr>
                    <w:t>5</w:t>
                  </w:r>
                  <w:r>
                    <w:rPr>
                      <w:rFonts w:ascii="Times New Roman" w:eastAsia="宋体" w:cs="Times New Roman" w:hAnsi="Times New Roman" w:hint="eastAsia"/>
                      <w:b w:val="0"/>
                      <w:bCs w:val="0"/>
                      <w:color w:val="auto"/>
                      <w:sz w:val="21"/>
                      <w:szCs w:val="21"/>
                      <w:lang w:val="en-US" w:eastAsia="zh-CN"/>
                      <w:highlight w:val="none"/>
                    </w:rPr>
                    <w:t>、SS、NH</w:t>
                  </w:r>
                  <w:r>
                    <w:rPr>
                      <w:rFonts w:ascii="Times New Roman" w:eastAsia="宋体" w:cs="Times New Roman" w:hAnsi="Times New Roman" w:hint="eastAsia"/>
                      <w:b w:val="0"/>
                      <w:bCs w:val="0"/>
                      <w:color w:val="auto"/>
                      <w:sz w:val="21"/>
                      <w:szCs w:val="21"/>
                      <w:vertAlign w:val="subscript"/>
                      <w:lang w:val="en-US" w:eastAsia="zh-CN"/>
                      <w:highlight w:val="none"/>
                    </w:rPr>
                    <w:t>3</w:t>
                  </w:r>
                  <w:r>
                    <w:rPr>
                      <w:rFonts w:ascii="Times New Roman" w:eastAsia="宋体" w:cs="Times New Roman" w:hAnsi="Times New Roman" w:hint="eastAsia"/>
                      <w:b w:val="0"/>
                      <w:bCs w:val="0"/>
                      <w:color w:val="auto"/>
                      <w:sz w:val="21"/>
                      <w:szCs w:val="21"/>
                      <w:lang w:val="en-US" w:eastAsia="zh-CN"/>
                      <w:highlight w:val="none"/>
                    </w:rPr>
                    <w:t>-N</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b w:val="0"/>
                      <w:bCs w:val="0"/>
                      <w:color w:val="auto"/>
                      <w:sz w:val="21"/>
                      <w:szCs w:val="21"/>
                      <w:lang w:val="en-US" w:eastAsia="zh-CN"/>
                      <w:highlight w:val="none"/>
                    </w:rPr>
                    <w:t>间断</w:t>
                  </w:r>
                </w:p>
              </w:tc>
              <w:tc>
                <w:tcPr>
                  <w:tcW w:w="1689" w:type="pct"/>
                  <w:tcBorders>
                    <w:left w:val="single" w:sz="4" w:space="0" w:color="auto"/>
                  </w:tcBorders>
                  <w:vAlign w:val="center"/>
                </w:tcPr>
                <w:p>
                  <w:pPr>
                    <w:tabs>
                      <w:tab w:val="center" w:pos="4153"/>
                      <w:tab w:val="right" w:pos="8306"/>
                    </w:tabs>
                    <w:snapToGrid w:val="0"/>
                    <w:jc w:val="center"/>
                    <w:rPr>
                      <w:rFonts w:cs="Times New Roman" w:hint="eastAsia"/>
                      <w:bCs/>
                      <w:color w:val="auto"/>
                      <w:sz w:val="21"/>
                      <w:szCs w:val="21"/>
                      <w:lang w:val="en-US" w:eastAsia="zh-CN"/>
                      <w:highlight w:val="none"/>
                    </w:rPr>
                  </w:pPr>
                  <w:r>
                    <w:rPr>
                      <w:rFonts w:ascii="Times New Roman" w:eastAsia="宋体" w:cs="Times New Roman" w:hAnsi="Times New Roman"/>
                      <w:color w:val="auto"/>
                      <w:kern w:val="2"/>
                      <w:sz w:val="21"/>
                      <w:szCs w:val="21"/>
                      <w:lang w:val="en-US" w:eastAsia="zh-CN" w:bidi="ar-SA"/>
                      <w:highlight w:val="none"/>
                    </w:rPr>
                    <w:t>生活污水依托河北泽豪环保新材料科技有限公司化粪池处理后，</w:t>
                  </w:r>
                  <w:r>
                    <w:rPr>
                      <w:rFonts w:cs="Times New Roman" w:hint="eastAsia"/>
                      <w:color w:val="auto"/>
                      <w:kern w:val="2"/>
                      <w:sz w:val="21"/>
                      <w:szCs w:val="21"/>
                      <w:lang w:val="en-US" w:eastAsia="zh-CN" w:bidi="ar-SA"/>
                      <w:highlight w:val="none"/>
                    </w:rPr>
                    <w:t>定期清掏，不外排</w:t>
                  </w:r>
                </w:p>
              </w:tc>
            </w:tr>
            <w:tr>
              <w:trPr>
                <w:cantSplit/>
                <w:trHeight w:val="397"/>
              </w:trPr>
              <w:tc>
                <w:tcPr>
                  <w:tcW w:w="420" w:type="pct"/>
                  <w:vMerge w:val="restart"/>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噪声</w:t>
                  </w:r>
                </w:p>
              </w:tc>
              <w:tc>
                <w:tcPr>
                  <w:tcW w:w="339" w:type="pct"/>
                  <w:tcBorders>
                    <w:left w:val="single" w:sz="4" w:space="0" w:color="auto"/>
                  </w:tcBorders>
                  <w:vAlign w:val="center"/>
                </w:tcPr>
                <w:p>
                  <w:pPr>
                    <w:snapToGrid w:val="0"/>
                    <w:jc w:val="center"/>
                    <w:rPr>
                      <w:rFonts w:hint="eastAsia"/>
                      <w:color w:val="auto"/>
                      <w:sz w:val="21"/>
                      <w:szCs w:val="21"/>
                      <w:highlight w:val="none"/>
                    </w:rPr>
                  </w:pPr>
                  <w:r>
                    <w:rPr>
                      <w:rFonts w:hint="eastAsia"/>
                      <w:color w:val="auto"/>
                      <w:sz w:val="21"/>
                      <w:szCs w:val="21"/>
                      <w:highlight w:val="none"/>
                    </w:rPr>
                    <w:t>N</w:t>
                  </w:r>
                  <w:r>
                    <w:rPr>
                      <w:rFonts w:hint="eastAsia"/>
                      <w:color w:val="auto"/>
                      <w:sz w:val="21"/>
                      <w:szCs w:val="21"/>
                      <w:vertAlign w:val="subscript"/>
                      <w:lang w:val="en-US" w:eastAsia="zh-CN"/>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风机</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eastAsia="宋体" w:hint="eastAsia"/>
                      <w:color w:val="auto"/>
                      <w:lang w:val="en-US" w:eastAsia="zh-CN"/>
                      <w:highlight w:val="none"/>
                    </w:rPr>
                  </w:pPr>
                  <w:r>
                    <w:rPr>
                      <w:rFonts w:hint="eastAsia"/>
                      <w:color w:val="auto"/>
                      <w:sz w:val="21"/>
                      <w:szCs w:val="21"/>
                      <w:highlight w:val="none"/>
                    </w:rPr>
                    <w:t>Leq</w:t>
                  </w:r>
                  <w:r>
                    <w:rPr>
                      <w:rFonts w:hint="eastAsia"/>
                      <w:color w:val="auto"/>
                      <w:sz w:val="21"/>
                      <w:szCs w:val="21"/>
                      <w:lang w:eastAsia="zh-CN"/>
                      <w:highlight w:val="none"/>
                    </w:rPr>
                    <w:t>（</w:t>
                  </w:r>
                  <w:r>
                    <w:rPr>
                      <w:rFonts w:hint="eastAsia"/>
                      <w:color w:val="auto"/>
                      <w:sz w:val="21"/>
                      <w:szCs w:val="21"/>
                      <w:lang w:val="en-US" w:eastAsia="zh-CN"/>
                      <w:highlight w:val="none"/>
                    </w:rPr>
                    <w:t>A</w:t>
                  </w:r>
                  <w:r>
                    <w:rPr>
                      <w:rFonts w:hint="eastAsia"/>
                      <w:color w:val="auto"/>
                      <w:sz w:val="21"/>
                      <w:szCs w:val="21"/>
                      <w:lang w:eastAsia="zh-CN"/>
                      <w:highlight w:val="none"/>
                    </w:rPr>
                    <w:t>）</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val="restart"/>
                  <w:tcBorders>
                    <w:left w:val="single" w:sz="4" w:space="0" w:color="auto"/>
                  </w:tcBorders>
                  <w:shd w:val="clear" w:color="auto" w:fill="auto"/>
                  <w:vAlign w:val="center"/>
                </w:tcPr>
                <w:p>
                  <w:pPr>
                    <w:tabs>
                      <w:tab w:val="center" w:pos="4153"/>
                      <w:tab w:val="right" w:pos="8306"/>
                    </w:tabs>
                    <w:snapToGrid w:val="0"/>
                    <w:jc w:val="center"/>
                    <w:rPr>
                      <w:rFonts w:eastAsia="宋体" w:cs="Times New Roman" w:hint="eastAsia"/>
                      <w:color w:val="auto"/>
                      <w:kern w:val="2"/>
                      <w:sz w:val="21"/>
                      <w:szCs w:val="21"/>
                      <w:lang w:val="en-US" w:eastAsia="zh-CN" w:bidi="ar-SA"/>
                      <w:highlight w:val="none"/>
                    </w:rPr>
                  </w:pPr>
                  <w:r>
                    <w:rPr>
                      <w:color w:val="auto"/>
                      <w:sz w:val="21"/>
                      <w:szCs w:val="21"/>
                      <w:lang w:val="zh-CN"/>
                      <w:highlight w:val="none"/>
                    </w:rPr>
                    <w:t>选用低噪声设备，采取基础减</w:t>
                  </w:r>
                  <w:r>
                    <w:rPr>
                      <w:rFonts w:hint="eastAsia"/>
                      <w:color w:val="auto"/>
                      <w:sz w:val="21"/>
                      <w:szCs w:val="21"/>
                      <w:lang w:val="zh-CN"/>
                      <w:highlight w:val="none"/>
                    </w:rPr>
                    <w:t>振</w:t>
                  </w:r>
                  <w:r>
                    <w:rPr>
                      <w:color w:val="auto"/>
                      <w:sz w:val="21"/>
                      <w:szCs w:val="21"/>
                      <w:lang w:val="zh-CN"/>
                      <w:highlight w:val="none"/>
                    </w:rPr>
                    <w:t>、厂房隔声等措施</w:t>
                  </w:r>
                </w:p>
              </w:tc>
            </w:tr>
            <w:tr>
              <w:trPr>
                <w:cantSplit/>
                <w:trHeight w:val="464"/>
              </w:trPr>
              <w:tc>
                <w:tcPr>
                  <w:tcW w:w="420" w:type="pct"/>
                  <w:vMerge/>
                  <w:vAlign w:val="center"/>
                </w:tcPr>
                <w:p/>
              </w:tc>
              <w:tc>
                <w:tcPr>
                  <w:tcW w:w="339" w:type="pct"/>
                  <w:tcBorders>
                    <w:left w:val="single" w:sz="4" w:space="0" w:color="auto"/>
                  </w:tcBorders>
                  <w:vAlign w:val="center"/>
                </w:tcPr>
                <w:p>
                  <w:pPr>
                    <w:snapToGrid w:val="0"/>
                    <w:jc w:val="center"/>
                    <w:rPr>
                      <w:rFonts w:hint="eastAsia"/>
                      <w:color w:val="auto"/>
                      <w:sz w:val="21"/>
                      <w:szCs w:val="21"/>
                      <w:highlight w:val="none"/>
                    </w:rPr>
                  </w:pPr>
                  <w:r>
                    <w:rPr>
                      <w:rFonts w:ascii="Times New Roman" w:eastAsia="宋体" w:cs="Times New Roman" w:hAnsi="Times New Roman" w:hint="eastAsia"/>
                      <w:color w:val="auto"/>
                      <w:sz w:val="21"/>
                      <w:szCs w:val="21"/>
                      <w:lang w:val="en-US" w:eastAsia="zh-CN"/>
                      <w:highlight w:val="none"/>
                    </w:rPr>
                    <w:t>N</w:t>
                  </w:r>
                  <w:r>
                    <w:rPr>
                      <w:rFonts w:ascii="Times New Roman" w:eastAsia="宋体" w:cs="Times New Roman" w:hAnsi="Times New Roman" w:hint="eastAsia"/>
                      <w:color w:val="auto"/>
                      <w:sz w:val="21"/>
                      <w:szCs w:val="21"/>
                      <w:vertAlign w:val="subscript"/>
                      <w:lang w:val="en-US" w:eastAsia="zh-CN"/>
                      <w:highlight w:val="none"/>
                    </w:rPr>
                    <w:t>2</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循环泵</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lang w:val="en-US" w:eastAsia="zh-CN"/>
                      <w:highlight w:val="none"/>
                    </w:rPr>
                  </w:pPr>
                  <w:r>
                    <w:rPr>
                      <w:rFonts w:hint="eastAsia"/>
                      <w:color w:val="auto"/>
                      <w:sz w:val="21"/>
                      <w:szCs w:val="21"/>
                      <w:highlight w:val="none"/>
                    </w:rPr>
                    <w:t>Leq</w:t>
                  </w:r>
                  <w:r>
                    <w:rPr>
                      <w:rFonts w:hint="eastAsia"/>
                      <w:color w:val="auto"/>
                      <w:sz w:val="21"/>
                      <w:szCs w:val="21"/>
                      <w:lang w:eastAsia="zh-CN"/>
                      <w:highlight w:val="none"/>
                    </w:rPr>
                    <w:t>（</w:t>
                  </w:r>
                  <w:r>
                    <w:rPr>
                      <w:rFonts w:hint="eastAsia"/>
                      <w:color w:val="auto"/>
                      <w:sz w:val="21"/>
                      <w:szCs w:val="21"/>
                      <w:lang w:val="en-US" w:eastAsia="zh-CN"/>
                      <w:highlight w:val="none"/>
                    </w:rPr>
                    <w:t>A</w:t>
                  </w:r>
                  <w:r>
                    <w:rPr>
                      <w:rFonts w:hint="eastAsia"/>
                      <w:color w:val="auto"/>
                      <w:sz w:val="21"/>
                      <w:szCs w:val="21"/>
                      <w:lang w:eastAsia="zh-CN"/>
                      <w:highlight w:val="none"/>
                    </w:rPr>
                    <w:t>）</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cantSplit/>
                <w:trHeight w:val="397"/>
              </w:trPr>
              <w:tc>
                <w:tcPr>
                  <w:tcW w:w="420" w:type="pct"/>
                  <w:vMerge w:val="restart"/>
                  <w:vAlign w:val="center"/>
                </w:tcPr>
                <w:p>
                  <w:pPr>
                    <w:tabs>
                      <w:tab w:val="center" w:pos="4153"/>
                      <w:tab w:val="right" w:pos="8306"/>
                    </w:tabs>
                    <w:snapToGrid w:val="0"/>
                    <w:jc w:val="center"/>
                    <w:rPr>
                      <w:rFonts w:eastAsia="宋体" w:hint="eastAsia"/>
                      <w:color w:val="auto"/>
                      <w:sz w:val="21"/>
                      <w:szCs w:val="21"/>
                      <w:lang w:val="en-US" w:eastAsia="zh-CN"/>
                      <w:highlight w:val="none"/>
                    </w:rPr>
                  </w:pPr>
                  <w:r>
                    <w:rPr>
                      <w:rFonts w:hint="eastAsia"/>
                      <w:color w:val="auto"/>
                      <w:sz w:val="21"/>
                      <w:szCs w:val="21"/>
                      <w:lang w:val="en-US" w:eastAsia="zh-CN"/>
                      <w:highlight w:val="none"/>
                    </w:rPr>
                    <w:t>固废</w:t>
                  </w: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S</w:t>
                  </w:r>
                  <w:r>
                    <w:rPr>
                      <w:rFonts w:hint="eastAsia"/>
                      <w:color w:val="auto"/>
                      <w:sz w:val="21"/>
                      <w:szCs w:val="21"/>
                      <w:vertAlign w:val="subscript"/>
                      <w:highlight w:val="none"/>
                    </w:rPr>
                    <w:t>1</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hint="eastAsia"/>
                      <w:color w:val="auto"/>
                      <w:sz w:val="21"/>
                      <w:szCs w:val="21"/>
                      <w:lang w:eastAsia="zh-CN"/>
                      <w:highlight w:val="none"/>
                    </w:rPr>
                    <w:t>破损电池贮存间、事故收集</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废</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电解液</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val="restar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t>交</w:t>
                  </w: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有资质单位处置</w:t>
                  </w:r>
                </w:p>
              </w:tc>
            </w:tr>
            <w:tr>
              <w:trPr>
                <w:cantSplit/>
                <w:trHeight w:val="435"/>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eastAsia="宋体" w:hint="eastAsia"/>
                      <w:color w:val="auto"/>
                      <w:sz w:val="21"/>
                      <w:szCs w:val="21"/>
                      <w:lang w:val="en-US" w:eastAsia="zh-CN"/>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2</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sz w:val="21"/>
                      <w:szCs w:val="21"/>
                      <w:lang w:eastAsia="zh-CN"/>
                      <w:highlight w:val="none"/>
                    </w:rPr>
                  </w:pPr>
                  <w:r>
                    <w:rPr>
                      <w:rFonts w:hint="eastAsia"/>
                      <w:color w:val="auto"/>
                      <w:sz w:val="21"/>
                      <w:szCs w:val="21"/>
                      <w:lang w:eastAsia="zh-CN"/>
                      <w:highlight w:val="none"/>
                    </w:rPr>
                    <w:t>碱液喷淋装置</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废碱液</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cantSplit/>
                <w:trHeight w:val="397"/>
              </w:trPr>
              <w:tc>
                <w:tcPr>
                  <w:tcW w:w="420" w:type="pct"/>
                  <w:vMerge/>
                  <w:vAlign w:val="center"/>
                </w:tcPr>
                <w:p/>
              </w:tc>
              <w:tc>
                <w:tcPr>
                  <w:tcW w:w="339"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3</w:t>
                  </w:r>
                </w:p>
              </w:tc>
              <w:tc>
                <w:tcPr>
                  <w:tcW w:w="1114" w:type="pct"/>
                  <w:tcBorders>
                    <w:left w:val="single" w:sz="4" w:space="0" w:color="auto"/>
                  </w:tcBorders>
                  <w:shd w:val="clear" w:color="auto" w:fill="auto"/>
                  <w:vAlign w:val="center"/>
                </w:tcPr>
                <w:p>
                  <w:pPr>
                    <w:tabs>
                      <w:tab w:val="center" w:pos="4153"/>
                      <w:tab w:val="right" w:pos="8306"/>
                    </w:tabs>
                    <w:snapToGrid w:val="0"/>
                    <w:jc w:val="center"/>
                    <w:rPr>
                      <w:rFonts w:hint="eastAsia"/>
                      <w:color w:val="auto"/>
                      <w:sz w:val="21"/>
                      <w:szCs w:val="21"/>
                      <w:lang w:eastAsia="zh-CN"/>
                      <w:highlight w:val="none"/>
                    </w:rPr>
                  </w:pPr>
                  <w:r>
                    <w:rPr>
                      <w:rFonts w:hint="eastAsia"/>
                      <w:color w:val="auto"/>
                      <w:sz w:val="21"/>
                      <w:szCs w:val="21"/>
                      <w:lang w:eastAsia="zh-CN"/>
                      <w:highlight w:val="none"/>
                    </w:rPr>
                    <w:t>废防护用具</w:t>
                  </w:r>
                </w:p>
              </w:tc>
              <w:tc>
                <w:tcPr>
                  <w:tcW w:w="96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eastAsia="Segoe UI" w:cs="Times New Roman" w:hint="eastAsia"/>
                      <w:b w:val="0"/>
                      <w:bCs w:val="0"/>
                      <w:i w:val="0"/>
                      <w:iCs w:val="0"/>
                      <w:caps w:val="0"/>
                      <w:smallCaps w:val="0"/>
                      <w:color w:val="auto"/>
                      <w:spacing w:val="0"/>
                      <w:kern w:val="0"/>
                      <w:sz w:val="21"/>
                      <w:szCs w:val="21"/>
                      <w:shd w:val="clear" w:color="auto" w:fill="FFFFFF"/>
                      <w:lang w:val="en-US" w:eastAsia="zh-CN" w:bidi="ar-SA"/>
                      <w:highlight w:val="none"/>
                    </w:rPr>
                    <w:t>沾染电解液的废抹布、废防护服、废手套等</w:t>
                  </w:r>
                </w:p>
              </w:tc>
              <w:tc>
                <w:tcPr>
                  <w:tcW w:w="47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pPr>
                  <w: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zh-CN" w:eastAsia="zh-CN" w:bidi="ar-SA"/>
                      <w:highlight w:val="none"/>
                    </w:rPr>
                    <w:t>间断</w:t>
                  </w:r>
                </w:p>
              </w:tc>
              <w:tc>
                <w:tcPr>
                  <w:tcW w:w="1689" w:type="pct"/>
                  <w:vMerge/>
                  <w:tcBorders>
                    <w:left w:val="single" w:sz="4" w:space="0" w:color="auto"/>
                  </w:tcBorders>
                  <w:shd w:val="clear" w:color="auto" w:fill="auto"/>
                  <w:vAlign w:val="center"/>
                </w:tcPr>
                <w:p/>
              </w:tc>
            </w:tr>
            <w:tr>
              <w:trPr>
                <w:cantSplit/>
                <w:trHeight w:val="397"/>
              </w:trPr>
              <w:tc>
                <w:tcPr>
                  <w:tcW w:w="420" w:type="pct"/>
                  <w:vMerge/>
                  <w:vAlign w:val="center"/>
                </w:tcPr>
                <w:p/>
              </w:tc>
              <w:tc>
                <w:tcPr>
                  <w:tcW w:w="339" w:type="pct"/>
                  <w:tcBorders>
                    <w:left w:val="single" w:sz="4" w:space="0" w:color="auto"/>
                  </w:tcBorders>
                  <w:vAlign w:val="center"/>
                </w:tcPr>
                <w:p>
                  <w:pPr>
                    <w:snapToGrid w:val="0"/>
                    <w:jc w:val="center"/>
                    <w:rPr>
                      <w:rFonts w:eastAsia="宋体"/>
                      <w:color w:val="auto"/>
                      <w:sz w:val="21"/>
                      <w:szCs w:val="21"/>
                      <w:lang w:val="en-US" w:eastAsia="zh-CN"/>
                      <w:highlight w:val="none"/>
                    </w:rPr>
                  </w:pPr>
                  <w:r>
                    <w:rPr>
                      <w:rFonts w:hint="eastAsia"/>
                      <w:color w:val="auto"/>
                      <w:sz w:val="21"/>
                      <w:szCs w:val="21"/>
                      <w:highlight w:val="none"/>
                    </w:rPr>
                    <w:t>S</w:t>
                  </w:r>
                  <w:r>
                    <w:rPr>
                      <w:rFonts w:hint="eastAsia"/>
                      <w:color w:val="auto"/>
                      <w:sz w:val="21"/>
                      <w:szCs w:val="21"/>
                      <w:vertAlign w:val="subscript"/>
                      <w:lang w:val="en-US" w:eastAsia="zh-CN"/>
                      <w:highlight w:val="none"/>
                    </w:rPr>
                    <w:t>4</w:t>
                  </w:r>
                </w:p>
              </w:tc>
              <w:tc>
                <w:tcPr>
                  <w:tcW w:w="1114" w:type="pct"/>
                  <w:tcBorders>
                    <w:left w:val="single" w:sz="4" w:space="0" w:color="auto"/>
                  </w:tcBorders>
                  <w:vAlign w:val="center"/>
                </w:tcPr>
                <w:p>
                  <w:pPr>
                    <w:tabs>
                      <w:tab w:val="center" w:pos="4153"/>
                      <w:tab w:val="right" w:pos="8306"/>
                    </w:tabs>
                    <w:snapToGrid w:val="0"/>
                    <w:jc w:val="center"/>
                    <w:rPr>
                      <w:color w:val="auto"/>
                      <w:sz w:val="21"/>
                      <w:szCs w:val="21"/>
                      <w:lang w:val="en-US" w:eastAsia="zh-CN"/>
                      <w:highlight w:val="none"/>
                    </w:rPr>
                  </w:pPr>
                  <w:r>
                    <w:rPr>
                      <w:rFonts w:hint="eastAsia"/>
                      <w:color w:val="auto"/>
                      <w:sz w:val="21"/>
                      <w:szCs w:val="21"/>
                      <w:lang w:val="en-US" w:eastAsia="zh-CN"/>
                      <w:highlight w:val="none"/>
                    </w:rPr>
                    <w:t>职工生活</w:t>
                  </w:r>
                </w:p>
              </w:tc>
              <w:tc>
                <w:tcPr>
                  <w:tcW w:w="962" w:type="pct"/>
                  <w:tcBorders>
                    <w:left w:val="single" w:sz="4" w:space="0" w:color="auto"/>
                  </w:tcBorders>
                  <w:vAlign w:val="center"/>
                </w:tcPr>
                <w:p>
                  <w:pPr>
                    <w:tabs>
                      <w:tab w:val="center" w:pos="4153"/>
                      <w:tab w:val="right" w:pos="8306"/>
                    </w:tabs>
                    <w:snapToGrid w:val="0"/>
                    <w:jc w:val="center"/>
                    <w:rPr>
                      <w:rFonts w:hint="eastAsia"/>
                      <w:color w:val="auto"/>
                      <w:sz w:val="21"/>
                      <w:szCs w:val="21"/>
                      <w:highlight w:val="none"/>
                    </w:rPr>
                  </w:pPr>
                  <w:r>
                    <w:rPr>
                      <w:rFonts w:hint="eastAsia"/>
                      <w:color w:val="auto"/>
                      <w:sz w:val="21"/>
                      <w:szCs w:val="21"/>
                      <w:lang w:val="zh-CN"/>
                      <w:highlight w:val="none"/>
                    </w:rPr>
                    <w:t>生</w:t>
                  </w:r>
                  <w:r>
                    <w:rPr>
                      <w:rFonts w:hint="eastAsia"/>
                      <w:color w:val="auto"/>
                      <w:sz w:val="21"/>
                      <w:szCs w:val="21"/>
                      <w:highlight w:val="none"/>
                    </w:rPr>
                    <w:t>活垃圾</w:t>
                  </w:r>
                </w:p>
              </w:tc>
              <w:tc>
                <w:tcPr>
                  <w:tcW w:w="474" w:type="pct"/>
                  <w:tcBorders>
                    <w:left w:val="single" w:sz="4" w:space="0" w:color="auto"/>
                  </w:tcBorders>
                  <w:vAlign w:val="center"/>
                </w:tcPr>
                <w:p>
                  <w:pPr>
                    <w:snapToGrid w:val="0"/>
                    <w:jc w:val="center"/>
                    <w:rPr>
                      <w:rFonts w:hint="eastAsia"/>
                      <w:color w:val="auto"/>
                      <w:sz w:val="21"/>
                      <w:szCs w:val="21"/>
                      <w:lang w:val="zh-CN"/>
                      <w:highlight w:val="none"/>
                    </w:rPr>
                  </w:pPr>
                  <w:r>
                    <w:rPr>
                      <w:rFonts w:hint="eastAsia"/>
                      <w:color w:val="auto"/>
                      <w:sz w:val="21"/>
                      <w:szCs w:val="21"/>
                      <w:lang w:val="zh-CN"/>
                      <w:highlight w:val="none"/>
                    </w:rPr>
                    <w:t>间断</w:t>
                  </w:r>
                </w:p>
              </w:tc>
              <w:tc>
                <w:tcPr>
                  <w:tcW w:w="1689" w:type="pct"/>
                  <w:tcBorders>
                    <w:left w:val="single" w:sz="4" w:space="0" w:color="auto"/>
                  </w:tcBorders>
                  <w:vAlign w:val="center"/>
                </w:tcPr>
                <w:p>
                  <w:pPr>
                    <w:tabs>
                      <w:tab w:val="center" w:pos="4153"/>
                      <w:tab w:val="right" w:pos="8306"/>
                    </w:tabs>
                    <w:snapToGrid w:val="0"/>
                    <w:jc w:val="center"/>
                    <w:rPr>
                      <w:rFonts w:hint="eastAsia"/>
                      <w:color w:val="auto"/>
                      <w:sz w:val="21"/>
                      <w:szCs w:val="21"/>
                      <w:lang w:val="en-US" w:eastAsia="zh-CN"/>
                      <w:highlight w:val="none"/>
                    </w:rPr>
                  </w:pPr>
                  <w:r>
                    <w:rPr>
                      <w:rFonts w:hint="eastAsia"/>
                      <w:color w:val="auto"/>
                      <w:sz w:val="21"/>
                      <w:szCs w:val="21"/>
                      <w:highlight w:val="none"/>
                    </w:rPr>
                    <w:t>由环卫部门统一清运处理</w:t>
                  </w:r>
                </w:p>
              </w:tc>
            </w:tr>
          </w:tbl>
          <w:p>
            <w:pPr>
              <w:pStyle w:val="56"/>
              <w:ind w:firstLineChars="0" w:firstLine="0"/>
              <w:rPr>
                <w:color w:val="auto"/>
                <w:highlight w:val="none"/>
              </w:rPr>
            </w:pPr>
          </w:p>
        </w:tc>
      </w:tr>
      <w:tr>
        <w:trPr>
          <w:trHeight w:val="606"/>
        </w:trPr>
        <w:tc>
          <w:tcPr>
            <w:tcW w:w="397" w:type="pct"/>
            <w:vAlign w:val="center"/>
          </w:tcPr>
          <w:p>
            <w:pPr>
              <w:pStyle w:val="35"/>
              <w:adjustRightInd w:val="0"/>
              <w:snapToGrid w:val="0"/>
              <w:spacing w:before="0" w:beforeAutospacing="0" w:after="0" w:afterAutospacing="0"/>
              <w:jc w:val="center"/>
              <w:rPr>
                <w:rFonts w:cs="宋体" w:hint="eastAsia"/>
                <w:color w:val="auto"/>
                <w:szCs w:val="24"/>
                <w:highlight w:val="none"/>
              </w:rPr>
            </w:pPr>
            <w:r>
              <w:rPr>
                <w:rFonts w:cs="宋体" w:hint="eastAsia"/>
                <w:bCs/>
                <w:color w:val="auto"/>
                <w:kern w:val="2"/>
                <w:szCs w:val="24"/>
                <w:highlight w:val="none"/>
              </w:rPr>
              <w:t>与项目有关的原有环境污染问题</w:t>
            </w:r>
          </w:p>
        </w:tc>
        <w:tc>
          <w:tcPr>
            <w:tcW w:w="4602" w:type="pct"/>
            <w:tcBorders>
              <w:left w:val="single" w:sz="4" w:space="0" w:color="auto"/>
            </w:tcBorders>
          </w:tcPr>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r>
              <w:rPr>
                <w:rFonts w:cs="Times New Roman" w:hint="eastAsia"/>
                <w:color w:val="auto"/>
                <w:sz w:val="24"/>
                <w:lang w:eastAsia="zh-CN"/>
                <w:highlight w:val="none"/>
              </w:rPr>
              <w:t>本项目为新建项目，</w:t>
            </w:r>
            <w:r>
              <w:rPr>
                <w:rFonts w:cs="Times New Roman" w:hint="eastAsia"/>
                <w:color w:val="auto"/>
                <w:sz w:val="24"/>
                <w:lang w:val="en-US"/>
                <w:highlight w:val="none"/>
              </w:rPr>
              <w:t>租赁泽豪闲置库房</w:t>
            </w:r>
            <w:r>
              <w:rPr>
                <w:rFonts w:cs="Times New Roman"/>
                <w:color w:val="auto"/>
                <w:sz w:val="24"/>
                <w:highlight w:val="none"/>
              </w:rPr>
              <w:t>。</w:t>
            </w:r>
            <w:r>
              <w:rPr>
                <w:rFonts w:cs="Times New Roman" w:hint="eastAsia"/>
                <w:color w:val="auto"/>
                <w:sz w:val="24"/>
                <w:lang w:val="en-US"/>
                <w:highlight w:val="none"/>
              </w:rPr>
              <w:t>该库房闲置多年</w:t>
            </w:r>
            <w:r>
              <w:rPr>
                <w:rFonts w:cs="Times New Roman"/>
                <w:color w:val="auto"/>
                <w:sz w:val="24"/>
                <w:highlight w:val="none"/>
              </w:rPr>
              <w:t>，</w:t>
            </w:r>
            <w:r>
              <w:rPr>
                <w:rFonts w:cs="Times New Roman" w:hint="eastAsia"/>
                <w:color w:val="auto"/>
                <w:sz w:val="24"/>
                <w:lang w:val="en-US"/>
                <w:highlight w:val="none"/>
              </w:rPr>
              <w:t>闲置前主要用途也为库房</w:t>
            </w:r>
            <w:r>
              <w:rPr>
                <w:rFonts w:cs="Times New Roman"/>
                <w:color w:val="auto"/>
                <w:sz w:val="24"/>
                <w:highlight w:val="none"/>
              </w:rPr>
              <w:t>，</w:t>
            </w:r>
            <w:r>
              <w:rPr>
                <w:rFonts w:cs="Times New Roman" w:hint="eastAsia"/>
                <w:color w:val="auto"/>
                <w:sz w:val="24"/>
                <w:lang w:val="en-US"/>
                <w:highlight w:val="none"/>
              </w:rPr>
              <w:t>不涉及生产活动</w:t>
            </w:r>
            <w:r>
              <w:rPr>
                <w:rFonts w:cs="Times New Roman"/>
                <w:color w:val="auto"/>
                <w:sz w:val="24"/>
                <w:highlight w:val="none"/>
              </w:rPr>
              <w:t>，</w:t>
            </w:r>
            <w:r>
              <w:rPr>
                <w:rFonts w:cs="Times New Roman" w:hint="eastAsia"/>
                <w:color w:val="auto"/>
                <w:sz w:val="24"/>
                <w:lang w:eastAsia="zh-CN"/>
                <w:highlight w:val="none"/>
              </w:rPr>
              <w:t>不存在与项目有关的原有环境污染问题</w:t>
            </w:r>
            <w:r>
              <w:rPr>
                <w:rFonts w:ascii="Times New Roman" w:eastAsia="宋体" w:cs="Times New Roman" w:hAnsi="Times New Roman" w:hint="eastAsia"/>
                <w:color w:val="auto"/>
                <w:sz w:val="24"/>
                <w:lang w:eastAsia="zh-CN"/>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sz w:val="24"/>
                <w:lang w:eastAsia="zh-CN"/>
                <w:highlight w:val="none"/>
              </w:rPr>
            </w:pPr>
          </w:p>
          <w:p>
            <w:pPr>
              <w:pStyle w:val="15"/>
              <w:jc w:val="both"/>
              <w:rPr>
                <w:rFonts w:hint="eastAsia"/>
                <w:color w:val="auto"/>
                <w:lang w:eastAsia="zh-CN"/>
              </w:rPr>
            </w:pPr>
          </w:p>
        </w:tc>
      </w:tr>
    </w:tbl>
    <w:p>
      <w:pPr>
        <w:rPr>
          <w:color w:val="auto"/>
          <w:lang w:val="fr-FR"/>
          <w:highlight w:val="none"/>
        </w:rPr>
        <w:sectPr>
          <w:pgSz w:w="11906" w:h="16838"/>
          <w:pgMar w:top="1247" w:right="1417" w:bottom="1247" w:left="1417"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p>
    <w:p>
      <w:pPr>
        <w:pStyle w:val="35"/>
        <w:jc w:val="center"/>
        <w:outlineLvl w:val="0"/>
        <w:rPr>
          <w:rFonts w:ascii="黑体" w:eastAsia="黑体" w:hAnsi="黑体" w:hint="eastAsia"/>
          <w:snapToGrid w:val="0"/>
          <w:color w:val="auto"/>
          <w:sz w:val="30"/>
          <w:szCs w:val="30"/>
          <w:highlight w:val="none"/>
        </w:rPr>
      </w:pPr>
      <w:bookmarkStart w:id="45" w:name="_Toc18193"/>
      <w:bookmarkStart w:id="46" w:name="_Toc11956"/>
      <w:bookmarkStart w:id="47" w:name="_Toc22167"/>
      <w:bookmarkStart w:id="48" w:name="_Toc17609"/>
      <w:bookmarkStart w:id="49" w:name="_Toc18464"/>
      <w:r>
        <w:rPr>
          <w:rFonts w:ascii="黑体" w:eastAsia="黑体" w:hAnsi="黑体" w:hint="eastAsia"/>
          <w:snapToGrid w:val="0"/>
          <w:color w:val="auto"/>
          <w:sz w:val="30"/>
          <w:szCs w:val="30"/>
          <w:highlight w:val="none"/>
        </w:rPr>
        <w:t>三、区域环境质量现状、环境保护目标及评价标准</w:t>
      </w:r>
      <w:bookmarkEnd w:id="45"/>
      <w:bookmarkEnd w:id="46"/>
      <w:bookmarkEnd w:id="47"/>
      <w:bookmarkEnd w:id="48"/>
      <w:bookmarkEnd w:id="49"/>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63"/>
        <w:gridCol w:w="8749"/>
      </w:tblGrid>
      <w:tr>
        <w:trPr>
          <w:trHeight w:val="300"/>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区域</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环境</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质量</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现状</w:t>
            </w:r>
          </w:p>
        </w:tc>
        <w:tc>
          <w:tcPr>
            <w:tcW w:w="4550" w:type="pct"/>
            <w:vAlign w:val="center"/>
          </w:tcPr>
          <w:p>
            <w:pPr>
              <w:snapToGrid w:val="0"/>
              <w:spacing w:line="460" w:lineRule="exact"/>
              <w:ind w:firstLineChars="200" w:firstLine="480"/>
              <w:rPr>
                <w:b/>
                <w:bCs/>
                <w:color w:val="auto"/>
                <w:sz w:val="24"/>
                <w:highlight w:val="none"/>
              </w:rPr>
            </w:pPr>
            <w:r>
              <w:rPr>
                <w:rFonts w:hint="eastAsia"/>
                <w:b/>
                <w:bCs/>
                <w:color w:val="auto"/>
                <w:sz w:val="24"/>
                <w:highlight w:val="none"/>
              </w:rPr>
              <w:t>1、大气环境</w:t>
            </w:r>
          </w:p>
          <w:p>
            <w:pPr>
              <w:spacing w:line="460" w:lineRule="exact"/>
              <w:ind w:firstLineChars="200" w:firstLine="480"/>
              <w:rPr>
                <w:color w:val="auto"/>
                <w:sz w:val="24"/>
                <w:highlight w:val="none"/>
              </w:rPr>
            </w:pPr>
            <w:r>
              <w:rPr>
                <w:rFonts w:hint="eastAsia"/>
                <w:color w:val="auto"/>
                <w:sz w:val="24"/>
                <w:highlight w:val="none"/>
              </w:rPr>
              <w:t>（1）环境空气质量达标区判定</w:t>
            </w:r>
          </w:p>
          <w:p>
            <w:pPr>
              <w:keepNext w:val="0"/>
              <w:keepLines w:val="0"/>
              <w:pageBreakBefore w:val="0"/>
              <w:widowControl w:val="0"/>
              <w:kinsoku/>
              <w:wordWrap/>
              <w:overflowPunct/>
              <w:topLinePunct w:val="0"/>
              <w:autoSpaceDE/>
              <w:autoSpaceDN/>
              <w:bidi w:val="0"/>
              <w:adjustRightInd/>
              <w:spacing w:line="500" w:lineRule="exact"/>
              <w:ind w:firstLineChars="200" w:firstLine="480"/>
              <w:textAlignment w:val="auto"/>
              <w:rPr>
                <w:color w:val="auto"/>
                <w:sz w:val="24"/>
                <w:highlight w:val="none"/>
              </w:rPr>
            </w:pPr>
            <w:r>
              <w:rPr>
                <w:color w:val="auto"/>
                <w:sz w:val="24"/>
                <w:highlight w:val="none"/>
              </w:rPr>
              <w:t>根据石家庄市生态环境局</w:t>
            </w:r>
            <w:r>
              <w:rPr>
                <w:rFonts w:hint="eastAsia"/>
                <w:color w:val="auto"/>
                <w:sz w:val="24"/>
                <w:highlight w:val="none"/>
              </w:rPr>
              <w:t>202</w:t>
            </w:r>
            <w:r>
              <w:rPr>
                <w:rFonts w:hint="eastAsia"/>
                <w:color w:val="auto"/>
                <w:sz w:val="24"/>
                <w:lang w:val="en-US" w:eastAsia="zh-CN"/>
                <w:highlight w:val="none"/>
              </w:rPr>
              <w:t>5</w:t>
            </w:r>
            <w:r>
              <w:rPr>
                <w:rFonts w:hint="eastAsia"/>
                <w:color w:val="auto"/>
                <w:sz w:val="24"/>
                <w:highlight w:val="none"/>
              </w:rPr>
              <w:t>年6月</w:t>
            </w:r>
            <w:r>
              <w:rPr>
                <w:color w:val="auto"/>
                <w:sz w:val="24"/>
                <w:highlight w:val="none"/>
              </w:rPr>
              <w:t>发布的《202</w:t>
            </w:r>
            <w:r>
              <w:rPr>
                <w:rFonts w:hint="eastAsia"/>
                <w:color w:val="auto"/>
                <w:sz w:val="24"/>
                <w:lang w:val="en-US" w:eastAsia="zh-CN"/>
                <w:highlight w:val="none"/>
              </w:rPr>
              <w:t>4</w:t>
            </w:r>
            <w:r>
              <w:rPr>
                <w:color w:val="auto"/>
                <w:sz w:val="24"/>
                <w:highlight w:val="none"/>
              </w:rPr>
              <w:t>年石家庄市生态环境</w:t>
            </w:r>
            <w:r>
              <w:rPr>
                <w:rFonts w:hint="eastAsia"/>
                <w:color w:val="auto"/>
                <w:sz w:val="24"/>
                <w:highlight w:val="none"/>
              </w:rPr>
              <w:t>状况</w:t>
            </w:r>
            <w:r>
              <w:rPr>
                <w:color w:val="auto"/>
                <w:sz w:val="24"/>
                <w:highlight w:val="none"/>
              </w:rPr>
              <w:t>公报》相关数据进行判定。</w:t>
            </w:r>
          </w:p>
          <w:p>
            <w:pPr>
              <w:jc w:val="center"/>
              <w:rPr>
                <w:b/>
                <w:color w:val="auto"/>
                <w:sz w:val="24"/>
                <w:highlight w:val="none"/>
              </w:rPr>
            </w:pPr>
            <w:r>
              <w:rPr>
                <w:b/>
                <w:color w:val="auto"/>
                <w:sz w:val="24"/>
                <w:highlight w:val="none"/>
              </w:rPr>
              <w:t>表3-1  区域环境空气质量现状判定表</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02"/>
              <w:gridCol w:w="2103"/>
              <w:gridCol w:w="1509"/>
              <w:gridCol w:w="1394"/>
              <w:gridCol w:w="1303"/>
              <w:gridCol w:w="1014"/>
            </w:tblGrid>
            <w:tr>
              <w:trPr>
                <w:trHeight w:val="397"/>
              </w:trPr>
              <w:tc>
                <w:tcPr>
                  <w:tcW w:w="560"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污染物</w:t>
                  </w:r>
                </w:p>
              </w:tc>
              <w:tc>
                <w:tcPr>
                  <w:tcW w:w="1851"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年评价指标</w:t>
                  </w:r>
                </w:p>
              </w:tc>
              <w:tc>
                <w:tcPr>
                  <w:tcW w:w="752"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现状浓度</w:t>
                  </w:r>
                </w:p>
                <w:p>
                  <w:pPr>
                    <w:widowControl/>
                    <w:adjustRightInd w:val="0"/>
                    <w:snapToGrid w:val="0"/>
                    <w:jc w:val="center"/>
                    <w:rPr>
                      <w:color w:val="auto"/>
                      <w:szCs w:val="21"/>
                      <w:highlight w:val="none"/>
                    </w:rPr>
                  </w:pPr>
                  <w:r>
                    <w:rPr>
                      <w:rFonts w:hint="eastAsia"/>
                      <w:color w:val="auto"/>
                      <w:szCs w:val="21"/>
                      <w:highlight w:val="none"/>
                    </w:rPr>
                    <w:t>μg/m</w:t>
                  </w:r>
                  <w:r>
                    <w:rPr>
                      <w:rFonts w:hint="eastAsia"/>
                      <w:color w:val="auto"/>
                      <w:szCs w:val="21"/>
                      <w:vertAlign w:val="superscript"/>
                      <w:highlight w:val="none"/>
                    </w:rPr>
                    <w:t>3</w:t>
                  </w:r>
                </w:p>
              </w:tc>
              <w:tc>
                <w:tcPr>
                  <w:tcW w:w="625"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标准值</w:t>
                  </w:r>
                </w:p>
                <w:p>
                  <w:pPr>
                    <w:widowControl/>
                    <w:adjustRightInd w:val="0"/>
                    <w:snapToGrid w:val="0"/>
                    <w:jc w:val="center"/>
                    <w:rPr>
                      <w:color w:val="auto"/>
                      <w:szCs w:val="21"/>
                      <w:highlight w:val="none"/>
                    </w:rPr>
                  </w:pPr>
                  <w:r>
                    <w:rPr>
                      <w:rFonts w:hint="eastAsia"/>
                      <w:color w:val="auto"/>
                      <w:szCs w:val="21"/>
                      <w:highlight w:val="none"/>
                    </w:rPr>
                    <w:t>μg/m</w:t>
                  </w:r>
                  <w:r>
                    <w:rPr>
                      <w:rFonts w:hint="eastAsia"/>
                      <w:color w:val="auto"/>
                      <w:szCs w:val="21"/>
                      <w:vertAlign w:val="superscript"/>
                      <w:highlight w:val="none"/>
                    </w:rPr>
                    <w:t>3</w:t>
                  </w:r>
                </w:p>
              </w:tc>
              <w:tc>
                <w:tcPr>
                  <w:tcW w:w="562"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占标率</w:t>
                  </w:r>
                </w:p>
                <w:p>
                  <w:pPr>
                    <w:widowControl/>
                    <w:adjustRightInd w:val="0"/>
                    <w:snapToGrid w:val="0"/>
                    <w:jc w:val="center"/>
                    <w:rPr>
                      <w:color w:val="auto"/>
                      <w:szCs w:val="21"/>
                      <w:highlight w:val="none"/>
                    </w:rPr>
                  </w:pPr>
                  <w:r>
                    <w:rPr>
                      <w:rFonts w:hint="eastAsia"/>
                      <w:color w:val="auto"/>
                      <w:szCs w:val="21"/>
                      <w:highlight w:val="none"/>
                    </w:rPr>
                    <w:t>%</w:t>
                  </w:r>
                </w:p>
              </w:tc>
              <w:tc>
                <w:tcPr>
                  <w:tcW w:w="649" w:type="pct"/>
                  <w:tcBorders>
                    <w:tl2br w:val="nil"/>
                    <w:tr2bl w:val="nil"/>
                  </w:tcBorders>
                  <w:vAlign w:val="center"/>
                </w:tcPr>
                <w:p>
                  <w:pPr>
                    <w:widowControl/>
                    <w:adjustRightInd w:val="0"/>
                    <w:snapToGrid w:val="0"/>
                    <w:jc w:val="center"/>
                    <w:rPr>
                      <w:color w:val="auto"/>
                      <w:szCs w:val="21"/>
                      <w:highlight w:val="none"/>
                    </w:rPr>
                  </w:pPr>
                  <w:r>
                    <w:rPr>
                      <w:rFonts w:hint="eastAsia"/>
                      <w:color w:val="auto"/>
                      <w:szCs w:val="21"/>
                      <w:highlight w:val="none"/>
                    </w:rPr>
                    <w:t>达标情况</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PM</w:t>
                  </w:r>
                  <w:r>
                    <w:rPr>
                      <w:rFonts w:ascii="Times New Roman" w:eastAsia="宋体" w:cs="Times New Roman" w:hAnsi="Times New Roman"/>
                      <w:color w:val="auto"/>
                      <w:sz w:val="21"/>
                      <w:szCs w:val="21"/>
                      <w:vertAlign w:val="subscript"/>
                      <w:highlight w:val="none"/>
                    </w:rPr>
                    <w:t>10</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78</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70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111.43</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PM</w:t>
                  </w:r>
                  <w:r>
                    <w:rPr>
                      <w:rFonts w:ascii="Times New Roman" w:eastAsia="宋体" w:cs="Times New Roman" w:hAnsi="Times New Roman"/>
                      <w:color w:val="auto"/>
                      <w:sz w:val="21"/>
                      <w:szCs w:val="21"/>
                      <w:vertAlign w:val="subscript"/>
                      <w:highlight w:val="none"/>
                    </w:rPr>
                    <w:t>2.5</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45</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35</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128.57</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SO</w:t>
                  </w:r>
                  <w:r>
                    <w:rPr>
                      <w:rFonts w:ascii="Times New Roman" w:eastAsia="宋体" w:cs="Times New Roman" w:hAnsi="Times New Roman"/>
                      <w:color w:val="auto"/>
                      <w:sz w:val="21"/>
                      <w:szCs w:val="21"/>
                      <w:vertAlign w:val="subscript"/>
                      <w:highlight w:val="none"/>
                    </w:rPr>
                    <w:t>2</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5</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60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8.33</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NO</w:t>
                  </w:r>
                  <w:r>
                    <w:rPr>
                      <w:rFonts w:ascii="Times New Roman" w:eastAsia="宋体" w:cs="Times New Roman" w:hAnsi="Times New Roman"/>
                      <w:color w:val="auto"/>
                      <w:sz w:val="21"/>
                      <w:szCs w:val="21"/>
                      <w:vertAlign w:val="subscript"/>
                      <w:highlight w:val="none"/>
                    </w:rPr>
                    <w:t>2</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年平均质量浓度</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27</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40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67.50</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CO</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24小时平均第95位百分位数</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1200</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4000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30.00</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达标</w:t>
                  </w:r>
                </w:p>
              </w:tc>
            </w:tr>
            <w:tr>
              <w:trPr>
                <w:trHeight w:val="397"/>
              </w:trPr>
              <w:tc>
                <w:tcPr>
                  <w:tcW w:w="2447"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O</w:t>
                  </w:r>
                  <w:r>
                    <w:rPr>
                      <w:rFonts w:ascii="Times New Roman" w:eastAsia="宋体" w:cs="Times New Roman" w:hAnsi="Times New Roman"/>
                      <w:color w:val="auto"/>
                      <w:sz w:val="21"/>
                      <w:szCs w:val="21"/>
                      <w:vertAlign w:val="subscript"/>
                      <w:highlight w:val="none"/>
                    </w:rPr>
                    <w:t>3</w:t>
                  </w:r>
                </w:p>
              </w:tc>
              <w:tc>
                <w:tcPr>
                  <w:tcW w:w="5000" w:type="pct"/>
                  <w:tcBorders>
                    <w:tl2br w:val="nil"/>
                    <w:tr2bl w:val="nil"/>
                  </w:tcBorders>
                  <w:vAlign w:val="center"/>
                </w:tcPr>
                <w:p>
                  <w:pPr>
                    <w:pStyle w:val="85"/>
                    <w:adjustRightInd w:val="0"/>
                    <w:snapToGrid/>
                    <w:spacing w:line="300" w:lineRule="exact"/>
                    <w:jc w:val="center"/>
                    <w:textAlignment w:val="auto"/>
                    <w:rPr>
                      <w:color w:val="auto"/>
                      <w:szCs w:val="21"/>
                      <w:highlight w:val="none"/>
                    </w:rPr>
                  </w:pPr>
                  <w:r>
                    <w:rPr>
                      <w:rFonts w:ascii="Times New Roman" w:eastAsia="宋体" w:cs="Times New Roman" w:hAnsi="Times New Roman"/>
                      <w:color w:val="auto"/>
                      <w:sz w:val="21"/>
                      <w:szCs w:val="21"/>
                      <w:highlight w:val="none"/>
                    </w:rPr>
                    <w:t>8小时平均第90位百分位数</w:t>
                  </w:r>
                </w:p>
              </w:tc>
              <w:tc>
                <w:tcPr>
                  <w:tcW w:w="328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pacing w:val="-6"/>
                      <w:szCs w:val="21"/>
                      <w:lang w:val="en-US" w:eastAsia="zh-CN"/>
                      <w:highlight w:val="none"/>
                    </w:rPr>
                    <w:t>182</w:t>
                  </w:r>
                </w:p>
              </w:tc>
              <w:tc>
                <w:tcPr>
                  <w:tcW w:w="2732"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160</w:t>
                  </w:r>
                </w:p>
              </w:tc>
              <w:tc>
                <w:tcPr>
                  <w:tcW w:w="2455" w:type="pct"/>
                  <w:tcBorders>
                    <w:tl2br w:val="nil"/>
                    <w:tr2bl w:val="nil"/>
                  </w:tcBorders>
                  <w:vAlign w:val="center"/>
                </w:tcPr>
                <w:p>
                  <w:pPr>
                    <w:autoSpaceDE w:val="0"/>
                    <w:autoSpaceDN w:val="0"/>
                    <w:spacing w:line="300" w:lineRule="exact"/>
                    <w:jc w:val="center"/>
                    <w:rPr>
                      <w:color w:val="auto"/>
                      <w:szCs w:val="21"/>
                      <w:highlight w:val="none"/>
                    </w:rPr>
                  </w:pPr>
                  <w:r>
                    <w:rPr>
                      <w:rFonts w:hint="eastAsia"/>
                      <w:color w:val="auto"/>
                      <w:szCs w:val="21"/>
                      <w:lang w:val="en-US" w:eastAsia="zh-CN"/>
                      <w:highlight w:val="none"/>
                    </w:rPr>
                    <w:t>113.75</w:t>
                  </w:r>
                </w:p>
              </w:tc>
              <w:tc>
                <w:tcPr>
                  <w:tcW w:w="2835" w:type="pct"/>
                  <w:tcBorders>
                    <w:tl2br w:val="nil"/>
                    <w:tr2bl w:val="nil"/>
                  </w:tcBorders>
                  <w:vAlign w:val="center"/>
                </w:tcPr>
                <w:p>
                  <w:pPr>
                    <w:autoSpaceDE w:val="0"/>
                    <w:autoSpaceDN w:val="0"/>
                    <w:spacing w:line="300" w:lineRule="exact"/>
                    <w:jc w:val="center"/>
                    <w:rPr>
                      <w:color w:val="auto"/>
                      <w:szCs w:val="21"/>
                      <w:highlight w:val="none"/>
                    </w:rPr>
                  </w:pPr>
                  <w:r>
                    <w:rPr>
                      <w:color w:val="auto"/>
                      <w:spacing w:val="-6"/>
                      <w:szCs w:val="21"/>
                      <w:highlight w:val="none"/>
                    </w:rPr>
                    <w:t>不达标</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auto"/>
                <w:sz w:val="24"/>
                <w:highlight w:val="none"/>
              </w:rPr>
            </w:pPr>
            <w:r>
              <w:rPr>
                <w:snapToGrid w:val="0"/>
                <w:color w:val="auto"/>
                <w:kern w:val="0"/>
                <w:sz w:val="24"/>
                <w:highlight w:val="none"/>
              </w:rPr>
              <w:t>根据环境公报的结果，项目所在区域中</w:t>
            </w:r>
            <w:r>
              <w:rPr>
                <w:color w:val="auto"/>
                <w:sz w:val="24"/>
                <w:highlight w:val="none"/>
              </w:rPr>
              <w:t>PM</w:t>
            </w:r>
            <w:r>
              <w:rPr>
                <w:color w:val="auto"/>
                <w:sz w:val="24"/>
                <w:vertAlign w:val="subscript"/>
                <w:highlight w:val="none"/>
              </w:rPr>
              <w:t>10</w:t>
            </w:r>
            <w:r>
              <w:rPr>
                <w:color w:val="auto"/>
                <w:sz w:val="24"/>
                <w:highlight w:val="none"/>
              </w:rPr>
              <w:t>，PM</w:t>
            </w:r>
            <w:r>
              <w:rPr>
                <w:color w:val="auto"/>
                <w:sz w:val="24"/>
                <w:vertAlign w:val="subscript"/>
                <w:highlight w:val="none"/>
              </w:rPr>
              <w:t>2.5</w:t>
            </w:r>
            <w:r>
              <w:rPr>
                <w:color w:val="auto"/>
                <w:sz w:val="24"/>
                <w:highlight w:val="none"/>
              </w:rPr>
              <w:t>，O</w:t>
            </w:r>
            <w:r>
              <w:rPr>
                <w:color w:val="auto"/>
                <w:sz w:val="24"/>
                <w:vertAlign w:val="subscript"/>
                <w:highlight w:val="none"/>
              </w:rPr>
              <w:t>3</w:t>
            </w:r>
            <w:r>
              <w:rPr>
                <w:color w:val="auto"/>
                <w:sz w:val="24"/>
                <w:highlight w:val="none"/>
              </w:rPr>
              <w:t>不达标，SO</w:t>
            </w:r>
            <w:r>
              <w:rPr>
                <w:color w:val="auto"/>
                <w:sz w:val="24"/>
                <w:vertAlign w:val="subscript"/>
                <w:highlight w:val="none"/>
              </w:rPr>
              <w:t>2</w:t>
            </w:r>
            <w:r>
              <w:rPr>
                <w:snapToGrid w:val="0"/>
                <w:color w:val="auto"/>
                <w:kern w:val="0"/>
                <w:sz w:val="24"/>
                <w:highlight w:val="none"/>
              </w:rPr>
              <w:t>、</w:t>
            </w:r>
            <w:r>
              <w:rPr>
                <w:color w:val="auto"/>
                <w:sz w:val="24"/>
                <w:highlight w:val="none"/>
              </w:rPr>
              <w:t>NO</w:t>
            </w:r>
            <w:r>
              <w:rPr>
                <w:color w:val="auto"/>
                <w:sz w:val="24"/>
                <w:vertAlign w:val="subscript"/>
                <w:highlight w:val="none"/>
              </w:rPr>
              <w:t>2</w:t>
            </w:r>
            <w:r>
              <w:rPr>
                <w:color w:val="auto"/>
                <w:sz w:val="24"/>
                <w:highlight w:val="none"/>
              </w:rPr>
              <w:t>、</w:t>
            </w:r>
            <w:r>
              <w:rPr>
                <w:snapToGrid w:val="0"/>
                <w:color w:val="auto"/>
                <w:kern w:val="0"/>
                <w:sz w:val="24"/>
                <w:highlight w:val="none"/>
              </w:rPr>
              <w:t>CO达标且满足</w:t>
            </w:r>
            <w:r>
              <w:rPr>
                <w:rFonts w:hint="eastAsia"/>
                <w:snapToGrid w:val="0"/>
                <w:color w:val="auto"/>
                <w:kern w:val="0"/>
                <w:sz w:val="24"/>
                <w:highlight w:val="none"/>
              </w:rPr>
              <w:t>《环境空气质量标准》（GB 3095-2026）中过渡阶段二级标准浓度限值要求</w:t>
            </w:r>
            <w:r>
              <w:rPr>
                <w:rFonts w:ascii="Times New Roman" w:eastAsia="宋体" w:cs="Times New Roman" w:hAnsi="Times New Roman"/>
                <w:color w:val="auto"/>
                <w:sz w:val="24"/>
                <w:highlight w:val="none"/>
              </w:rPr>
              <w:t>。因此本项目所在区</w:t>
            </w:r>
            <w:r>
              <w:rPr>
                <w:rFonts w:ascii="Times New Roman" w:eastAsia="宋体" w:cs="Times New Roman" w:hAnsi="Times New Roman" w:hint="eastAsia"/>
                <w:color w:val="auto"/>
                <w:sz w:val="24"/>
                <w:highlight w:val="none"/>
              </w:rPr>
              <w:t>域</w:t>
            </w:r>
            <w:r>
              <w:rPr>
                <w:rFonts w:ascii="Times New Roman" w:eastAsia="宋体" w:cs="Times New Roman" w:hAnsi="Times New Roman"/>
                <w:color w:val="auto"/>
                <w:sz w:val="24"/>
                <w:highlight w:val="none"/>
              </w:rPr>
              <w:t>为不达标区。</w:t>
            </w:r>
          </w:p>
          <w:p>
            <w:pPr>
              <w:keepNext w:val="0"/>
              <w:keepLines w:val="0"/>
              <w:pageBreakBefore w:val="0"/>
              <w:widowControl w:val="0"/>
              <w:kinsoku/>
              <w:wordWrap/>
              <w:overflowPunct/>
              <w:topLinePunct w:val="0"/>
              <w:autoSpaceDE/>
              <w:autoSpaceDN/>
              <w:bidi w:val="0"/>
              <w:spacing w:line="460" w:lineRule="exact"/>
              <w:ind w:firstLineChars="200" w:firstLine="480"/>
              <w:jc w:val="both"/>
              <w:textAlignment w:val="auto"/>
              <w:rPr>
                <w:rStyle w:val="51"/>
                <w:color w:val="auto"/>
                <w:sz w:val="24"/>
                <w:highlight w:val="none"/>
              </w:rPr>
            </w:pPr>
            <w:r>
              <w:rPr>
                <w:rFonts w:hint="eastAsia"/>
                <w:b/>
                <w:bCs/>
                <w:color w:val="auto"/>
                <w:sz w:val="24"/>
                <w:highlight w:val="none"/>
              </w:rPr>
              <w:t>2、地表水</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auto"/>
                <w:kern w:val="0"/>
                <w:sz w:val="24"/>
                <w:highlight w:val="none"/>
              </w:rPr>
            </w:pPr>
            <w:r>
              <w:rPr>
                <w:rFonts w:ascii="Times New Roman" w:eastAsia="宋体" w:cs="Times New Roman" w:hAnsi="Times New Roman" w:hint="eastAsia"/>
                <w:color w:val="auto"/>
                <w:kern w:val="0"/>
                <w:sz w:val="24"/>
                <w:highlight w:val="none"/>
              </w:rPr>
              <w:t>项目所在区域附近无地表水体，距离项目最近的水体为东侧</w:t>
            </w:r>
            <w:r>
              <w:rPr>
                <w:rFonts w:cs="Times New Roman" w:hint="eastAsia"/>
                <w:color w:val="auto"/>
                <w:kern w:val="0"/>
                <w:sz w:val="24"/>
                <w:lang w:eastAsia="zh-CN"/>
                <w:highlight w:val="none"/>
              </w:rPr>
              <w:t>370m</w:t>
            </w:r>
            <w:r>
              <w:rPr>
                <w:rFonts w:ascii="Times New Roman" w:eastAsia="宋体" w:cs="Times New Roman" w:hAnsi="Times New Roman" w:hint="eastAsia"/>
                <w:color w:val="auto"/>
                <w:kern w:val="0"/>
                <w:sz w:val="24"/>
                <w:highlight w:val="none"/>
              </w:rPr>
              <w:t>的总退水渠及西南侧</w:t>
            </w:r>
            <w:r>
              <w:rPr>
                <w:rFonts w:cs="Times New Roman" w:hint="eastAsia"/>
                <w:color w:val="auto"/>
                <w:kern w:val="0"/>
                <w:sz w:val="24"/>
                <w:lang w:eastAsia="zh-CN"/>
                <w:highlight w:val="none"/>
              </w:rPr>
              <w:t>350m</w:t>
            </w:r>
            <w:r>
              <w:rPr>
                <w:rFonts w:ascii="Times New Roman" w:eastAsia="宋体" w:cs="Times New Roman" w:hAnsi="Times New Roman" w:hint="eastAsia"/>
                <w:color w:val="auto"/>
                <w:kern w:val="0"/>
                <w:sz w:val="24"/>
                <w:highlight w:val="none"/>
              </w:rPr>
              <w:t>的洨</w:t>
            </w:r>
            <w:r>
              <w:rPr>
                <w:rFonts w:cs="Times New Roman" w:hint="eastAsia"/>
                <w:color w:val="auto"/>
                <w:kern w:val="0"/>
                <w:sz w:val="24"/>
                <w:lang w:eastAsia="zh-CN"/>
                <w:highlight w:val="none"/>
              </w:rPr>
              <w:t>河</w:t>
            </w:r>
            <w:r>
              <w:rPr>
                <w:rFonts w:ascii="Times New Roman" w:eastAsia="宋体" w:cs="Times New Roman" w:hAnsi="Times New Roman" w:hint="eastAsia"/>
                <w:color w:val="auto"/>
                <w:kern w:val="0"/>
                <w:sz w:val="24"/>
                <w:highlight w:val="none"/>
              </w:rPr>
              <w:t>，根据石家庄市生态环境局202</w:t>
            </w:r>
            <w:r>
              <w:rPr>
                <w:rFonts w:ascii="Times New Roman" w:eastAsia="宋体" w:cs="Times New Roman" w:hAnsi="Times New Roman" w:hint="eastAsia"/>
                <w:color w:val="auto"/>
                <w:kern w:val="0"/>
                <w:sz w:val="24"/>
                <w:lang w:val="en-US" w:eastAsia="zh-CN"/>
                <w:highlight w:val="none"/>
              </w:rPr>
              <w:t>5</w:t>
            </w:r>
            <w:r>
              <w:rPr>
                <w:rFonts w:ascii="Times New Roman" w:eastAsia="宋体" w:cs="Times New Roman" w:hAnsi="Times New Roman" w:hint="eastAsia"/>
                <w:color w:val="auto"/>
                <w:kern w:val="0"/>
                <w:sz w:val="24"/>
                <w:highlight w:val="none"/>
              </w:rPr>
              <w:t>年6月发布的《202</w:t>
            </w:r>
            <w:r>
              <w:rPr>
                <w:rFonts w:ascii="Times New Roman" w:eastAsia="宋体" w:cs="Times New Roman" w:hAnsi="Times New Roman" w:hint="eastAsia"/>
                <w:color w:val="auto"/>
                <w:kern w:val="0"/>
                <w:sz w:val="24"/>
                <w:lang w:val="en-US" w:eastAsia="zh-CN"/>
                <w:highlight w:val="none"/>
              </w:rPr>
              <w:t>4</w:t>
            </w:r>
            <w:r>
              <w:rPr>
                <w:rFonts w:ascii="Times New Roman" w:eastAsia="宋体" w:cs="Times New Roman" w:hAnsi="Times New Roman" w:hint="eastAsia"/>
                <w:color w:val="auto"/>
                <w:kern w:val="0"/>
                <w:sz w:val="24"/>
                <w:highlight w:val="none"/>
              </w:rPr>
              <w:t>年石家庄市生态环境状况公报》洨河水质状况轻度污染。</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auto"/>
                <w:kern w:val="0"/>
                <w:sz w:val="24"/>
                <w:lang w:eastAsia="zh-CN"/>
                <w:highlight w:val="none"/>
              </w:rPr>
            </w:pPr>
            <w:r>
              <w:rPr>
                <w:rFonts w:cs="Times New Roman" w:hint="eastAsia"/>
                <w:color w:val="auto"/>
                <w:kern w:val="0"/>
                <w:sz w:val="24"/>
                <w:lang w:eastAsia="zh-CN"/>
                <w:highlight w:val="none"/>
              </w:rPr>
              <w:t>本项目碱液喷淋装置碱液循环使用，定期更换，更换后交由有资质单位处置；生活污水依托河北泽豪环保新材料科技有限公司化粪池处理后，定期清掏，不外排，不会对地表水产生影响。</w:t>
            </w:r>
          </w:p>
          <w:p>
            <w:pPr>
              <w:keepNext w:val="0"/>
              <w:keepLines w:val="0"/>
              <w:pageBreakBefore w:val="0"/>
              <w:widowControl w:val="0"/>
              <w:kinsoku/>
              <w:wordWrap/>
              <w:overflowPunct/>
              <w:topLinePunct w:val="0"/>
              <w:autoSpaceDE/>
              <w:autoSpaceDN/>
              <w:bidi w:val="0"/>
              <w:snapToGrid w:val="0"/>
              <w:spacing w:line="460" w:lineRule="exact"/>
              <w:ind w:firstLineChars="200" w:firstLine="480"/>
              <w:jc w:val="both"/>
              <w:textAlignment w:val="auto"/>
              <w:rPr>
                <w:b/>
                <w:bCs/>
                <w:color w:val="auto"/>
                <w:sz w:val="24"/>
                <w:highlight w:val="none"/>
              </w:rPr>
            </w:pPr>
            <w:r>
              <w:rPr>
                <w:rFonts w:hint="eastAsia"/>
                <w:b/>
                <w:bCs/>
                <w:color w:val="auto"/>
                <w:sz w:val="24"/>
                <w:highlight w:val="none"/>
              </w:rPr>
              <w:t>3、声环境</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color w:val="auto"/>
                <w:kern w:val="0"/>
                <w:sz w:val="24"/>
                <w:highlight w:val="none"/>
              </w:rPr>
            </w:pPr>
            <w:r>
              <w:rPr>
                <w:rFonts w:hint="eastAsia"/>
                <w:color w:val="auto"/>
                <w:kern w:val="0"/>
                <w:sz w:val="24"/>
                <w:highlight w:val="none"/>
              </w:rPr>
              <w:t>项目厂界外周边50米范围内不存在声环境保护目标。</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4</w:t>
            </w:r>
            <w:r>
              <w:rPr>
                <w:rFonts w:hint="eastAsia"/>
                <w:b/>
                <w:bCs/>
                <w:color w:val="auto"/>
                <w:sz w:val="24"/>
                <w:highlight w:val="none"/>
              </w:rPr>
              <w:t>、地下水、土壤环境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rFonts w:hint="eastAsia"/>
                <w:color w:val="auto"/>
                <w:sz w:val="24"/>
                <w:highlight w:val="none"/>
              </w:rPr>
            </w:pPr>
            <w:r>
              <w:rPr>
                <w:rFonts w:ascii="Times New Roman" w:cs="Times New Roman" w:hAnsi="Times New Roman"/>
                <w:color w:val="auto"/>
                <w:sz w:val="24"/>
                <w:szCs w:val="24"/>
                <w:lang w:eastAsia="zh-CN"/>
                <w:highlight w:val="none"/>
              </w:rPr>
              <w:t>根据《建设项目环境影响报告表编制技术指南》（污染影响类）中</w:t>
            </w:r>
            <w:r>
              <w:rPr>
                <w:rFonts w:ascii="Times New Roman" w:cs="Times New Roman" w:hAnsi="Times New Roman"/>
                <w:color w:val="auto"/>
                <w:sz w:val="24"/>
                <w:szCs w:val="24"/>
                <w:highlight w:val="none"/>
              </w:rPr>
              <w:t>有关规定，</w:t>
            </w:r>
            <w:r>
              <w:rPr>
                <w:rFonts w:ascii="Times New Roman" w:cs="Times New Roman" w:hAnsi="Times New Roman"/>
                <w:color w:val="auto"/>
                <w:sz w:val="24"/>
                <w:szCs w:val="24"/>
                <w:lang w:eastAsia="zh-CN"/>
                <w:highlight w:val="none"/>
              </w:rPr>
              <w:t>地下水、土壤环境原则上不开展环境质量现状监测</w:t>
            </w:r>
            <w:r>
              <w:rPr>
                <w:rFonts w:ascii="Times New Roman" w:eastAsia="宋体" w:cs="Times New Roman" w:hAnsi="Times New Roman"/>
                <w:color w:val="auto"/>
                <w:sz w:val="24"/>
                <w:szCs w:val="24"/>
                <w:highlight w:val="none"/>
              </w:rPr>
              <w:t>。</w:t>
            </w:r>
            <w:r>
              <w:rPr>
                <w:rFonts w:ascii="Times New Roman" w:eastAsia="宋体" w:cs="Times New Roman" w:hAnsi="Times New Roman"/>
                <w:color w:val="auto"/>
                <w:sz w:val="24"/>
                <w:szCs w:val="24"/>
                <w:lang w:eastAsia="zh-CN"/>
                <w:highlight w:val="none"/>
              </w:rPr>
              <w:t>本</w:t>
            </w:r>
            <w:r>
              <w:rPr>
                <w:rFonts w:ascii="Times New Roman" w:eastAsia="宋体" w:cs="Times New Roman" w:hAnsi="Times New Roman" w:hint="eastAsia"/>
                <w:color w:val="auto"/>
                <w:sz w:val="24"/>
                <w:szCs w:val="24"/>
                <w:lang w:val="en-US" w:eastAsia="zh-CN"/>
                <w:highlight w:val="none"/>
              </w:rPr>
              <w:t>项目采取分区防渗</w:t>
            </w:r>
            <w:r>
              <w:rPr>
                <w:rFonts w:ascii="Times New Roman" w:eastAsia="宋体" w:cs="Times New Roman" w:hAnsi="Times New Roman"/>
                <w:color w:val="auto"/>
                <w:sz w:val="24"/>
                <w:szCs w:val="24"/>
                <w:lang w:val="en-US" w:eastAsia="zh-CN"/>
                <w:highlight w:val="none"/>
              </w:rPr>
              <w:t>，</w:t>
            </w:r>
            <w:r>
              <w:rPr>
                <w:rFonts w:cs="Times New Roman" w:hint="eastAsia"/>
                <w:color w:val="auto"/>
                <w:sz w:val="24"/>
                <w:szCs w:val="24"/>
                <w:lang w:val="en-US" w:eastAsia="zh-CN"/>
                <w:highlight w:val="none"/>
              </w:rPr>
              <w:t>地面全部按重点防渗进行改造，铺设防轧实心橡胶地垫，不存在土壤、地下水环境污染途径，</w:t>
            </w:r>
            <w:r>
              <w:rPr>
                <w:rFonts w:ascii="Times New Roman" w:eastAsia="宋体" w:cs="Times New Roman" w:hAnsi="Times New Roman" w:hint="eastAsia"/>
                <w:color w:val="auto"/>
                <w:sz w:val="24"/>
                <w:szCs w:val="24"/>
                <w:lang w:val="en-US" w:eastAsia="zh-CN"/>
                <w:highlight w:val="none"/>
              </w:rPr>
              <w:t>不会对</w:t>
            </w:r>
            <w:r>
              <w:rPr>
                <w:rFonts w:ascii="Times New Roman" w:eastAsia="宋体" w:cs="Times New Roman" w:hAnsi="Times New Roman"/>
                <w:color w:val="auto"/>
                <w:sz w:val="24"/>
                <w:szCs w:val="24"/>
                <w:lang w:val="en-US" w:eastAsia="zh-CN"/>
                <w:highlight w:val="none"/>
              </w:rPr>
              <w:t>地下水、土壤</w:t>
            </w:r>
            <w:r>
              <w:rPr>
                <w:rFonts w:ascii="Times New Roman" w:eastAsia="宋体" w:cs="Times New Roman" w:hAnsi="Times New Roman" w:hint="eastAsia"/>
                <w:color w:val="auto"/>
                <w:sz w:val="24"/>
                <w:szCs w:val="24"/>
                <w:lang w:val="en-US" w:eastAsia="zh-CN"/>
                <w:highlight w:val="none"/>
              </w:rPr>
              <w:t>造成</w:t>
            </w:r>
            <w:r>
              <w:rPr>
                <w:rFonts w:ascii="Times New Roman" w:eastAsia="宋体" w:cs="Times New Roman" w:hAnsi="Times New Roman"/>
                <w:color w:val="auto"/>
                <w:sz w:val="24"/>
                <w:szCs w:val="24"/>
                <w:lang w:val="en-US" w:eastAsia="zh-CN"/>
                <w:highlight w:val="none"/>
              </w:rPr>
              <w:t>污染，故未进行地下水、土壤环境监测</w:t>
            </w:r>
            <w:r>
              <w:rPr>
                <w:rFonts w:hint="eastAsia"/>
                <w:color w:val="auto"/>
                <w:sz w:val="24"/>
                <w:highlight w:val="none"/>
              </w:rPr>
              <w:t>。</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5</w:t>
            </w:r>
            <w:r>
              <w:rPr>
                <w:rFonts w:hint="eastAsia"/>
                <w:b/>
                <w:bCs/>
                <w:color w:val="auto"/>
                <w:sz w:val="24"/>
                <w:highlight w:val="none"/>
              </w:rPr>
              <w:t>、生态环境</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color w:val="auto"/>
                <w:sz w:val="24"/>
                <w:highlight w:val="none"/>
              </w:rPr>
            </w:pPr>
            <w:r>
              <w:rPr>
                <w:rFonts w:hint="eastAsia"/>
                <w:color w:val="auto"/>
                <w:sz w:val="24"/>
                <w:highlight w:val="none"/>
              </w:rPr>
              <w:t>经调查，项目附近无珍稀动植物等生态环境保护目标分布，不涉及生态现状调查。</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auto"/>
                <w:sz w:val="24"/>
                <w:highlight w:val="none"/>
              </w:rPr>
            </w:pPr>
            <w:r>
              <w:rPr>
                <w:rFonts w:hint="eastAsia"/>
                <w:b/>
                <w:bCs/>
                <w:color w:val="auto"/>
                <w:sz w:val="24"/>
                <w:lang w:val="en-US" w:eastAsia="zh-CN"/>
                <w:highlight w:val="none"/>
              </w:rPr>
              <w:t>6</w:t>
            </w:r>
            <w:r>
              <w:rPr>
                <w:rFonts w:hint="eastAsia"/>
                <w:b/>
                <w:bCs/>
                <w:color w:val="auto"/>
                <w:sz w:val="24"/>
                <w:highlight w:val="none"/>
              </w:rPr>
              <w:t>、电磁辐射</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rFonts w:ascii="宋体" w:cs="宋体" w:hAnsi="宋体" w:hint="eastAsia"/>
                <w:color w:val="auto"/>
                <w:kern w:val="0"/>
                <w:sz w:val="24"/>
                <w:highlight w:val="none"/>
              </w:rPr>
            </w:pPr>
            <w:r>
              <w:rPr>
                <w:rFonts w:hint="eastAsia"/>
                <w:color w:val="auto"/>
                <w:sz w:val="24"/>
                <w:highlight w:val="none"/>
              </w:rPr>
              <w:t>项目不属于新建或技改、技改广播电台、差转台、电视塔台、卫星地球上行站、雷达等电磁辐射类项目，不涉及项目电磁辐射现状监测。</w:t>
            </w:r>
          </w:p>
        </w:tc>
      </w:tr>
      <w:tr>
        <w:trPr>
          <w:trHeight w:val="237"/>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环境</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保护</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目标</w:t>
            </w:r>
          </w:p>
        </w:tc>
        <w:tc>
          <w:tcPr>
            <w:tcW w:w="4550" w:type="pct"/>
            <w:tcBorders>
              <w:left w:val="single" w:sz="4" w:space="0" w:color="auto"/>
            </w:tcBorders>
            <w:vAlign w:val="center"/>
          </w:tcPr>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b/>
                <w:bCs/>
                <w:color w:val="auto"/>
                <w:kern w:val="2"/>
                <w:sz w:val="24"/>
                <w:szCs w:val="24"/>
                <w:highlight w:val="none"/>
              </w:rPr>
            </w:pPr>
            <w:r>
              <w:rPr>
                <w:rFonts w:ascii="Times New Roman" w:hAnsi="Times New Roman" w:hint="eastAsia"/>
                <w:b/>
                <w:bCs/>
                <w:color w:val="auto"/>
                <w:kern w:val="2"/>
                <w:sz w:val="24"/>
                <w:szCs w:val="24"/>
                <w:highlight w:val="none"/>
              </w:rPr>
              <w:t>1、大气环境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hint="eastAsia"/>
                <w:color w:val="auto"/>
                <w:kern w:val="2"/>
                <w:sz w:val="24"/>
                <w:szCs w:val="24"/>
                <w:lang w:val="en-US" w:eastAsia="zh-CN"/>
                <w:highlight w:val="none"/>
              </w:rPr>
            </w:pPr>
            <w:r>
              <w:rPr>
                <w:rFonts w:ascii="Times New Roman" w:hAnsi="Times New Roman" w:hint="eastAsia"/>
                <w:color w:val="auto"/>
                <w:kern w:val="2"/>
                <w:sz w:val="24"/>
                <w:szCs w:val="24"/>
                <w:highlight w:val="none"/>
              </w:rPr>
              <w:t>厂界外500米范围内</w:t>
            </w:r>
            <w:r>
              <w:rPr>
                <w:rFonts w:ascii="Times New Roman" w:hAnsi="Times New Roman" w:hint="eastAsia"/>
                <w:color w:val="auto"/>
                <w:kern w:val="2"/>
                <w:sz w:val="24"/>
                <w:szCs w:val="24"/>
                <w:lang w:eastAsia="zh-CN"/>
                <w:highlight w:val="none"/>
              </w:rPr>
              <w:t>不涉及</w:t>
            </w:r>
            <w:r>
              <w:rPr>
                <w:rFonts w:ascii="Times New Roman" w:hAnsi="Times New Roman" w:hint="eastAsia"/>
                <w:color w:val="auto"/>
                <w:kern w:val="2"/>
                <w:sz w:val="24"/>
                <w:szCs w:val="24"/>
                <w:highlight w:val="none"/>
              </w:rPr>
              <w:t>大气环境保护目标</w:t>
            </w:r>
            <w:r>
              <w:rPr>
                <w:rFonts w:ascii="Times New Roman" w:hAnsi="Times New Roman" w:hint="eastAsia"/>
                <w:color w:val="auto"/>
                <w:kern w:val="2"/>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auto"/>
                <w:sz w:val="24"/>
                <w:highlight w:val="none"/>
              </w:rPr>
            </w:pPr>
            <w:r>
              <w:rPr>
                <w:rFonts w:hint="eastAsia"/>
                <w:b/>
                <w:bCs/>
                <w:color w:val="auto"/>
                <w:sz w:val="24"/>
                <w:highlight w:val="none"/>
              </w:rPr>
              <w:t>2、声环境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eastAsia="黑体" w:hAnsi="Times New Roman"/>
                <w:bCs/>
                <w:color w:val="auto"/>
                <w:kern w:val="2"/>
                <w:sz w:val="24"/>
                <w:szCs w:val="24"/>
                <w:highlight w:val="none"/>
              </w:rPr>
            </w:pPr>
            <w:r>
              <w:rPr>
                <w:rFonts w:ascii="Times New Roman" w:hAnsi="Times New Roman" w:hint="eastAsia"/>
                <w:color w:val="auto"/>
                <w:sz w:val="24"/>
                <w:highlight w:val="none"/>
              </w:rPr>
              <w:t>厂界外50米范围内无声环境保护目标</w:t>
            </w:r>
            <w:r>
              <w:rPr>
                <w:rFonts w:ascii="Times New Roman" w:hAnsi="Times New Roman" w:hint="eastAsia"/>
                <w:color w:val="auto"/>
                <w:kern w:val="2"/>
                <w:sz w:val="24"/>
                <w:szCs w:val="24"/>
                <w:highlight w:val="none"/>
              </w:rPr>
              <w:t>。</w:t>
            </w:r>
          </w:p>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auto"/>
                <w:sz w:val="24"/>
                <w:highlight w:val="none"/>
              </w:rPr>
            </w:pPr>
            <w:r>
              <w:rPr>
                <w:rFonts w:hint="eastAsia"/>
                <w:b/>
                <w:bCs/>
                <w:color w:val="auto"/>
                <w:sz w:val="24"/>
                <w:highlight w:val="none"/>
              </w:rPr>
              <w:t>3、地下水环境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color w:val="auto"/>
                <w:sz w:val="24"/>
                <w:highlight w:val="none"/>
              </w:rPr>
            </w:pPr>
            <w:r>
              <w:rPr>
                <w:rFonts w:hint="eastAsia"/>
                <w:color w:val="auto"/>
                <w:sz w:val="24"/>
                <w:lang w:eastAsia="zh-CN"/>
                <w:highlight w:val="none"/>
              </w:rPr>
              <w:t>根据《</w:t>
            </w:r>
            <w:r>
              <w:rPr>
                <w:rFonts w:hint="eastAsia"/>
                <w:color w:val="auto"/>
                <w:sz w:val="24"/>
                <w:highlight w:val="none"/>
              </w:rPr>
              <w:t>河北石家庄装备制造产业园总体规划（202 2-203 0年）环境影响评价报告书</w:t>
            </w:r>
            <w:r>
              <w:rPr>
                <w:rFonts w:hint="eastAsia"/>
                <w:color w:val="auto"/>
                <w:sz w:val="24"/>
                <w:lang w:eastAsia="zh-CN"/>
                <w:highlight w:val="none"/>
              </w:rPr>
              <w:t>》，</w:t>
            </w:r>
            <w:r>
              <w:rPr>
                <w:rFonts w:hint="eastAsia"/>
                <w:color w:val="auto"/>
                <w:sz w:val="24"/>
                <w:highlight w:val="none"/>
              </w:rPr>
              <w:t>河北石家庄装备制造产业园内涉及“千吨万人”集中式饮用水水源保护区共有1个，为石家庄市栾城区水利局第一供水厂水源地</w:t>
            </w:r>
            <w:r>
              <w:rPr>
                <w:rFonts w:hint="eastAsia"/>
                <w:color w:val="auto"/>
                <w:sz w:val="24"/>
                <w:lang w:eastAsia="zh-CN"/>
                <w:highlight w:val="none"/>
              </w:rPr>
              <w:t>，</w:t>
            </w:r>
            <w:r>
              <w:rPr>
                <w:rFonts w:hint="eastAsia"/>
                <w:color w:val="auto"/>
                <w:sz w:val="24"/>
                <w:highlight w:val="none"/>
              </w:rPr>
              <w:t>保护区面积0.01（km</w:t>
            </w:r>
            <w:r>
              <w:rPr>
                <w:rFonts w:hint="eastAsia"/>
                <w:color w:val="auto"/>
                <w:sz w:val="24"/>
                <w:vertAlign w:val="superscript"/>
                <w:highlight w:val="none"/>
              </w:rPr>
              <w:t>2</w:t>
            </w:r>
            <w:r>
              <w:rPr>
                <w:rFonts w:hint="eastAsia"/>
                <w:color w:val="auto"/>
                <w:sz w:val="24"/>
                <w:highlight w:val="none"/>
              </w:rPr>
              <w:t>）。</w:t>
            </w:r>
            <w:r>
              <w:rPr>
                <w:rFonts w:hint="eastAsia"/>
                <w:color w:val="auto"/>
                <w:sz w:val="24"/>
                <w:lang w:eastAsia="zh-CN"/>
                <w:highlight w:val="none"/>
              </w:rPr>
              <w:t>本项目距离保护区约</w:t>
            </w:r>
            <w:r>
              <w:rPr>
                <w:rFonts w:hint="eastAsia"/>
                <w:color w:val="auto"/>
                <w:sz w:val="24"/>
                <w:lang w:val="en-US" w:eastAsia="zh-CN"/>
                <w:highlight w:val="none"/>
              </w:rPr>
              <w:t>3.5km</w:t>
            </w:r>
            <w:r>
              <w:rPr>
                <w:rFonts w:hint="eastAsia"/>
                <w:color w:val="auto"/>
                <w:sz w:val="24"/>
                <w:lang w:eastAsia="zh-CN"/>
                <w:highlight w:val="none"/>
              </w:rPr>
              <w:t>，位置关系详见附图</w:t>
            </w:r>
            <w:r>
              <w:rPr>
                <w:rFonts w:hint="eastAsia"/>
                <w:color w:val="auto"/>
                <w:sz w:val="24"/>
                <w:lang w:val="en-US" w:eastAsia="zh-CN"/>
                <w:highlight w:val="none"/>
              </w:rPr>
              <w:t>7</w:t>
            </w:r>
            <w:r>
              <w:rPr>
                <w:rFonts w:hint="eastAsia"/>
                <w:color w:val="auto"/>
                <w:sz w:val="24"/>
                <w:lang w:eastAsia="zh-CN"/>
                <w:highlight w:val="none"/>
              </w:rPr>
              <w:t>。</w:t>
            </w:r>
            <w:r>
              <w:rPr>
                <w:rFonts w:hint="eastAsia"/>
                <w:color w:val="auto"/>
                <w:sz w:val="24"/>
                <w:highlight w:val="none"/>
              </w:rPr>
              <w:t>厂界外500米范围内无地下水集中式饮用水水源和热水、矿泉水、温泉等特殊地下水资源。</w:t>
            </w:r>
          </w:p>
          <w:p>
            <w:pPr>
              <w:pStyle w:val="33"/>
              <w:keepNext w:val="0"/>
              <w:keepLines w:val="0"/>
              <w:pageBreakBefore w:val="0"/>
              <w:widowControl w:val="0"/>
              <w:kinsoku/>
              <w:wordWrap/>
              <w:overflowPunct/>
              <w:topLinePunct w:val="0"/>
              <w:autoSpaceDE/>
              <w:autoSpaceDN/>
              <w:bidi w:val="0"/>
              <w:spacing w:line="460" w:lineRule="exact"/>
              <w:textAlignment w:val="auto"/>
              <w:rPr>
                <w:b/>
                <w:bCs/>
                <w:color w:val="auto"/>
                <w:sz w:val="24"/>
                <w:highlight w:val="none"/>
              </w:rPr>
            </w:pPr>
            <w:r>
              <w:rPr>
                <w:rFonts w:hint="eastAsia"/>
                <w:b/>
                <w:bCs/>
                <w:color w:val="auto"/>
                <w:sz w:val="24"/>
                <w:highlight w:val="none"/>
              </w:rPr>
              <w:t>4、生态环境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cs="宋体" w:hAnsi="宋体" w:hint="eastAsia"/>
                <w:color w:val="auto"/>
                <w:sz w:val="24"/>
                <w:highlight w:val="none"/>
              </w:rPr>
            </w:pPr>
            <w:r>
              <w:rPr>
                <w:color w:val="auto"/>
                <w:sz w:val="24"/>
                <w:szCs w:val="24"/>
                <w:lang w:val="en-US" w:eastAsia="zh-CN"/>
                <w:highlight w:val="none"/>
              </w:rPr>
              <w:t>本项目</w:t>
            </w:r>
            <w:r>
              <w:rPr>
                <w:rFonts w:hint="eastAsia"/>
                <w:color w:val="auto"/>
                <w:sz w:val="24"/>
                <w:szCs w:val="24"/>
                <w:lang w:val="en-US" w:eastAsia="zh-CN"/>
                <w:highlight w:val="none"/>
              </w:rPr>
              <w:t>位于河北石家庄装备制造产业园</w:t>
            </w:r>
            <w:r>
              <w:rPr>
                <w:rFonts w:hint="eastAsia"/>
                <w:color w:val="auto"/>
                <w:sz w:val="24"/>
                <w:szCs w:val="24"/>
                <w:vertAlign w:val="baseline"/>
                <w:lang w:val="en-US" w:eastAsia="zh-CN"/>
                <w:highlight w:val="none"/>
              </w:rPr>
              <w:t>，租用闲置库房，</w:t>
            </w:r>
            <w:r>
              <w:rPr>
                <w:rFonts w:ascii="Times New Roman" w:eastAsia="宋体" w:cs="Times New Roman" w:hAnsi="Times New Roman"/>
                <w:color w:val="auto"/>
                <w:sz w:val="24"/>
                <w:szCs w:val="24"/>
                <w:lang w:val="en-US" w:eastAsia="zh-CN"/>
                <w:highlight w:val="none"/>
              </w:rPr>
              <w:t>占地性质为工业用地</w:t>
            </w:r>
            <w:r>
              <w:rPr>
                <w:rFonts w:ascii="Times New Roman" w:eastAsia="宋体" w:cs="Times New Roman" w:hAnsi="Times New Roman" w:hint="eastAsia"/>
                <w:color w:val="auto"/>
                <w:sz w:val="24"/>
                <w:szCs w:val="24"/>
                <w:lang w:val="en-US" w:eastAsia="zh-CN"/>
                <w:highlight w:val="none"/>
              </w:rPr>
              <w:t>，</w:t>
            </w:r>
            <w:r>
              <w:rPr>
                <w:rFonts w:ascii="Times New Roman" w:hAnsi="Times New Roman" w:hint="eastAsia"/>
                <w:color w:val="auto"/>
                <w:sz w:val="24"/>
                <w:highlight w:val="none"/>
              </w:rPr>
              <w:t>项目用地范围内无生态环境保护目标。</w:t>
            </w:r>
          </w:p>
        </w:tc>
      </w:tr>
      <w:tr>
        <w:trPr>
          <w:trHeight w:val="399"/>
        </w:trPr>
        <w:tc>
          <w:tcPr>
            <w:tcW w:w="449" w:type="pct"/>
            <w:tcMar>
              <w:left w:w="28" w:type="dxa"/>
              <w:right w:w="28" w:type="dxa"/>
            </w:tcMar>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污染</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物排</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放控</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制标</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准</w:t>
            </w:r>
          </w:p>
        </w:tc>
        <w:tc>
          <w:tcPr>
            <w:tcW w:w="4550"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b/>
                <w:bCs/>
                <w:color w:val="auto"/>
                <w:sz w:val="24"/>
                <w:highlight w:val="none"/>
              </w:rPr>
            </w:pPr>
            <w:r>
              <w:rPr>
                <w:rFonts w:hint="eastAsia"/>
                <w:b/>
                <w:bCs/>
                <w:color w:val="auto"/>
                <w:sz w:val="24"/>
                <w:highlight w:val="none"/>
              </w:rPr>
              <w:t>1、</w:t>
            </w:r>
            <w:r>
              <w:rPr>
                <w:b/>
                <w:bCs/>
                <w:color w:val="auto"/>
                <w:sz w:val="24"/>
                <w:highlight w:val="none"/>
              </w:rPr>
              <w:t>废气</w:t>
            </w:r>
          </w:p>
          <w:p>
            <w:pPr>
              <w:adjustRightInd w:val="0"/>
              <w:spacing w:line="460" w:lineRule="exact"/>
              <w:ind w:firstLineChars="200" w:firstLine="480"/>
              <w:rPr>
                <w:rFonts w:eastAsia="宋体" w:hint="eastAsia"/>
                <w:color w:val="auto"/>
                <w:sz w:val="24"/>
                <w:lang w:eastAsia="zh-CN"/>
                <w:highlight w:val="none"/>
              </w:rPr>
            </w:pPr>
            <w:r>
              <w:rPr>
                <w:rFonts w:ascii="Times New Roman" w:cs="Times New Roman" w:hAnsi="Times New Roman"/>
                <w:color w:val="auto"/>
                <w:sz w:val="24"/>
                <w:highlight w:val="none"/>
              </w:rPr>
              <w:t>施工期：</w:t>
            </w:r>
            <w:r>
              <w:rPr>
                <w:rFonts w:hint="eastAsia"/>
                <w:color w:val="auto"/>
                <w:sz w:val="24"/>
                <w:highlight w:val="none"/>
              </w:rPr>
              <w:t>施工场地扬尘排放执行《施工场地扬尘排放标准》（DB13/2934-2019）表1扬尘排放浓度限值；</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eastAsia="宋体" w:cs="Times New Roman" w:hAnsi="Times New Roman"/>
                <w:color w:val="auto"/>
                <w:sz w:val="24"/>
                <w:highlight w:val="none"/>
              </w:rPr>
            </w:pPr>
            <w:r>
              <w:rPr>
                <w:rFonts w:ascii="Times New Roman" w:cs="Times New Roman" w:hAnsi="Times New Roman"/>
                <w:color w:val="auto"/>
                <w:sz w:val="24"/>
                <w:highlight w:val="none"/>
              </w:rPr>
              <w:t>运营期：</w:t>
            </w:r>
            <w:r>
              <w:rPr>
                <w:rFonts w:cs="Times New Roman" w:hint="eastAsia"/>
                <w:color w:val="auto"/>
                <w:sz w:val="24"/>
                <w:lang w:val="en-US" w:eastAsia="zh-CN"/>
                <w:highlight w:val="none"/>
              </w:rPr>
              <w:t>硫酸雾</w:t>
            </w:r>
            <w:r>
              <w:rPr>
                <w:rFonts w:ascii="Times New Roman" w:eastAsia="宋体" w:cs="Times New Roman" w:hAnsi="Times New Roman" w:hint="eastAsia"/>
                <w:color w:val="auto"/>
                <w:sz w:val="24"/>
                <w:lang w:val="en-US" w:eastAsia="zh-CN"/>
                <w:highlight w:val="none"/>
              </w:rPr>
              <w:t>执行《大气污染物综合排放标准》（GB 16297-1996）表2二级标准</w:t>
            </w:r>
            <w:r>
              <w:rPr>
                <w:rFonts w:cs="Times New Roman" w:hint="eastAsia"/>
                <w:color w:val="auto"/>
                <w:sz w:val="24"/>
                <w:lang w:val="en-US" w:eastAsia="zh-CN"/>
                <w:highlight w:val="none"/>
              </w:rPr>
              <w:t>，考虑到电池工业排放标准更加严格，因此仅</w:t>
            </w:r>
            <w:r>
              <w:rPr>
                <w:rFonts w:cs="Times New Roman" w:hint="eastAsia"/>
                <w:color w:val="auto"/>
                <w:sz w:val="24"/>
                <w:lang w:val="en-US"/>
                <w:highlight w:val="none"/>
              </w:rPr>
              <w:t>硫酸雾</w:t>
            </w:r>
            <w:r>
              <w:rPr>
                <w:rFonts w:cs="Times New Roman" w:hint="eastAsia"/>
                <w:color w:val="auto"/>
                <w:sz w:val="24"/>
                <w:lang w:val="en-US" w:eastAsia="zh-CN"/>
                <w:highlight w:val="none"/>
              </w:rPr>
              <w:t>排放浓度</w:t>
            </w:r>
            <w:r>
              <w:rPr>
                <w:rFonts w:cs="Times New Roman" w:hint="eastAsia"/>
                <w:color w:val="auto"/>
                <w:sz w:val="24"/>
                <w:lang w:val="en-US"/>
                <w:highlight w:val="none"/>
              </w:rPr>
              <w:t>参照《电池工业污染物排放标准》（GB 30484-2013）中表</w:t>
            </w:r>
            <w:r>
              <w:rPr>
                <w:rFonts w:cs="Times New Roman"/>
                <w:color w:val="auto"/>
                <w:sz w:val="24"/>
                <w:highlight w:val="none"/>
              </w:rPr>
              <w:t>5、</w:t>
            </w:r>
            <w:r>
              <w:rPr>
                <w:rFonts w:cs="Times New Roman" w:hint="eastAsia"/>
                <w:color w:val="auto"/>
                <w:sz w:val="24"/>
                <w:lang w:val="en-US"/>
                <w:highlight w:val="none"/>
              </w:rPr>
              <w:t>表</w:t>
            </w:r>
            <w:r>
              <w:rPr>
                <w:rFonts w:cs="Times New Roman"/>
                <w:color w:val="auto"/>
                <w:sz w:val="24"/>
                <w:highlight w:val="none"/>
              </w:rPr>
              <w:t>6</w:t>
            </w:r>
            <w:r>
              <w:rPr>
                <w:rFonts w:cs="Times New Roman" w:hint="eastAsia"/>
                <w:color w:val="auto"/>
                <w:sz w:val="24"/>
                <w:lang w:val="en-US"/>
                <w:highlight w:val="none"/>
              </w:rPr>
              <w:t>排放限制要求</w:t>
            </w:r>
            <w:r>
              <w:rPr>
                <w:rFonts w:cs="Times New Roman"/>
                <w:color w:val="auto"/>
                <w:sz w:val="24"/>
                <w:highlight w:val="none"/>
              </w:rPr>
              <w:t>。</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cs="Times New Roman" w:hAnsi="Times New Roman"/>
                <w:color w:val="auto"/>
                <w:sz w:val="24"/>
                <w:lang w:val="zh-CN"/>
                <w:highlight w:val="none"/>
              </w:rPr>
            </w:pPr>
            <w:r>
              <w:rPr>
                <w:rFonts w:ascii="Times New Roman" w:cs="Times New Roman" w:hAnsi="Times New Roman"/>
                <w:color w:val="auto"/>
                <w:sz w:val="24"/>
                <w:lang w:val="zh-CN"/>
                <w:highlight w:val="none"/>
              </w:rPr>
              <w:t>排放标准一览表见表</w:t>
            </w:r>
            <w:r>
              <w:rPr>
                <w:rFonts w:ascii="Times New Roman" w:cs="Times New Roman" w:hAnsi="Times New Roman"/>
                <w:color w:val="auto"/>
                <w:sz w:val="24"/>
                <w:lang w:val="en-US" w:eastAsia="zh-CN"/>
                <w:highlight w:val="none"/>
              </w:rPr>
              <w:t>3-</w:t>
            </w:r>
            <w:r>
              <w:rPr>
                <w:rFonts w:cs="Times New Roman" w:hint="eastAsia"/>
                <w:color w:val="auto"/>
                <w:sz w:val="24"/>
                <w:lang w:val="en-US" w:eastAsia="zh-CN"/>
                <w:highlight w:val="none"/>
              </w:rPr>
              <w:t>2</w:t>
            </w:r>
            <w:r>
              <w:rPr>
                <w:rFonts w:ascii="Times New Roman" w:cs="Times New Roman" w:hAnsi="Times New Roman"/>
                <w:color w:val="auto"/>
                <w:sz w:val="24"/>
                <w:highlight w:val="none"/>
              </w:rPr>
              <w:t>。</w:t>
            </w:r>
          </w:p>
          <w:p>
            <w:pPr>
              <w:adjustRightInd w:val="0"/>
              <w:snapToGrid w:val="0"/>
              <w:jc w:val="center"/>
              <w:rPr>
                <w:b/>
                <w:color w:val="auto"/>
                <w:sz w:val="24"/>
                <w:highlight w:val="none"/>
              </w:rPr>
            </w:pPr>
            <w:r>
              <w:rPr>
                <w:b/>
                <w:color w:val="auto"/>
                <w:sz w:val="24"/>
                <w:highlight w:val="none"/>
              </w:rPr>
              <w:t>表</w:t>
            </w:r>
            <w:r>
              <w:rPr>
                <w:rFonts w:hint="eastAsia"/>
                <w:b/>
                <w:color w:val="auto"/>
                <w:sz w:val="24"/>
                <w:highlight w:val="none"/>
              </w:rPr>
              <w:t>3-</w:t>
            </w:r>
            <w:r>
              <w:rPr>
                <w:rFonts w:hint="eastAsia"/>
                <w:b/>
                <w:color w:val="auto"/>
                <w:sz w:val="24"/>
                <w:lang w:val="en-US" w:eastAsia="zh-CN"/>
                <w:highlight w:val="none"/>
              </w:rPr>
              <w:t>2</w:t>
            </w:r>
            <w:r>
              <w:rPr>
                <w:b/>
                <w:color w:val="auto"/>
                <w:sz w:val="24"/>
                <w:highlight w:val="none"/>
              </w:rPr>
              <w:t xml:space="preserve">  废气排放标准一览表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98"/>
              <w:gridCol w:w="927"/>
              <w:gridCol w:w="893"/>
              <w:gridCol w:w="2715"/>
              <w:gridCol w:w="3084"/>
            </w:tblGrid>
            <w:tr>
              <w:trPr>
                <w:trHeight w:val="397"/>
              </w:trPr>
              <w:tc>
                <w:tcPr>
                  <w:tcW w:w="527" w:type="pct"/>
                  <w:tcBorders>
                    <w:tl2br w:val="nil"/>
                    <w:tr2bl w:val="nil"/>
                  </w:tcBorders>
                  <w:vAlign w:val="center"/>
                </w:tcPr>
                <w:p>
                  <w:pPr>
                    <w:jc w:val="center"/>
                    <w:rPr>
                      <w:rFonts w:eastAsia="宋体" w:hint="eastAsia"/>
                      <w:color w:val="auto"/>
                      <w:sz w:val="21"/>
                      <w:szCs w:val="21"/>
                      <w:lang w:val="en-US" w:eastAsia="zh-CN"/>
                      <w:highlight w:val="none"/>
                    </w:rPr>
                  </w:pPr>
                  <w:r>
                    <w:rPr>
                      <w:rFonts w:hint="eastAsia"/>
                      <w:color w:val="auto"/>
                      <w:sz w:val="21"/>
                      <w:szCs w:val="21"/>
                      <w:lang w:val="en-US" w:eastAsia="zh-CN"/>
                      <w:highlight w:val="none"/>
                    </w:rPr>
                    <w:t>时期</w:t>
                  </w:r>
                </w:p>
              </w:tc>
              <w:tc>
                <w:tcPr>
                  <w:tcW w:w="544" w:type="pct"/>
                  <w:tcBorders>
                    <w:tl2br w:val="nil"/>
                    <w:tr2bl w:val="nil"/>
                  </w:tcBorders>
                  <w:vAlign w:val="center"/>
                </w:tcPr>
                <w:p>
                  <w:pPr>
                    <w:jc w:val="center"/>
                    <w:rPr>
                      <w:color w:val="auto"/>
                      <w:sz w:val="21"/>
                      <w:szCs w:val="21"/>
                      <w:highlight w:val="none"/>
                    </w:rPr>
                  </w:pPr>
                  <w:r>
                    <w:rPr>
                      <w:color w:val="auto"/>
                      <w:sz w:val="21"/>
                      <w:szCs w:val="21"/>
                      <w:highlight w:val="none"/>
                    </w:rPr>
                    <w:t>产生工序</w:t>
                  </w:r>
                </w:p>
              </w:tc>
              <w:tc>
                <w:tcPr>
                  <w:tcW w:w="524" w:type="pct"/>
                  <w:tcBorders>
                    <w:tl2br w:val="nil"/>
                    <w:tr2bl w:val="nil"/>
                  </w:tcBorders>
                  <w:vAlign w:val="center"/>
                </w:tcPr>
                <w:p>
                  <w:pPr>
                    <w:jc w:val="center"/>
                    <w:rPr>
                      <w:color w:val="auto"/>
                      <w:sz w:val="21"/>
                      <w:szCs w:val="21"/>
                      <w:highlight w:val="none"/>
                    </w:rPr>
                  </w:pPr>
                  <w:r>
                    <w:rPr>
                      <w:color w:val="auto"/>
                      <w:sz w:val="21"/>
                      <w:szCs w:val="21"/>
                      <w:highlight w:val="none"/>
                    </w:rPr>
                    <w:t>污染物</w:t>
                  </w:r>
                </w:p>
              </w:tc>
              <w:tc>
                <w:tcPr>
                  <w:tcW w:w="1593" w:type="pct"/>
                  <w:tcBorders>
                    <w:tl2br w:val="nil"/>
                    <w:tr2bl w:val="nil"/>
                  </w:tcBorders>
                  <w:vAlign w:val="center"/>
                </w:tcPr>
                <w:p>
                  <w:pPr>
                    <w:jc w:val="center"/>
                    <w:rPr>
                      <w:color w:val="auto"/>
                      <w:sz w:val="21"/>
                      <w:szCs w:val="21"/>
                      <w:highlight w:val="none"/>
                    </w:rPr>
                  </w:pPr>
                  <w:r>
                    <w:rPr>
                      <w:color w:val="auto"/>
                      <w:sz w:val="21"/>
                      <w:szCs w:val="21"/>
                      <w:highlight w:val="none"/>
                    </w:rPr>
                    <w:t>标准限值</w:t>
                  </w:r>
                </w:p>
              </w:tc>
              <w:tc>
                <w:tcPr>
                  <w:tcW w:w="1809" w:type="pct"/>
                  <w:tcBorders>
                    <w:tl2br w:val="nil"/>
                    <w:tr2bl w:val="nil"/>
                  </w:tcBorders>
                  <w:vAlign w:val="center"/>
                </w:tcPr>
                <w:p>
                  <w:pPr>
                    <w:jc w:val="center"/>
                    <w:rPr>
                      <w:color w:val="auto"/>
                      <w:sz w:val="21"/>
                      <w:szCs w:val="21"/>
                      <w:highlight w:val="none"/>
                    </w:rPr>
                  </w:pPr>
                  <w:r>
                    <w:rPr>
                      <w:color w:val="auto"/>
                      <w:sz w:val="21"/>
                      <w:szCs w:val="21"/>
                      <w:highlight w:val="none"/>
                    </w:rPr>
                    <w:t>执行标准</w:t>
                  </w:r>
                </w:p>
              </w:tc>
            </w:tr>
            <w:tr>
              <w:trPr>
                <w:trHeight w:val="397"/>
              </w:trPr>
              <w:tc>
                <w:tcPr>
                  <w:tcW w:w="527" w:type="pct"/>
                  <w:tcBorders>
                    <w:tl2br w:val="nil"/>
                    <w:tr2bl w:val="nil"/>
                  </w:tcBorders>
                  <w:vAlign w:val="center"/>
                </w:tcPr>
                <w:p>
                  <w:pPr>
                    <w:spacing w:line="240" w:lineRule="auto"/>
                    <w:ind w:firstLine="0"/>
                    <w:jc w:val="center"/>
                    <w:rPr>
                      <w:rFonts w:ascii="Times New Roman" w:eastAsia="宋体" w:cs="Times New Roman" w:hAnsi="Times New Roman" w:hint="eastAsia"/>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施工期</w:t>
                  </w:r>
                </w:p>
              </w:tc>
              <w:tc>
                <w:tcPr>
                  <w:tcW w:w="544" w:type="pct"/>
                  <w:tcBorders>
                    <w:tl2br w:val="nil"/>
                    <w:tr2bl w:val="nil"/>
                  </w:tcBorders>
                  <w:vAlign w:val="center"/>
                </w:tcPr>
                <w:p>
                  <w:pPr>
                    <w:spacing w:line="240" w:lineRule="auto"/>
                    <w:ind w:firstLine="0"/>
                    <w:jc w:val="center"/>
                    <w:rPr>
                      <w:rFonts w:ascii="Times New Roman" w:eastAsia="宋体" w:cs="Times New Roman" w:hAnsi="Times New Roman" w:hint="eastAsia"/>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施工</w:t>
                  </w:r>
                </w:p>
              </w:tc>
              <w:tc>
                <w:tcPr>
                  <w:tcW w:w="524" w:type="pct"/>
                  <w:tcBorders>
                    <w:tl2br w:val="nil"/>
                    <w:tr2bl w:val="nil"/>
                  </w:tcBorders>
                  <w:vAlign w:val="center"/>
                </w:tcPr>
                <w:p>
                  <w:pPr>
                    <w:spacing w:line="240" w:lineRule="auto"/>
                    <w:ind w:firstLine="0"/>
                    <w:jc w:val="center"/>
                    <w:rPr>
                      <w:rFonts w:ascii="Times New Roman" w:eastAsia="宋体" w:cs="Times New Roman" w:hAnsi="Times New Roman"/>
                      <w:color w:val="auto"/>
                      <w:spacing w:val="0"/>
                      <w:kern w:val="2"/>
                      <w:sz w:val="21"/>
                      <w:szCs w:val="21"/>
                      <w:lang w:val="en-US" w:eastAsia="zh-CN" w:bidi="ar-SA"/>
                      <w:highlight w:val="none"/>
                    </w:rPr>
                  </w:pPr>
                  <w:r>
                    <w:rPr>
                      <w:rFonts w:ascii="Times New Roman" w:eastAsia="宋体" w:cs="Times New Roman" w:hAnsi="Times New Roman"/>
                      <w:color w:val="auto"/>
                      <w:spacing w:val="0"/>
                      <w:szCs w:val="21"/>
                      <w:lang w:val="en-US" w:eastAsia="zh-CN"/>
                      <w:highlight w:val="none"/>
                    </w:rPr>
                    <w:t>颗粒物</w:t>
                  </w:r>
                </w:p>
              </w:tc>
              <w:tc>
                <w:tcPr>
                  <w:tcW w:w="1593" w:type="pct"/>
                  <w:tcBorders>
                    <w:tl2br w:val="nil"/>
                    <w:tr2bl w:val="nil"/>
                  </w:tcBorders>
                  <w:vAlign w:val="center"/>
                </w:tcPr>
                <w:p>
                  <w:pPr>
                    <w:autoSpaceDE/>
                    <w:autoSpaceDN/>
                    <w:adjustRightInd/>
                    <w:spacing w:line="240" w:lineRule="auto"/>
                    <w:ind w:firstLine="0"/>
                    <w:jc w:val="center"/>
                    <w:rPr>
                      <w:rFonts w:ascii="Times New Roman" w:eastAsia="宋体" w:cs="Times New Roman" w:hAnsi="Times New Roman"/>
                      <w:color w:val="auto"/>
                      <w:szCs w:val="21"/>
                      <w:vertAlign w:val="superscript"/>
                      <w:highlight w:val="none"/>
                    </w:rPr>
                  </w:pPr>
                  <w:r>
                    <w:rPr>
                      <w:rFonts w:ascii="Times New Roman" w:eastAsia="宋体" w:cs="Times New Roman" w:hAnsi="Times New Roman"/>
                      <w:color w:val="auto"/>
                      <w:szCs w:val="21"/>
                      <w:highlight w:val="none"/>
                    </w:rPr>
                    <w:t>排放浓度</w:t>
                  </w:r>
                  <w:r>
                    <w:rPr>
                      <w:rFonts w:ascii="Times New Roman" w:eastAsia="宋体" w:cs="Times New Roman" w:hAnsi="Times New Roman"/>
                      <w:color w:val="auto"/>
                      <w:szCs w:val="21"/>
                      <w:vertAlign w:val="superscript"/>
                      <w:highlight w:val="none"/>
                    </w:rPr>
                    <w:t>a</w:t>
                  </w:r>
                  <w:r>
                    <w:rPr>
                      <w:rFonts w:ascii="Times New Roman" w:eastAsia="宋体" w:cs="Times New Roman" w:hAnsi="Times New Roman"/>
                      <w:color w:val="auto"/>
                      <w:szCs w:val="21"/>
                      <w:highlight w:val="none"/>
                    </w:rPr>
                    <w:t>≤80µg/m</w:t>
                  </w:r>
                  <w:r>
                    <w:rPr>
                      <w:rFonts w:ascii="Times New Roman" w:eastAsia="宋体" w:cs="Times New Roman" w:hAnsi="Times New Roman"/>
                      <w:color w:val="auto"/>
                      <w:szCs w:val="21"/>
                      <w:vertAlign w:val="superscript"/>
                      <w:highlight w:val="none"/>
                    </w:rPr>
                    <w:t>3</w:t>
                  </w:r>
                </w:p>
                <w:p>
                  <w:pPr>
                    <w:spacing w:line="240" w:lineRule="auto"/>
                    <w:ind w:firstLine="0"/>
                    <w:jc w:val="center"/>
                    <w:rPr>
                      <w:rFonts w:ascii="Times New Roman" w:eastAsia="宋体" w:cs="Times New Roman" w:hAnsi="Times New Roman"/>
                      <w:color w:val="auto"/>
                      <w:spacing w:val="0"/>
                      <w:kern w:val="2"/>
                      <w:sz w:val="21"/>
                      <w:szCs w:val="21"/>
                      <w:lang w:val="en-US" w:eastAsia="zh-CN" w:bidi="ar-SA"/>
                      <w:highlight w:val="none"/>
                    </w:rPr>
                  </w:pPr>
                  <w:r>
                    <w:rPr>
                      <w:rFonts w:ascii="Times New Roman" w:eastAsia="宋体" w:cs="Times New Roman" w:hAnsi="Times New Roman"/>
                      <w:color w:val="auto"/>
                      <w:spacing w:val="0"/>
                      <w:szCs w:val="21"/>
                      <w:highlight w:val="none"/>
                    </w:rPr>
                    <w:t>达标判定依据≤2次/天</w:t>
                  </w:r>
                </w:p>
              </w:tc>
              <w:tc>
                <w:tcPr>
                  <w:tcW w:w="1809" w:type="pct"/>
                  <w:tcBorders>
                    <w:tl2br w:val="nil"/>
                    <w:tr2bl w:val="nil"/>
                  </w:tcBorders>
                  <w:vAlign w:val="center"/>
                </w:tcPr>
                <w:p>
                  <w:pPr>
                    <w:jc w:val="center"/>
                    <w:rPr>
                      <w:rFonts w:ascii="Times New Roman" w:eastAsia="宋体" w:cs="Times New Roman" w:hAnsi="Times New Roman" w:hint="eastAsia"/>
                      <w:color w:val="auto"/>
                      <w:spacing w:val="0"/>
                      <w:szCs w:val="21"/>
                      <w:lang w:val="zh-CN"/>
                      <w:highlight w:val="none"/>
                    </w:rPr>
                  </w:pPr>
                  <w:r>
                    <w:rPr>
                      <w:rFonts w:ascii="Times New Roman" w:eastAsia="宋体" w:cs="Times New Roman" w:hAnsi="Times New Roman"/>
                      <w:color w:val="auto"/>
                      <w:spacing w:val="0"/>
                      <w:szCs w:val="21"/>
                      <w:highlight w:val="none"/>
                    </w:rPr>
                    <w:t>《施工场地扬尘排放标准》（DB13/2934-2019）表1中扬尘排放浓度限值</w:t>
                  </w:r>
                </w:p>
              </w:tc>
            </w:tr>
            <w:tr>
              <w:trPr>
                <w:trHeight w:val="397"/>
              </w:trPr>
              <w:tc>
                <w:tcPr>
                  <w:tcW w:w="527" w:type="pct"/>
                  <w:vMerge w:val="restart"/>
                  <w:tcBorders>
                    <w:tl2br w:val="nil"/>
                    <w:tr2bl w:val="nil"/>
                  </w:tcBorders>
                  <w:vAlign w:val="center"/>
                </w:tcPr>
                <w:p>
                  <w:pPr>
                    <w:spacing w:line="240" w:lineRule="auto"/>
                    <w:ind w:firstLine="0"/>
                    <w:jc w:val="center"/>
                    <w:rPr>
                      <w:rFonts w:ascii="Times New Roman" w:eastAsia="宋体" w:cs="Times New Roman" w:hAnsi="Times New Roman"/>
                      <w:color w:val="auto"/>
                      <w:spacing w:val="0"/>
                      <w:szCs w:val="21"/>
                      <w:lang w:val="en-US" w:eastAsia="zh-CN"/>
                      <w:highlight w:val="none"/>
                    </w:rPr>
                  </w:pPr>
                  <w:r>
                    <w:rPr>
                      <w:color w:val="auto"/>
                      <w:sz w:val="21"/>
                      <w:szCs w:val="21"/>
                      <w:lang w:val="zh-CN"/>
                      <w:highlight w:val="none"/>
                    </w:rPr>
                    <w:t>运营期</w:t>
                  </w:r>
                </w:p>
              </w:tc>
              <w:tc>
                <w:tcPr>
                  <w:tcW w:w="544" w:type="pct"/>
                  <w:tcBorders>
                    <w:tl2br w:val="nil"/>
                    <w:tr2bl w:val="nil"/>
                  </w:tcBorders>
                  <w:vAlign w:val="center"/>
                </w:tcPr>
                <w:p>
                  <w:pPr>
                    <w:spacing w:line="240" w:lineRule="auto"/>
                    <w:ind w:firstLine="0"/>
                    <w:jc w:val="center"/>
                    <w:rPr>
                      <w:rFonts w:ascii="Times New Roman" w:eastAsia="宋体" w:cs="Times New Roman" w:hAnsi="Times New Roman"/>
                      <w:color w:val="auto"/>
                      <w:spacing w:val="0"/>
                      <w:szCs w:val="21"/>
                      <w:lang w:val="en-US" w:eastAsia="zh-CN"/>
                      <w:highlight w:val="none"/>
                    </w:rPr>
                  </w:pPr>
                  <w:r>
                    <w:rPr>
                      <w:rFonts w:cs="Times New Roman" w:hint="eastAsia"/>
                      <w:color w:val="auto"/>
                      <w:spacing w:val="0"/>
                      <w:szCs w:val="21"/>
                      <w:lang w:val="en-US" w:eastAsia="zh-CN"/>
                      <w:highlight w:val="none"/>
                    </w:rPr>
                    <w:t>破损电池贮存</w:t>
                  </w:r>
                </w:p>
              </w:tc>
              <w:tc>
                <w:tcPr>
                  <w:tcW w:w="524" w:type="pct"/>
                  <w:tcBorders>
                    <w:tl2br w:val="nil"/>
                    <w:tr2bl w:val="nil"/>
                  </w:tcBorders>
                  <w:vAlign w:val="center"/>
                </w:tcPr>
                <w:p>
                  <w:pPr>
                    <w:spacing w:line="240" w:lineRule="auto"/>
                    <w:ind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最高允许排放浓度</w:t>
                  </w:r>
                  <w:r>
                    <w:rPr>
                      <w:rFonts w:cs="Times New Roman" w:hint="eastAsia"/>
                      <w:color w:val="auto"/>
                      <w:sz w:val="21"/>
                      <w:szCs w:val="21"/>
                      <w:lang w:val="en-US" w:eastAsia="zh-CN"/>
                      <w:highlight w:val="none"/>
                    </w:rPr>
                    <w:t>：45</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r>
                    <w:rPr>
                      <w:rFonts w:cs="Times New Roman" w:hint="eastAsia"/>
                      <w:color w:val="auto"/>
                      <w:sz w:val="21"/>
                      <w:szCs w:val="21"/>
                      <w:lang w:val="en-US" w:eastAsia="zh-CN"/>
                      <w:highlight w:val="none"/>
                    </w:rPr>
                    <w:t>；</w:t>
                  </w:r>
                </w:p>
                <w:p>
                  <w:pPr>
                    <w:spacing w:line="240" w:lineRule="auto"/>
                    <w:ind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最高允许排放速率 0.75kg/h</w:t>
                  </w:r>
                </w:p>
              </w:tc>
              <w:tc>
                <w:tcPr>
                  <w:tcW w:w="1809" w:type="pct"/>
                  <w:vMerge w:val="restart"/>
                  <w:tcBorders>
                    <w:tl2br w:val="nil"/>
                    <w:tr2bl w:val="nil"/>
                  </w:tcBorders>
                  <w:vAlign w:val="center"/>
                </w:tcPr>
                <w:p>
                  <w:pPr>
                    <w:spacing w:line="240" w:lineRule="auto"/>
                    <w:ind w:firstLine="0"/>
                    <w:jc w:val="center"/>
                    <w:rPr>
                      <w:rFonts w:ascii="Times New Roman" w:eastAsia="宋体" w:cs="Times New Roman" w:hAnsi="Times New Roman"/>
                      <w:color w:val="auto"/>
                      <w:sz w:val="21"/>
                      <w:szCs w:val="21"/>
                      <w:lang w:val="en-US" w:eastAsia="zh-CN"/>
                      <w:highlight w:val="none"/>
                    </w:rPr>
                  </w:pPr>
                  <w:r>
                    <w:rPr>
                      <w:color w:val="auto"/>
                    </w:rPr>
                    <w:t>《大气污染物综合排放标准》（GB16297-1996</w:t>
                  </w:r>
                  <w:r>
                    <w:rPr>
                      <w:rFonts w:hint="eastAsia"/>
                      <w:color w:val="auto"/>
                    </w:rPr>
                    <w:t>）</w:t>
                  </w:r>
                </w:p>
              </w:tc>
            </w:tr>
            <w:tr>
              <w:trPr>
                <w:trHeight w:val="560"/>
              </w:trPr>
              <w:tc>
                <w:tcPr>
                  <w:tcW w:w="527" w:type="pct"/>
                  <w:vMerge/>
                  <w:tcBorders>
                    <w:tl2br w:val="nil"/>
                    <w:tr2bl w:val="nil"/>
                  </w:tcBorders>
                  <w:vAlign w:val="center"/>
                </w:tcP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厂界</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周界外浓度最高点 1.2</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p>
              </w:tc>
              <w:tc>
                <w:tcPr>
                  <w:tcW w:w="1809" w:type="pct"/>
                  <w:vMerge/>
                  <w:tcBorders>
                    <w:tl2br w:val="nil"/>
                    <w:tr2bl w:val="nil"/>
                  </w:tcBorders>
                  <w:vAlign w:val="center"/>
                </w:tcPr>
                <w:p/>
              </w:tc>
            </w:tr>
            <w:tr>
              <w:trPr>
                <w:trHeight w:val="590"/>
              </w:trPr>
              <w:tc>
                <w:tcPr>
                  <w:tcW w:w="527" w:type="pct"/>
                  <w:vMerge w:val="restart"/>
                  <w:tcBorders>
                    <w:tl2br w:val="nil"/>
                    <w:tr2bl w:val="nil"/>
                  </w:tcBorders>
                  <w:vAlign w:val="center"/>
                </w:tcPr>
                <w:p>
                  <w:pPr>
                    <w:spacing w:line="240" w:lineRule="auto"/>
                    <w:ind w:firstLine="0"/>
                    <w:jc w:val="center"/>
                    <w:rPr>
                      <w:color w:val="auto"/>
                      <w:sz w:val="21"/>
                      <w:szCs w:val="21"/>
                      <w:lang w:val="zh-CN"/>
                      <w:highlight w:val="none"/>
                    </w:rPr>
                  </w:pPr>
                  <w:r>
                    <w:rPr>
                      <w:color w:val="auto"/>
                      <w:sz w:val="21"/>
                      <w:szCs w:val="21"/>
                      <w:lang w:val="zh-CN"/>
                      <w:highlight w:val="none"/>
                    </w:rPr>
                    <w:t>运营期</w:t>
                  </w:r>
                  <w:r>
                    <w:rPr>
                      <w:rFonts w:hint="eastAsia"/>
                      <w:color w:val="auto"/>
                      <w:sz w:val="21"/>
                      <w:szCs w:val="21"/>
                      <w:lang w:val="zh-CN"/>
                      <w:highlight w:val="none"/>
                    </w:rPr>
                    <w:t>（参照执行）</w:t>
                  </w: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破损电池贮存</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highlight w:val="none"/>
                    </w:rPr>
                    <w:t>排放限制</w:t>
                  </w:r>
                  <w:r>
                    <w:rPr>
                      <w:rFonts w:cs="Times New Roman"/>
                      <w:color w:val="auto"/>
                      <w:sz w:val="21"/>
                      <w:szCs w:val="21"/>
                      <w:highlight w:val="none"/>
                    </w:rPr>
                    <w:t xml:space="preserve"> </w:t>
                  </w:r>
                  <w:r>
                    <w:rPr>
                      <w:rFonts w:cs="Times New Roman" w:hint="eastAsia"/>
                      <w:color w:val="auto"/>
                      <w:sz w:val="21"/>
                      <w:szCs w:val="21"/>
                      <w:lang w:val="en-US" w:eastAsia="zh-CN"/>
                      <w:highlight w:val="none"/>
                    </w:rPr>
                    <w:t>5</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r>
                    <w:rPr>
                      <w:rFonts w:cs="Times New Roman" w:hint="eastAsia"/>
                      <w:color w:val="auto"/>
                      <w:sz w:val="21"/>
                      <w:szCs w:val="21"/>
                      <w:lang w:val="en-US" w:eastAsia="zh-CN"/>
                      <w:highlight w:val="none"/>
                    </w:rPr>
                    <w:t>；</w:t>
                  </w:r>
                </w:p>
              </w:tc>
              <w:tc>
                <w:tcPr>
                  <w:tcW w:w="1809" w:type="pct"/>
                  <w:vMerge w:val="restart"/>
                  <w:tcBorders>
                    <w:tl2br w:val="nil"/>
                    <w:tr2bl w:val="nil"/>
                  </w:tcBorders>
                  <w:vAlign w:val="center"/>
                </w:tcPr>
                <w:p>
                  <w:pPr>
                    <w:spacing w:line="240" w:lineRule="auto"/>
                    <w:ind w:firstLine="0"/>
                    <w:jc w:val="center"/>
                    <w:rPr>
                      <w:color w:val="auto"/>
                    </w:rPr>
                  </w:pPr>
                  <w:r>
                    <w:rPr>
                      <w:rFonts w:hint="eastAsia"/>
                      <w:color w:val="auto"/>
                    </w:rPr>
                    <w:t>《电池工业污染物排放标准》（GB 30484-2013）</w:t>
                  </w:r>
                </w:p>
              </w:tc>
            </w:tr>
            <w:tr>
              <w:trPr>
                <w:trHeight w:val="536"/>
              </w:trPr>
              <w:tc>
                <w:tcPr>
                  <w:tcW w:w="527" w:type="pct"/>
                  <w:vMerge/>
                  <w:tcBorders>
                    <w:tl2br w:val="nil"/>
                    <w:tr2bl w:val="nil"/>
                  </w:tcBorders>
                  <w:vAlign w:val="center"/>
                </w:tcPr>
                <w:p/>
              </w:tc>
              <w:tc>
                <w:tcPr>
                  <w:tcW w:w="544" w:type="pct"/>
                  <w:tcBorders>
                    <w:tl2br w:val="nil"/>
                    <w:tr2bl w:val="nil"/>
                  </w:tcBorders>
                  <w:vAlign w:val="center"/>
                </w:tcPr>
                <w:p>
                  <w:pPr>
                    <w:spacing w:line="240" w:lineRule="auto"/>
                    <w:ind w:firstLine="0"/>
                    <w:jc w:val="center"/>
                    <w:rPr>
                      <w:rFonts w:cs="Times New Roman" w:hint="eastAsia"/>
                      <w:color w:val="auto"/>
                      <w:spacing w:val="0"/>
                      <w:szCs w:val="21"/>
                      <w:lang w:val="en-US" w:eastAsia="zh-CN"/>
                      <w:highlight w:val="none"/>
                    </w:rPr>
                  </w:pPr>
                  <w:r>
                    <w:rPr>
                      <w:rFonts w:cs="Times New Roman" w:hint="eastAsia"/>
                      <w:color w:val="auto"/>
                      <w:spacing w:val="0"/>
                      <w:szCs w:val="21"/>
                      <w:lang w:val="en-US" w:eastAsia="zh-CN"/>
                      <w:highlight w:val="none"/>
                    </w:rPr>
                    <w:t>厂界</w:t>
                  </w:r>
                </w:p>
              </w:tc>
              <w:tc>
                <w:tcPr>
                  <w:tcW w:w="524"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硫酸雾</w:t>
                  </w:r>
                </w:p>
              </w:tc>
              <w:tc>
                <w:tcPr>
                  <w:tcW w:w="1593" w:type="pct"/>
                  <w:tcBorders>
                    <w:tl2br w:val="nil"/>
                    <w:tr2bl w:val="nil"/>
                  </w:tcBorders>
                  <w:vAlign w:val="center"/>
                </w:tcPr>
                <w:p>
                  <w:pPr>
                    <w:spacing w:line="240" w:lineRule="auto"/>
                    <w:ind w:firstLine="0"/>
                    <w:jc w:val="center"/>
                    <w:rPr>
                      <w:rFonts w:cs="Times New Roman" w:hint="eastAsia"/>
                      <w:color w:val="auto"/>
                      <w:sz w:val="21"/>
                      <w:szCs w:val="21"/>
                      <w:lang w:val="en-US" w:eastAsia="zh-CN"/>
                      <w:highlight w:val="none"/>
                    </w:rPr>
                  </w:pPr>
                  <w:r>
                    <w:rPr>
                      <w:rFonts w:cs="Times New Roman"/>
                      <w:color w:val="auto"/>
                      <w:sz w:val="21"/>
                      <w:szCs w:val="21"/>
                      <w:lang w:eastAsia="zh-CN"/>
                      <w:highlight w:val="none"/>
                    </w:rPr>
                    <w:t>企业边界0</w:t>
                  </w:r>
                  <w:r>
                    <w:rPr>
                      <w:rFonts w:cs="Times New Roman" w:hint="eastAsia"/>
                      <w:color w:val="auto"/>
                      <w:sz w:val="21"/>
                      <w:szCs w:val="21"/>
                      <w:lang w:val="en-US"/>
                      <w:highlight w:val="none"/>
                    </w:rPr>
                    <w:t>.</w:t>
                  </w:r>
                  <w:r>
                    <w:rPr>
                      <w:rFonts w:cs="Times New Roman"/>
                      <w:color w:val="auto"/>
                      <w:sz w:val="21"/>
                      <w:szCs w:val="21"/>
                      <w:highlight w:val="none"/>
                    </w:rPr>
                    <w:t>3</w:t>
                  </w:r>
                  <w:r>
                    <w:rPr>
                      <w:rFonts w:ascii="Times New Roman" w:eastAsia="宋体" w:cs="Times New Roman" w:hAnsi="Times New Roman"/>
                      <w:color w:val="auto"/>
                      <w:sz w:val="21"/>
                      <w:szCs w:val="21"/>
                      <w:lang w:val="en-US" w:eastAsia="zh-CN"/>
                      <w:highlight w:val="none"/>
                    </w:rPr>
                    <w:t>mg/m</w:t>
                  </w:r>
                  <w:r>
                    <w:rPr>
                      <w:rFonts w:ascii="Times New Roman" w:eastAsia="宋体" w:cs="Times New Roman" w:hAnsi="Times New Roman" w:hint="eastAsia"/>
                      <w:color w:val="auto"/>
                      <w:sz w:val="21"/>
                      <w:szCs w:val="21"/>
                      <w:vertAlign w:val="superscript"/>
                      <w:lang w:val="en-US" w:eastAsia="zh-CN"/>
                      <w:highlight w:val="none"/>
                    </w:rPr>
                    <w:t>3</w:t>
                  </w:r>
                </w:p>
              </w:tc>
              <w:tc>
                <w:tcPr>
                  <w:tcW w:w="1809" w:type="pct"/>
                  <w:vMerge/>
                  <w:tcBorders>
                    <w:tl2br w:val="nil"/>
                    <w:tr2bl w:val="nil"/>
                  </w:tcBorders>
                  <w:vAlign w:val="center"/>
                </w:tcPr>
                <w:p/>
              </w:tc>
            </w:tr>
          </w:tbl>
          <w:p>
            <w:pPr>
              <w:pStyle w:val="35"/>
              <w:keepNext w:val="0"/>
              <w:keepLines w:val="0"/>
              <w:widowControl/>
              <w:suppressLineNumbers w:val="0"/>
              <w:spacing w:before="0" w:beforeAutospacing="0" w:after="0" w:afterAutospacing="0" w:line="240" w:lineRule="auto"/>
              <w:ind w:left="0" w:firstLine="0"/>
              <w:contextualSpacing/>
              <w:jc w:val="both"/>
              <w:rPr>
                <w:rFonts w:ascii="Times New Roman" w:eastAsia="宋体" w:cs="Times New Roman" w:hAnsi="Times New Roman"/>
                <w:color w:val="auto"/>
                <w:lang w:eastAsia="zh-CN"/>
                <w:highlight w:val="none"/>
              </w:rPr>
            </w:pPr>
            <w:r>
              <w:rPr>
                <w:rFonts w:ascii="宋体" w:eastAsia="宋体" w:cs="宋体" w:hAnsi="宋体" w:hint="eastAsia"/>
                <w:color w:val="auto"/>
                <w:spacing w:val="0"/>
                <w:position w:val="0"/>
                <w:sz w:val="19"/>
                <w:szCs w:val="19"/>
                <w:lang w:eastAsia="zh-CN"/>
                <w:highlight w:val="none"/>
              </w:rPr>
              <w:t>注：本项目排气筒高度</w:t>
            </w:r>
            <w:r>
              <w:rPr>
                <w:rFonts w:cs="宋体" w:hint="eastAsia"/>
                <w:color w:val="auto"/>
                <w:spacing w:val="0"/>
                <w:position w:val="0"/>
                <w:sz w:val="19"/>
                <w:szCs w:val="19"/>
                <w:lang w:eastAsia="zh-CN"/>
                <w:highlight w:val="none"/>
              </w:rPr>
              <w:t>为</w:t>
            </w:r>
            <w:r>
              <w:rPr>
                <w:rFonts w:ascii="Times New Roman" w:cs="Times New Roman" w:hAnsi="Times New Roman"/>
                <w:color w:val="auto"/>
                <w:spacing w:val="0"/>
                <w:position w:val="0"/>
                <w:sz w:val="19"/>
                <w:szCs w:val="19"/>
                <w:lang w:val="en-US" w:eastAsia="zh-CN"/>
                <w:highlight w:val="none"/>
              </w:rPr>
              <w:t>15m，</w:t>
            </w:r>
            <w:r>
              <w:rPr>
                <w:rFonts w:ascii="Times New Roman" w:eastAsia="宋体" w:cs="Times New Roman" w:hAnsi="Times New Roman"/>
                <w:color w:val="auto"/>
                <w:spacing w:val="0"/>
                <w:position w:val="0"/>
                <w:sz w:val="19"/>
                <w:szCs w:val="19"/>
                <w:lang w:eastAsia="zh-CN"/>
                <w:highlight w:val="none"/>
              </w:rPr>
              <w:t>不满足《大气污染物综合排放标准》（GB 16297-1996）</w:t>
            </w:r>
            <w:r>
              <w:rPr>
                <w:rFonts w:ascii="Times New Roman" w:cs="Times New Roman" w:hAnsi="Times New Roman"/>
                <w:color w:val="auto"/>
                <w:spacing w:val="0"/>
                <w:position w:val="0"/>
                <w:sz w:val="19"/>
                <w:szCs w:val="19"/>
                <w:lang w:eastAsia="zh-CN"/>
                <w:highlight w:val="none"/>
              </w:rPr>
              <w:t>中</w:t>
            </w:r>
            <w:r>
              <w:rPr>
                <w:rFonts w:ascii="Times New Roman" w:cs="Times New Roman" w:hAnsi="Times New Roman" w:hint="eastAsia"/>
                <w:color w:val="auto"/>
                <w:spacing w:val="0"/>
                <w:position w:val="0"/>
                <w:sz w:val="19"/>
                <w:szCs w:val="19"/>
                <w:lang w:eastAsia="zh-CN"/>
                <w:highlight w:val="none"/>
              </w:rPr>
              <w:t>“</w:t>
            </w:r>
            <w:r>
              <w:rPr>
                <w:rFonts w:ascii="宋体" w:eastAsia="宋体" w:cs="宋体" w:hAnsi="宋体" w:hint="eastAsia"/>
                <w:color w:val="auto"/>
                <w:spacing w:val="0"/>
                <w:position w:val="0"/>
                <w:sz w:val="19"/>
                <w:szCs w:val="19"/>
                <w:highlight w:val="none"/>
              </w:rPr>
              <w:t>高出周围</w:t>
            </w:r>
            <w:r>
              <w:rPr>
                <w:rFonts w:ascii="Times New Roman" w:cs="Times New Roman" w:hAnsi="Times New Roman"/>
                <w:color w:val="auto"/>
                <w:spacing w:val="0"/>
                <w:position w:val="0"/>
                <w:sz w:val="19"/>
                <w:szCs w:val="19"/>
                <w:highlight w:val="none"/>
              </w:rPr>
              <w:t>200 m</w:t>
            </w:r>
            <w:r>
              <w:rPr>
                <w:rFonts w:ascii="宋体" w:eastAsia="宋体" w:cs="宋体" w:hAnsi="宋体" w:hint="eastAsia"/>
                <w:color w:val="auto"/>
                <w:spacing w:val="0"/>
                <w:position w:val="0"/>
                <w:sz w:val="19"/>
                <w:szCs w:val="19"/>
                <w:highlight w:val="none"/>
              </w:rPr>
              <w:t>半径范围的建筑</w:t>
            </w:r>
            <w:r>
              <w:rPr>
                <w:rFonts w:ascii="Times New Roman" w:cs="Times New Roman" w:hAnsi="Times New Roman"/>
                <w:color w:val="auto"/>
                <w:spacing w:val="0"/>
                <w:position w:val="0"/>
                <w:sz w:val="19"/>
                <w:szCs w:val="19"/>
                <w:highlight w:val="none"/>
              </w:rPr>
              <w:t>5 m</w:t>
            </w:r>
            <w:r>
              <w:rPr>
                <w:rFonts w:ascii="宋体" w:eastAsia="宋体" w:cs="宋体" w:hAnsi="宋体" w:hint="eastAsia"/>
                <w:color w:val="auto"/>
                <w:spacing w:val="0"/>
                <w:position w:val="0"/>
                <w:sz w:val="19"/>
                <w:szCs w:val="19"/>
                <w:highlight w:val="none"/>
              </w:rPr>
              <w:t>以上</w:t>
            </w:r>
            <w:r>
              <w:rPr>
                <w:rFonts w:cs="宋体" w:hint="eastAsia"/>
                <w:color w:val="auto"/>
                <w:spacing w:val="0"/>
                <w:position w:val="0"/>
                <w:sz w:val="19"/>
                <w:szCs w:val="19"/>
                <w:lang w:eastAsia="zh-CN"/>
                <w:highlight w:val="none"/>
              </w:rPr>
              <w:t>”，最高建筑物高</w:t>
            </w:r>
            <w:r>
              <w:rPr>
                <w:rFonts w:ascii="Times New Roman" w:cs="Times New Roman" w:hAnsi="Times New Roman"/>
                <w:color w:val="auto"/>
                <w:spacing w:val="0"/>
                <w:position w:val="0"/>
                <w:sz w:val="19"/>
                <w:szCs w:val="19"/>
                <w:lang w:eastAsia="zh-CN"/>
                <w:highlight w:val="none"/>
              </w:rPr>
              <w:t>度约</w:t>
            </w:r>
            <w:r>
              <w:rPr>
                <w:rFonts w:ascii="Times New Roman" w:cs="Times New Roman" w:hAnsi="Times New Roman" w:hint="eastAsia"/>
                <w:color w:val="auto"/>
                <w:spacing w:val="0"/>
                <w:position w:val="0"/>
                <w:sz w:val="19"/>
                <w:szCs w:val="19"/>
                <w:lang w:val="en-US" w:eastAsia="zh-CN"/>
                <w:highlight w:val="none"/>
              </w:rPr>
              <w:t>24</w:t>
            </w:r>
            <w:r>
              <w:rPr>
                <w:rFonts w:ascii="Times New Roman" w:cs="Times New Roman" w:hAnsi="Times New Roman"/>
                <w:color w:val="auto"/>
                <w:spacing w:val="0"/>
                <w:position w:val="0"/>
                <w:sz w:val="19"/>
                <w:szCs w:val="19"/>
                <w:lang w:val="en-US" w:eastAsia="zh-CN"/>
                <w:highlight w:val="none"/>
              </w:rPr>
              <w:t>m</w:t>
            </w:r>
            <w:r>
              <w:rPr>
                <w:rFonts w:ascii="Times New Roman" w:eastAsia="宋体" w:cs="Times New Roman" w:hAnsi="Times New Roman"/>
                <w:color w:val="auto"/>
                <w:spacing w:val="0"/>
                <w:position w:val="0"/>
                <w:sz w:val="19"/>
                <w:szCs w:val="19"/>
                <w:highlight w:val="none"/>
              </w:rPr>
              <w:t>，</w:t>
            </w:r>
            <w:r>
              <w:rPr>
                <w:rFonts w:ascii="Times New Roman" w:eastAsia="宋体" w:cs="Times New Roman" w:hAnsi="Times New Roman"/>
                <w:color w:val="auto"/>
                <w:spacing w:val="0"/>
                <w:position w:val="0"/>
                <w:sz w:val="19"/>
                <w:szCs w:val="19"/>
                <w:lang w:eastAsia="zh-CN"/>
                <w:highlight w:val="none"/>
              </w:rPr>
              <w:t>因此</w:t>
            </w:r>
            <w:r>
              <w:rPr>
                <w:rFonts w:ascii="Times New Roman" w:eastAsia="宋体" w:cs="Times New Roman" w:hAnsi="Times New Roman"/>
                <w:color w:val="auto"/>
                <w:spacing w:val="0"/>
                <w:position w:val="0"/>
                <w:sz w:val="19"/>
                <w:szCs w:val="19"/>
                <w:highlight w:val="none"/>
              </w:rPr>
              <w:t>按其高度对应的表列排放速率标准值严格</w:t>
            </w:r>
            <w:r>
              <w:rPr>
                <w:rFonts w:ascii="Times New Roman" w:cs="Times New Roman" w:hAnsi="Times New Roman"/>
                <w:color w:val="auto"/>
                <w:spacing w:val="0"/>
                <w:position w:val="0"/>
                <w:sz w:val="19"/>
                <w:szCs w:val="19"/>
                <w:highlight w:val="none"/>
              </w:rPr>
              <w:t>50%</w:t>
            </w:r>
            <w:r>
              <w:rPr>
                <w:rFonts w:ascii="Times New Roman" w:eastAsia="宋体" w:cs="Times New Roman" w:hAnsi="Times New Roman"/>
                <w:color w:val="auto"/>
                <w:spacing w:val="0"/>
                <w:position w:val="0"/>
                <w:sz w:val="19"/>
                <w:szCs w:val="19"/>
                <w:highlight w:val="none"/>
              </w:rPr>
              <w:t>执行</w:t>
            </w:r>
            <w:r>
              <w:rPr>
                <w:rFonts w:ascii="Times New Roman" w:cs="Times New Roman" w:hAnsi="Times New Roman"/>
                <w:color w:val="auto"/>
                <w:spacing w:val="0"/>
                <w:position w:val="0"/>
                <w:sz w:val="19"/>
                <w:szCs w:val="19"/>
                <w:lang w:eastAsia="zh-CN"/>
                <w:highlight w:val="none"/>
              </w:rPr>
              <w:t>，严格后为0.75kg/h</w:t>
            </w:r>
            <w:r>
              <w:rPr>
                <w:rFonts w:ascii="Times New Roman" w:eastAsia="宋体" w:cs="Times New Roman" w:hAnsi="Times New Roman"/>
                <w:color w:val="auto"/>
                <w:spacing w:val="0"/>
                <w:position w:val="0"/>
                <w:sz w:val="19"/>
                <w:szCs w:val="19"/>
                <w:lang w:eastAsia="zh-CN"/>
                <w:highlight w:val="none"/>
              </w:rPr>
              <w:t>。</w:t>
            </w:r>
          </w:p>
          <w:p>
            <w:pPr>
              <w:pStyle w:val="56"/>
              <w:keepNext w:val="0"/>
              <w:keepLines w:val="0"/>
              <w:pageBreakBefore w:val="0"/>
              <w:widowControl w:val="0"/>
              <w:kinsoku/>
              <w:wordWrap/>
              <w:overflowPunct/>
              <w:topLinePunct w:val="0"/>
              <w:autoSpaceDE/>
              <w:autoSpaceDN/>
              <w:bidi w:val="0"/>
              <w:adjustRightInd w:val="0"/>
              <w:snapToGrid/>
              <w:rPr>
                <w:rFonts w:ascii="Times New Roman" w:eastAsia="宋体" w:cs="Times New Roman" w:hAnsi="Times New Roman" w:hint="eastAsia"/>
                <w:b/>
                <w:bCs/>
                <w:color w:val="auto"/>
                <w:lang w:val="en-US" w:eastAsia="zh-CN"/>
                <w:highlight w:val="none"/>
              </w:rPr>
            </w:pPr>
            <w:r>
              <w:rPr>
                <w:rFonts w:cs="Times New Roman" w:hint="eastAsia"/>
                <w:b/>
                <w:bCs/>
                <w:color w:val="auto"/>
                <w:lang w:val="en-US" w:eastAsia="zh-CN"/>
                <w:highlight w:val="none"/>
              </w:rPr>
              <w:t>2</w:t>
            </w:r>
            <w:r>
              <w:rPr>
                <w:rFonts w:ascii="Times New Roman" w:eastAsia="宋体" w:cs="Times New Roman" w:hAnsi="Times New Roman" w:hint="eastAsia"/>
                <w:b/>
                <w:bCs/>
                <w:color w:val="auto"/>
                <w:lang w:val="en-US" w:eastAsia="zh-CN"/>
                <w:highlight w:val="none"/>
              </w:rPr>
              <w:t>、噪声</w:t>
            </w:r>
          </w:p>
          <w:p>
            <w:pPr>
              <w:adjustRightInd w:val="0"/>
              <w:spacing w:line="460" w:lineRule="exact"/>
              <w:ind w:firstLineChars="200" w:firstLine="480"/>
              <w:rPr>
                <w:rFonts w:eastAsia="宋体" w:hint="eastAsia"/>
                <w:color w:val="auto"/>
                <w:sz w:val="24"/>
                <w:lang w:eastAsia="zh-CN"/>
                <w:highlight w:val="none"/>
              </w:rPr>
            </w:pPr>
            <w:r>
              <w:rPr>
                <w:rFonts w:hint="eastAsia"/>
                <w:color w:val="auto"/>
                <w:sz w:val="24"/>
                <w:highlight w:val="none"/>
              </w:rPr>
              <w:t>（1）施工期：</w:t>
            </w:r>
            <w:r>
              <w:rPr>
                <w:rFonts w:hint="eastAsia"/>
                <w:color w:val="auto"/>
                <w:sz w:val="24"/>
                <w:lang w:eastAsia="zh-CN"/>
                <w:highlight w:val="none"/>
              </w:rPr>
              <w:t>施工噪声执行《建筑施工噪声排放标准》（GB 12523-2025）中标准要求；</w:t>
            </w:r>
          </w:p>
          <w:p>
            <w:pPr>
              <w:adjustRightInd w:val="0"/>
              <w:spacing w:line="460" w:lineRule="exact"/>
              <w:ind w:firstLineChars="200" w:firstLine="480"/>
              <w:rPr>
                <w:color w:val="auto"/>
                <w:sz w:val="24"/>
                <w:highlight w:val="none"/>
              </w:rPr>
            </w:pPr>
            <w:r>
              <w:rPr>
                <w:rFonts w:hint="eastAsia"/>
                <w:color w:val="auto"/>
                <w:sz w:val="24"/>
                <w:highlight w:val="none"/>
              </w:rPr>
              <w:t>（2）运营期：运营期厂界噪声排放执行《工业企业厂界环境噪声排放标准》（GB12348-2008）3类标准要求。</w:t>
            </w:r>
          </w:p>
          <w:p>
            <w:pPr>
              <w:adjustRightInd w:val="0"/>
              <w:spacing w:line="460" w:lineRule="exact"/>
              <w:ind w:firstLineChars="200" w:firstLine="480"/>
              <w:rPr>
                <w:color w:val="auto"/>
                <w:sz w:val="24"/>
                <w:highlight w:val="none"/>
              </w:rPr>
            </w:pPr>
            <w:r>
              <w:rPr>
                <w:rFonts w:hint="eastAsia"/>
                <w:color w:val="auto"/>
                <w:sz w:val="24"/>
                <w:highlight w:val="none"/>
              </w:rPr>
              <w:t>噪声</w:t>
            </w:r>
            <w:r>
              <w:rPr>
                <w:rFonts w:hint="eastAsia"/>
                <w:color w:val="auto"/>
                <w:sz w:val="24"/>
                <w:lang w:val="zh-CN"/>
                <w:highlight w:val="none"/>
              </w:rPr>
              <w:t>排放标准一览表见表</w:t>
            </w:r>
            <w:r>
              <w:rPr>
                <w:rFonts w:hint="eastAsia"/>
                <w:color w:val="auto"/>
                <w:sz w:val="24"/>
                <w:highlight w:val="none"/>
              </w:rPr>
              <w:t>3-</w:t>
            </w:r>
            <w:r>
              <w:rPr>
                <w:rFonts w:hint="eastAsia"/>
                <w:color w:val="auto"/>
                <w:sz w:val="24"/>
                <w:lang w:val="en-US" w:eastAsia="zh-CN"/>
                <w:highlight w:val="none"/>
              </w:rPr>
              <w:t>3</w:t>
            </w:r>
            <w:r>
              <w:rPr>
                <w:rFonts w:hint="eastAsia"/>
                <w:color w:val="auto"/>
                <w:sz w:val="24"/>
                <w:highlight w:val="none"/>
              </w:rPr>
              <w:t>。</w:t>
            </w:r>
          </w:p>
          <w:p>
            <w:pPr>
              <w:keepNext/>
              <w:overflowPunct w:val="0"/>
              <w:snapToGrid w:val="0"/>
              <w:jc w:val="center"/>
              <w:rPr>
                <w:b/>
                <w:color w:val="auto"/>
                <w:sz w:val="24"/>
                <w:highlight w:val="none"/>
              </w:rPr>
            </w:pPr>
            <w:r>
              <w:rPr>
                <w:b/>
                <w:color w:val="auto"/>
                <w:sz w:val="24"/>
                <w:highlight w:val="none"/>
              </w:rPr>
              <w:t>表3-</w:t>
            </w:r>
            <w:r>
              <w:rPr>
                <w:rFonts w:hint="eastAsia"/>
                <w:b/>
                <w:color w:val="auto"/>
                <w:sz w:val="24"/>
                <w:lang w:val="en-US" w:eastAsia="zh-CN"/>
                <w:highlight w:val="none"/>
              </w:rPr>
              <w:t>3</w:t>
            </w:r>
            <w:r>
              <w:rPr>
                <w:b/>
                <w:color w:val="auto"/>
                <w:sz w:val="24"/>
                <w:highlight w:val="none"/>
              </w:rPr>
              <w:t xml:space="preserve">  环境噪声排放标准   单位：dB（A）</w:t>
            </w:r>
          </w:p>
          <w:tbl>
            <w:tblPr>
              <w:jc w:val="center"/>
              <w:tblW w:w="499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147"/>
              <w:gridCol w:w="1623"/>
              <w:gridCol w:w="900"/>
              <w:gridCol w:w="772"/>
              <w:gridCol w:w="4076"/>
            </w:tblGrid>
            <w:tr>
              <w:trPr>
                <w:trHeight w:val="397"/>
              </w:trPr>
              <w:tc>
                <w:tcPr>
                  <w:tcW w:w="673"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类别</w:t>
                  </w:r>
                </w:p>
              </w:tc>
              <w:tc>
                <w:tcPr>
                  <w:tcW w:w="952"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污染物</w:t>
                  </w:r>
                </w:p>
              </w:tc>
              <w:tc>
                <w:tcPr>
                  <w:tcW w:w="528"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昼间</w:t>
                  </w:r>
                </w:p>
              </w:tc>
              <w:tc>
                <w:tcPr>
                  <w:tcW w:w="453"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夜间</w:t>
                  </w:r>
                </w:p>
              </w:tc>
              <w:tc>
                <w:tcPr>
                  <w:tcW w:w="2391" w:type="pct"/>
                  <w:tcBorders>
                    <w:tl2br w:val="nil"/>
                    <w:tr2bl w:val="nil"/>
                  </w:tcBorders>
                  <w:vAlign w:val="center"/>
                </w:tcPr>
                <w:p>
                  <w:pPr>
                    <w:adjustRightInd w:val="0"/>
                    <w:snapToGrid w:val="0"/>
                    <w:jc w:val="center"/>
                    <w:rPr>
                      <w:b/>
                      <w:bCs/>
                      <w:color w:val="auto"/>
                      <w:szCs w:val="21"/>
                      <w:lang w:val="zh-CN"/>
                      <w:highlight w:val="none"/>
                    </w:rPr>
                  </w:pPr>
                  <w:r>
                    <w:rPr>
                      <w:rFonts w:hint="eastAsia"/>
                      <w:b/>
                      <w:bCs/>
                      <w:color w:val="auto"/>
                      <w:szCs w:val="21"/>
                      <w:lang w:val="zh-CN"/>
                      <w:highlight w:val="none"/>
                    </w:rPr>
                    <w:t>标准来源</w:t>
                  </w:r>
                </w:p>
              </w:tc>
            </w:tr>
            <w:tr>
              <w:trPr>
                <w:trHeight w:val="397"/>
              </w:trPr>
              <w:tc>
                <w:tcPr>
                  <w:tcW w:w="673"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施工期</w:t>
                  </w:r>
                </w:p>
              </w:tc>
              <w:tc>
                <w:tcPr>
                  <w:tcW w:w="952" w:type="pct"/>
                  <w:vMerge w:val="restar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等效连续A声级Leq（A）</w:t>
                  </w:r>
                </w:p>
              </w:tc>
              <w:tc>
                <w:tcPr>
                  <w:tcW w:w="528"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70</w:t>
                  </w:r>
                </w:p>
              </w:tc>
              <w:tc>
                <w:tcPr>
                  <w:tcW w:w="453" w:type="pc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55</w:t>
                  </w:r>
                </w:p>
              </w:tc>
              <w:tc>
                <w:tcPr>
                  <w:tcW w:w="2391" w:type="pct"/>
                  <w:tcBorders>
                    <w:tl2br w:val="nil"/>
                    <w:tr2bl w:val="nil"/>
                  </w:tcBorders>
                  <w:vAlign w:val="center"/>
                </w:tcPr>
                <w:p>
                  <w:pPr>
                    <w:jc w:val="center"/>
                    <w:rPr>
                      <w:color w:val="auto"/>
                      <w:szCs w:val="21"/>
                      <w:lang w:val="zh-CN"/>
                      <w:highlight w:val="none"/>
                    </w:rPr>
                  </w:pPr>
                  <w:r>
                    <w:rPr>
                      <w:rFonts w:hint="eastAsia"/>
                      <w:color w:val="auto"/>
                      <w:szCs w:val="21"/>
                      <w:lang w:val="en-GB"/>
                      <w:highlight w:val="none"/>
                    </w:rPr>
                    <w:t>《建筑施工噪声排放标准》（GB 12523-2025）中的相关标准</w:t>
                  </w:r>
                </w:p>
              </w:tc>
            </w:tr>
            <w:tr>
              <w:trPr>
                <w:trHeight w:val="397"/>
              </w:trPr>
              <w:tc>
                <w:tcPr>
                  <w:tcW w:w="673" w:type="pct"/>
                  <w:vMerge w:val="restart"/>
                  <w:tcBorders>
                    <w:tl2br w:val="nil"/>
                    <w:tr2bl w:val="nil"/>
                  </w:tcBorders>
                  <w:vAlign w:val="center"/>
                </w:tcPr>
                <w:p>
                  <w:pPr>
                    <w:jc w:val="center"/>
                    <w:rPr>
                      <w:color w:val="auto"/>
                      <w:szCs w:val="21"/>
                      <w:lang w:val="en-GB"/>
                      <w:highlight w:val="none"/>
                    </w:rPr>
                  </w:pPr>
                  <w:r>
                    <w:rPr>
                      <w:rFonts w:hint="eastAsia"/>
                      <w:color w:val="auto"/>
                      <w:szCs w:val="21"/>
                      <w:lang w:val="en-GB"/>
                      <w:highlight w:val="none"/>
                    </w:rPr>
                    <w:t>运营期</w:t>
                  </w:r>
                </w:p>
              </w:tc>
              <w:tc>
                <w:tcPr>
                  <w:tcW w:w="952" w:type="pct"/>
                  <w:vMerge/>
                  <w:tcBorders>
                    <w:tl2br w:val="nil"/>
                    <w:tr2bl w:val="nil"/>
                  </w:tcBorders>
                  <w:vAlign w:val="center"/>
                </w:tcPr>
                <w:p/>
              </w:tc>
              <w:tc>
                <w:tcPr>
                  <w:tcW w:w="528" w:type="pct"/>
                  <w:tcBorders>
                    <w:tl2br w:val="nil"/>
                    <w:tr2bl w:val="nil"/>
                  </w:tcBorders>
                  <w:vAlign w:val="center"/>
                </w:tcPr>
                <w:p>
                  <w:pPr>
                    <w:jc w:val="center"/>
                    <w:rPr>
                      <w:color w:val="auto"/>
                      <w:szCs w:val="21"/>
                      <w:highlight w:val="none"/>
                    </w:rPr>
                  </w:pPr>
                  <w:r>
                    <w:rPr>
                      <w:rFonts w:hint="eastAsia"/>
                      <w:color w:val="auto"/>
                      <w:szCs w:val="21"/>
                      <w:highlight w:val="none"/>
                    </w:rPr>
                    <w:t>65</w:t>
                  </w:r>
                </w:p>
              </w:tc>
              <w:tc>
                <w:tcPr>
                  <w:tcW w:w="453" w:type="pct"/>
                  <w:tcBorders>
                    <w:tl2br w:val="nil"/>
                    <w:tr2bl w:val="nil"/>
                  </w:tcBorders>
                  <w:vAlign w:val="center"/>
                </w:tcPr>
                <w:p>
                  <w:pPr>
                    <w:jc w:val="center"/>
                    <w:rPr>
                      <w:color w:val="auto"/>
                      <w:szCs w:val="21"/>
                      <w:highlight w:val="none"/>
                    </w:rPr>
                  </w:pPr>
                  <w:r>
                    <w:rPr>
                      <w:rFonts w:hint="eastAsia"/>
                      <w:color w:val="auto"/>
                      <w:szCs w:val="21"/>
                      <w:highlight w:val="none"/>
                    </w:rPr>
                    <w:t>55</w:t>
                  </w:r>
                </w:p>
              </w:tc>
              <w:tc>
                <w:tcPr>
                  <w:tcW w:w="2391" w:type="pct"/>
                  <w:vMerge w:val="restart"/>
                  <w:tcBorders>
                    <w:tl2br w:val="nil"/>
                    <w:tr2bl w:val="nil"/>
                  </w:tcBorders>
                  <w:vAlign w:val="center"/>
                </w:tcPr>
                <w:p>
                  <w:pPr>
                    <w:jc w:val="center"/>
                    <w:rPr>
                      <w:color w:val="auto"/>
                      <w:szCs w:val="21"/>
                      <w:lang w:val="zh-CN"/>
                      <w:highlight w:val="none"/>
                    </w:rPr>
                  </w:pPr>
                  <w:r>
                    <w:rPr>
                      <w:rFonts w:hint="eastAsia"/>
                      <w:color w:val="auto"/>
                      <w:szCs w:val="21"/>
                      <w:lang w:val="zh-CN"/>
                      <w:highlight w:val="none"/>
                    </w:rPr>
                    <w:t>《工业企业厂界环境噪声排放标准》（GB12348-2008）</w:t>
                  </w:r>
                  <w:r>
                    <w:rPr>
                      <w:rFonts w:hint="eastAsia"/>
                      <w:color w:val="auto"/>
                      <w:szCs w:val="21"/>
                      <w:highlight w:val="none"/>
                    </w:rPr>
                    <w:t>3</w:t>
                  </w:r>
                  <w:r>
                    <w:rPr>
                      <w:rFonts w:hint="eastAsia"/>
                      <w:color w:val="auto"/>
                      <w:szCs w:val="21"/>
                      <w:lang w:val="zh-CN"/>
                      <w:highlight w:val="none"/>
                    </w:rPr>
                    <w:t>类标准</w:t>
                  </w:r>
                </w:p>
              </w:tc>
            </w:tr>
            <w:tr>
              <w:trPr>
                <w:trHeight w:val="397"/>
              </w:trPr>
              <w:tc>
                <w:tcPr>
                  <w:tcW w:w="673" w:type="pct"/>
                  <w:vMerge/>
                  <w:tcBorders>
                    <w:tl2br w:val="nil"/>
                    <w:tr2bl w:val="nil"/>
                  </w:tcBorders>
                  <w:vAlign w:val="center"/>
                </w:tcPr>
                <w:p/>
              </w:tc>
              <w:tc>
                <w:tcPr>
                  <w:tcW w:w="952" w:type="pct"/>
                  <w:tcBorders>
                    <w:tl2br w:val="nil"/>
                    <w:tr2bl w:val="nil"/>
                  </w:tcBorders>
                  <w:vAlign w:val="center"/>
                </w:tcPr>
                <w:p>
                  <w:pPr>
                    <w:jc w:val="center"/>
                    <w:rPr>
                      <w:rFonts w:eastAsia="宋体" w:hint="eastAsia"/>
                      <w:color w:val="auto"/>
                      <w:szCs w:val="21"/>
                      <w:lang w:val="en-GB" w:eastAsia="zh-CN"/>
                      <w:highlight w:val="none"/>
                    </w:rPr>
                  </w:pPr>
                  <w:r>
                    <w:rPr>
                      <w:rFonts w:hint="eastAsia"/>
                      <w:color w:val="auto"/>
                      <w:szCs w:val="21"/>
                      <w:lang w:val="en-GB" w:eastAsia="zh-CN"/>
                      <w:highlight w:val="none"/>
                    </w:rPr>
                    <w:t>频发最大声级</w:t>
                  </w:r>
                </w:p>
              </w:tc>
              <w:tc>
                <w:tcPr>
                  <w:tcW w:w="528"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w:t>
                  </w:r>
                </w:p>
              </w:tc>
              <w:tc>
                <w:tcPr>
                  <w:tcW w:w="453"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65</w:t>
                  </w:r>
                </w:p>
              </w:tc>
              <w:tc>
                <w:tcPr>
                  <w:tcW w:w="2391" w:type="pct"/>
                  <w:vMerge/>
                  <w:tcBorders>
                    <w:tl2br w:val="nil"/>
                    <w:tr2bl w:val="nil"/>
                  </w:tcBorders>
                  <w:vAlign w:val="center"/>
                </w:tcPr>
                <w:p/>
              </w:tc>
            </w:tr>
            <w:tr>
              <w:trPr>
                <w:trHeight w:val="397"/>
              </w:trPr>
              <w:tc>
                <w:tcPr>
                  <w:tcW w:w="673" w:type="pct"/>
                  <w:vMerge/>
                  <w:tcBorders>
                    <w:tl2br w:val="nil"/>
                    <w:tr2bl w:val="nil"/>
                  </w:tcBorders>
                  <w:vAlign w:val="center"/>
                </w:tcPr>
                <w:p/>
              </w:tc>
              <w:tc>
                <w:tcPr>
                  <w:tcW w:w="952" w:type="pct"/>
                  <w:tcBorders>
                    <w:tl2br w:val="nil"/>
                    <w:tr2bl w:val="nil"/>
                  </w:tcBorders>
                  <w:vAlign w:val="center"/>
                </w:tcPr>
                <w:p>
                  <w:pPr>
                    <w:jc w:val="center"/>
                    <w:rPr>
                      <w:rFonts w:hint="eastAsia"/>
                      <w:color w:val="auto"/>
                      <w:szCs w:val="21"/>
                      <w:lang w:val="en-GB" w:eastAsia="zh-CN"/>
                      <w:highlight w:val="none"/>
                    </w:rPr>
                  </w:pPr>
                  <w:r>
                    <w:rPr>
                      <w:rFonts w:hint="eastAsia"/>
                      <w:color w:val="auto"/>
                      <w:szCs w:val="21"/>
                      <w:lang w:val="en-GB" w:eastAsia="zh-CN"/>
                      <w:highlight w:val="none"/>
                    </w:rPr>
                    <w:t>偶发最大声级</w:t>
                  </w:r>
                </w:p>
              </w:tc>
              <w:tc>
                <w:tcPr>
                  <w:tcW w:w="528" w:type="pct"/>
                  <w:tcBorders>
                    <w:tl2br w:val="nil"/>
                    <w:tr2bl w:val="nil"/>
                  </w:tcBorders>
                  <w:vAlign w:val="center"/>
                </w:tcPr>
                <w:p>
                  <w:pPr>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453" w:type="pct"/>
                  <w:tcBorders>
                    <w:tl2br w:val="nil"/>
                    <w:tr2bl w:val="nil"/>
                  </w:tcBorders>
                  <w:vAlign w:val="center"/>
                </w:tcPr>
                <w:p>
                  <w:pPr>
                    <w:jc w:val="center"/>
                    <w:rPr>
                      <w:rFonts w:eastAsia="宋体"/>
                      <w:color w:val="auto"/>
                      <w:szCs w:val="21"/>
                      <w:lang w:val="en-US" w:eastAsia="zh-CN"/>
                      <w:highlight w:val="none"/>
                    </w:rPr>
                  </w:pPr>
                  <w:r>
                    <w:rPr>
                      <w:rFonts w:hint="eastAsia"/>
                      <w:color w:val="auto"/>
                      <w:szCs w:val="21"/>
                      <w:lang w:val="en-US" w:eastAsia="zh-CN"/>
                      <w:highlight w:val="none"/>
                    </w:rPr>
                    <w:t>70</w:t>
                  </w:r>
                </w:p>
              </w:tc>
              <w:tc>
                <w:tcPr>
                  <w:tcW w:w="2391" w:type="pct"/>
                  <w:vMerge/>
                  <w:tcBorders>
                    <w:tl2br w:val="nil"/>
                    <w:tr2bl w:val="nil"/>
                  </w:tcBorders>
                  <w:vAlign w:val="center"/>
                </w:tcPr>
                <w:p/>
              </w:tc>
            </w:tr>
          </w:tbl>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auto"/>
                <w:sz w:val="24"/>
                <w:lang w:val="zh-CN"/>
                <w:highlight w:val="none"/>
              </w:rPr>
            </w:pPr>
            <w:r>
              <w:rPr>
                <w:rFonts w:hint="eastAsia"/>
                <w:b/>
                <w:bCs/>
                <w:color w:val="auto"/>
                <w:sz w:val="24"/>
                <w:lang w:val="en-US" w:eastAsia="zh-CN"/>
                <w:highlight w:val="none"/>
              </w:rPr>
              <w:t>3</w:t>
            </w:r>
            <w:r>
              <w:rPr>
                <w:rFonts w:hint="eastAsia"/>
                <w:b/>
                <w:bCs/>
                <w:color w:val="auto"/>
                <w:sz w:val="24"/>
                <w:lang w:val="zh-CN"/>
                <w:highlight w:val="none"/>
              </w:rPr>
              <w:t>、固体废物</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auto"/>
                <w:sz w:val="24"/>
                <w:lang w:val="zh-CN"/>
                <w:highlight w:val="none"/>
              </w:rPr>
            </w:pPr>
            <w:r>
              <w:rPr>
                <w:color w:val="auto"/>
                <w:sz w:val="24"/>
                <w:lang w:val="zh-CN"/>
                <w:highlight w:val="none"/>
              </w:rPr>
              <w:t>一般工业固废执行</w:t>
            </w:r>
            <w:r>
              <w:rPr>
                <w:rFonts w:hint="eastAsia"/>
                <w:color w:val="auto"/>
                <w:sz w:val="24"/>
                <w:lang w:val="zh-CN"/>
                <w:highlight w:val="none"/>
              </w:rPr>
              <w:t>《一般工业固体废物贮存和填埋污染控制标准》（GB18599-2020）</w:t>
            </w:r>
            <w:r>
              <w:rPr>
                <w:color w:val="auto"/>
                <w:sz w:val="24"/>
                <w:lang w:val="zh-CN"/>
                <w:highlight w:val="none"/>
              </w:rPr>
              <w:t>。</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rFonts w:hint="eastAsia"/>
                <w:color w:val="auto"/>
                <w:sz w:val="24"/>
                <w:lang w:val="zh-CN"/>
                <w:highlight w:val="none"/>
              </w:rPr>
            </w:pPr>
            <w:r>
              <w:rPr>
                <w:rFonts w:ascii="Times New Roman" w:eastAsia="宋体" w:cs="Times New Roman" w:hAnsi="Times New Roman" w:hint="eastAsia"/>
                <w:color w:val="auto"/>
                <w:sz w:val="24"/>
                <w:lang w:val="zh-CN"/>
                <w:highlight w:val="none"/>
              </w:rPr>
              <w:t>危险废物</w:t>
            </w:r>
            <w:r>
              <w:rPr>
                <w:rFonts w:cs="Times New Roman" w:hint="eastAsia"/>
                <w:color w:val="auto"/>
                <w:sz w:val="24"/>
                <w:lang w:val="zh-CN"/>
                <w:highlight w:val="none"/>
              </w:rPr>
              <w:t>贮存过程</w:t>
            </w:r>
            <w:r>
              <w:rPr>
                <w:rFonts w:ascii="Times New Roman" w:eastAsia="宋体" w:cs="Times New Roman" w:hAnsi="Times New Roman" w:hint="eastAsia"/>
                <w:color w:val="auto"/>
                <w:sz w:val="24"/>
                <w:lang w:val="zh-CN"/>
                <w:highlight w:val="none"/>
              </w:rPr>
              <w:t>执行《危险废物贮存污染控制标准》（GB 18597-2023）</w:t>
            </w:r>
            <w:r>
              <w:rPr>
                <w:rFonts w:cs="Times New Roman" w:hint="eastAsia"/>
                <w:color w:val="auto"/>
                <w:sz w:val="24"/>
                <w:lang w:val="zh-CN"/>
                <w:highlight w:val="none"/>
              </w:rPr>
              <w:t>、</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危险废物收集 贮存 运输技术规范</w:t>
            </w:r>
            <w:r>
              <w:rPr>
                <w:rFonts w:cs="Times New Roman" w:hint="eastAsia"/>
                <w:color w:val="auto"/>
                <w:kern w:val="2"/>
                <w:sz w:val="24"/>
                <w:szCs w:val="24"/>
                <w:lang w:val="en-US" w:eastAsia="zh-CN" w:bidi="ar-SA"/>
                <w:highlight w:val="none"/>
              </w:rPr>
              <w:t>》（</w:t>
            </w:r>
            <w:r>
              <w:rPr>
                <w:rFonts w:ascii="Times New Roman" w:eastAsia="宋体" w:cs="Times New Roman" w:hAnsi="Times New Roman" w:hint="eastAsia"/>
                <w:color w:val="auto"/>
                <w:kern w:val="2"/>
                <w:sz w:val="24"/>
                <w:szCs w:val="24"/>
                <w:lang w:val="en-US" w:eastAsia="zh-CN" w:bidi="ar-SA"/>
                <w:highlight w:val="none"/>
              </w:rPr>
              <w:t>HJ 2025-2012</w:t>
            </w:r>
            <w:r>
              <w:rPr>
                <w:rFonts w:cs="Times New Roman" w:hint="eastAsia"/>
                <w:color w:val="auto"/>
                <w:kern w:val="2"/>
                <w:sz w:val="24"/>
                <w:szCs w:val="24"/>
                <w:lang w:val="en-US" w:eastAsia="zh-CN" w:bidi="ar-SA"/>
                <w:highlight w:val="none"/>
              </w:rPr>
              <w:t>）、</w:t>
            </w:r>
            <w:r>
              <w:rPr>
                <w:rFonts w:cs="Times New Roman" w:hint="eastAsia"/>
                <w:color w:val="auto"/>
                <w:sz w:val="24"/>
                <w:lang w:val="zh-CN"/>
                <w:highlight w:val="none"/>
              </w:rPr>
              <w:t>《废铅蓄电池处理污染控制技术规范》（HJ519-2020）等相应标准</w:t>
            </w:r>
            <w:r>
              <w:rPr>
                <w:rFonts w:ascii="Times New Roman" w:eastAsia="宋体" w:cs="Times New Roman" w:hAnsi="Times New Roman" w:hint="eastAsia"/>
                <w:color w:val="auto"/>
                <w:sz w:val="24"/>
                <w:lang w:val="zh-CN"/>
                <w:highlight w:val="none"/>
              </w:rPr>
              <w:t>。</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auto"/>
                <w:lang w:val="zh-CN"/>
                <w:highlight w:val="none"/>
              </w:rPr>
            </w:pPr>
            <w:r>
              <w:rPr>
                <w:rFonts w:hint="eastAsia"/>
                <w:color w:val="auto"/>
                <w:sz w:val="24"/>
                <w:lang w:val="zh-CN"/>
                <w:highlight w:val="none"/>
              </w:rPr>
              <w:t>生活垃圾处置参照《中华人民共和国固体废弃物污染环境防治法》（</w:t>
            </w:r>
            <w:r>
              <w:rPr>
                <w:color w:val="auto"/>
                <w:sz w:val="24"/>
                <w:lang w:val="zh-CN"/>
                <w:highlight w:val="none"/>
              </w:rPr>
              <w:t>2020年</w:t>
            </w:r>
            <w:r>
              <w:rPr>
                <w:rFonts w:hint="eastAsia"/>
                <w:color w:val="auto"/>
                <w:sz w:val="24"/>
                <w:lang w:val="zh-CN"/>
                <w:highlight w:val="none"/>
              </w:rPr>
              <w:t>修订版）中第四章“生活垃圾”的规定</w:t>
            </w:r>
            <w:r>
              <w:rPr>
                <w:rFonts w:hint="eastAsia"/>
                <w:color w:val="auto"/>
                <w:sz w:val="24"/>
                <w:highlight w:val="none"/>
              </w:rPr>
              <w:t>要求</w:t>
            </w:r>
            <w:r>
              <w:rPr>
                <w:rFonts w:hint="eastAsia"/>
                <w:color w:val="auto"/>
                <w:sz w:val="24"/>
                <w:lang w:val="zh-CN"/>
                <w:highlight w:val="none"/>
              </w:rPr>
              <w:t>。</w:t>
            </w:r>
          </w:p>
        </w:tc>
      </w:tr>
      <w:tr>
        <w:trPr>
          <w:trHeight w:val="90"/>
        </w:trPr>
        <w:tc>
          <w:tcPr>
            <w:tcW w:w="449" w:type="pct"/>
            <w:vAlign w:val="center"/>
          </w:tcPr>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总量</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控制</w:t>
            </w:r>
          </w:p>
          <w:p>
            <w:pPr>
              <w:adjustRightInd w:val="0"/>
              <w:snapToGrid w:val="0"/>
              <w:jc w:val="center"/>
              <w:rPr>
                <w:rFonts w:ascii="宋体" w:cs="宋体" w:hAnsi="宋体" w:hint="eastAsia"/>
                <w:color w:val="auto"/>
                <w:kern w:val="0"/>
                <w:sz w:val="24"/>
                <w:highlight w:val="none"/>
              </w:rPr>
            </w:pPr>
            <w:r>
              <w:rPr>
                <w:rFonts w:ascii="宋体" w:cs="宋体" w:hAnsi="宋体" w:hint="eastAsia"/>
                <w:color w:val="auto"/>
                <w:kern w:val="0"/>
                <w:sz w:val="24"/>
                <w:highlight w:val="none"/>
              </w:rPr>
              <w:t>指标</w:t>
            </w:r>
          </w:p>
        </w:tc>
        <w:tc>
          <w:tcPr>
            <w:tcW w:w="4550" w:type="pct"/>
            <w:tcBorders>
              <w:left w:val="single" w:sz="4" w:space="0" w:color="auto"/>
            </w:tcBorders>
            <w:vAlign w:val="center"/>
          </w:tcPr>
          <w:p>
            <w:pPr>
              <w:spacing w:line="500" w:lineRule="exact"/>
              <w:ind w:firstLineChars="200" w:firstLine="480"/>
              <w:rPr>
                <w:color w:val="auto"/>
                <w:sz w:val="24"/>
                <w:lang w:val="zh-CN"/>
                <w:highlight w:val="none"/>
              </w:rPr>
            </w:pPr>
            <w:r>
              <w:rPr>
                <w:color w:val="auto"/>
                <w:sz w:val="24"/>
                <w:lang w:val="zh-CN"/>
                <w:highlight w:val="none"/>
              </w:rPr>
              <w:t>根据《</w:t>
            </w:r>
            <w:r>
              <w:rPr>
                <w:rFonts w:ascii="宋体" w:cs="宋体" w:hAnsi="宋体" w:hint="eastAsia"/>
                <w:color w:val="auto"/>
                <w:sz w:val="24"/>
                <w:lang w:val="zh-CN"/>
                <w:highlight w:val="none"/>
              </w:rPr>
              <w:t>“</w:t>
            </w:r>
            <w:r>
              <w:rPr>
                <w:color w:val="auto"/>
                <w:sz w:val="24"/>
                <w:lang w:val="zh-CN"/>
                <w:highlight w:val="none"/>
              </w:rPr>
              <w:t>十四五</w:t>
            </w:r>
            <w:r>
              <w:rPr>
                <w:rFonts w:ascii="宋体" w:cs="宋体" w:hAnsi="宋体" w:hint="eastAsia"/>
                <w:color w:val="auto"/>
                <w:sz w:val="24"/>
                <w:lang w:val="zh-CN"/>
                <w:highlight w:val="none"/>
              </w:rPr>
              <w:t>”</w:t>
            </w:r>
            <w:r>
              <w:rPr>
                <w:color w:val="auto"/>
                <w:sz w:val="24"/>
                <w:lang w:val="zh-CN"/>
                <w:highlight w:val="none"/>
              </w:rPr>
              <w:t>主要污染物总量减排潜力测算工作指南》</w:t>
            </w:r>
            <w:r>
              <w:rPr>
                <w:rFonts w:hint="eastAsia"/>
                <w:color w:val="auto"/>
                <w:sz w:val="24"/>
                <w:highlight w:val="none"/>
              </w:rPr>
              <w:t>相关</w:t>
            </w:r>
            <w:r>
              <w:rPr>
                <w:color w:val="auto"/>
                <w:sz w:val="24"/>
                <w:lang w:val="zh-CN"/>
                <w:highlight w:val="none"/>
              </w:rPr>
              <w:t>规定</w:t>
            </w:r>
            <w:r>
              <w:rPr>
                <w:rFonts w:hint="eastAsia"/>
                <w:color w:val="auto"/>
                <w:sz w:val="24"/>
                <w:lang w:val="zh-CN"/>
                <w:highlight w:val="none"/>
              </w:rPr>
              <w:t>，</w:t>
            </w:r>
            <w:r>
              <w:rPr>
                <w:color w:val="auto"/>
                <w:sz w:val="24"/>
                <w:lang w:val="zh-CN"/>
                <w:highlight w:val="none"/>
              </w:rPr>
              <w:t>项目污染物排放总量控制指标为COD、氨氮</w:t>
            </w:r>
            <w:r>
              <w:rPr>
                <w:rFonts w:hint="eastAsia"/>
                <w:color w:val="auto"/>
                <w:sz w:val="24"/>
                <w:highlight w:val="none"/>
              </w:rPr>
              <w:t>；</w:t>
            </w:r>
            <w:r>
              <w:rPr>
                <w:color w:val="auto"/>
                <w:sz w:val="24"/>
                <w:lang w:val="zh-CN"/>
                <w:highlight w:val="none"/>
              </w:rPr>
              <w:t>SO</w:t>
            </w:r>
            <w:r>
              <w:rPr>
                <w:color w:val="auto"/>
                <w:sz w:val="24"/>
                <w:vertAlign w:val="subscript"/>
                <w:lang w:val="zh-CN"/>
                <w:highlight w:val="none"/>
              </w:rPr>
              <w:t>2</w:t>
            </w:r>
            <w:r>
              <w:rPr>
                <w:color w:val="auto"/>
                <w:sz w:val="24"/>
                <w:lang w:val="zh-CN"/>
                <w:highlight w:val="none"/>
              </w:rPr>
              <w:t>、氮氧化物</w:t>
            </w:r>
            <w:r>
              <w:rPr>
                <w:rFonts w:hint="eastAsia"/>
                <w:color w:val="auto"/>
                <w:sz w:val="24"/>
                <w:lang w:val="zh-CN"/>
                <w:highlight w:val="none"/>
              </w:rPr>
              <w:t>、</w:t>
            </w:r>
            <w:r>
              <w:rPr>
                <w:rFonts w:hint="eastAsia"/>
                <w:color w:val="auto"/>
                <w:sz w:val="24"/>
                <w:highlight w:val="none"/>
              </w:rPr>
              <w:t>颗粒物</w:t>
            </w:r>
            <w:r>
              <w:rPr>
                <w:rFonts w:hint="eastAsia"/>
                <w:color w:val="auto"/>
                <w:sz w:val="24"/>
                <w:lang w:eastAsia="zh-CN"/>
                <w:highlight w:val="none"/>
              </w:rPr>
              <w:t>、</w:t>
            </w:r>
            <w:r>
              <w:rPr>
                <w:rFonts w:hint="eastAsia"/>
                <w:color w:val="auto"/>
                <w:sz w:val="24"/>
                <w:lang w:val="en-US" w:eastAsia="zh-CN"/>
                <w:highlight w:val="none"/>
              </w:rPr>
              <w:t>VOC</w:t>
            </w:r>
            <w:r>
              <w:rPr>
                <w:rFonts w:hint="eastAsia"/>
                <w:color w:val="auto"/>
                <w:sz w:val="24"/>
                <w:vertAlign w:val="subscript"/>
                <w:lang w:val="en-US" w:eastAsia="zh-CN"/>
                <w:highlight w:val="none"/>
              </w:rPr>
              <w:t>S</w:t>
            </w:r>
            <w:r>
              <w:rPr>
                <w:rFonts w:hint="eastAsia"/>
                <w:color w:val="auto"/>
                <w:sz w:val="24"/>
                <w:highlight w:val="none"/>
              </w:rPr>
              <w:t>。</w:t>
            </w:r>
          </w:p>
          <w:p>
            <w:pPr>
              <w:autoSpaceDE w:val="0"/>
              <w:autoSpaceDN w:val="0"/>
              <w:adjustRightInd w:val="0"/>
              <w:spacing w:line="500" w:lineRule="exact"/>
              <w:ind w:firstLineChars="200" w:firstLine="480"/>
              <w:rPr>
                <w:color w:val="auto"/>
                <w:sz w:val="24"/>
                <w:lang w:val="zh-CN"/>
                <w:highlight w:val="none"/>
              </w:rPr>
            </w:pPr>
            <w:r>
              <w:rPr>
                <w:color w:val="auto"/>
                <w:sz w:val="24"/>
                <w:lang w:val="zh-CN"/>
                <w:highlight w:val="none"/>
              </w:rPr>
              <w:t>（</w:t>
            </w:r>
            <w:r>
              <w:rPr>
                <w:rFonts w:hint="eastAsia"/>
                <w:color w:val="auto"/>
                <w:sz w:val="24"/>
                <w:lang w:val="en-US" w:eastAsia="zh-CN"/>
                <w:highlight w:val="none"/>
              </w:rPr>
              <w:t>1</w:t>
            </w:r>
            <w:r>
              <w:rPr>
                <w:color w:val="auto"/>
                <w:sz w:val="24"/>
                <w:lang w:val="zh-CN"/>
                <w:highlight w:val="none"/>
              </w:rPr>
              <w:t>）废气污染物</w:t>
            </w:r>
          </w:p>
          <w:p>
            <w:pPr>
              <w:autoSpaceDE w:val="0"/>
              <w:autoSpaceDN w:val="0"/>
              <w:adjustRightInd w:val="0"/>
              <w:spacing w:line="500" w:lineRule="exact"/>
              <w:ind w:firstLineChars="200" w:firstLine="480"/>
              <w:rPr>
                <w:rFonts w:eastAsia="宋体" w:hint="eastAsia"/>
                <w:color w:val="auto"/>
                <w:sz w:val="24"/>
                <w:lang w:val="en-US" w:eastAsia="zh-CN"/>
                <w:highlight w:val="none"/>
              </w:rPr>
            </w:pPr>
            <w:r>
              <w:rPr>
                <w:rFonts w:hint="eastAsia"/>
                <w:color w:val="auto"/>
                <w:sz w:val="24"/>
                <w:highlight w:val="none"/>
              </w:rPr>
              <w:t>项目生产不用热，职工日常办公供暖由空调提供，</w:t>
            </w:r>
            <w:r>
              <w:rPr>
                <w:rFonts w:hint="eastAsia"/>
                <w:color w:val="auto"/>
                <w:sz w:val="24"/>
                <w:lang w:val="zh-CN"/>
                <w:highlight w:val="none"/>
              </w:rPr>
              <w:t>不设燃煤燃气等供热设施</w:t>
            </w:r>
            <w:r>
              <w:rPr>
                <w:rFonts w:hint="eastAsia"/>
                <w:color w:val="auto"/>
                <w:sz w:val="24"/>
                <w:highlight w:val="none"/>
              </w:rPr>
              <w:t>，</w:t>
            </w:r>
            <w:r>
              <w:rPr>
                <w:color w:val="auto"/>
                <w:sz w:val="24"/>
                <w:highlight w:val="none"/>
              </w:rPr>
              <w:t>故不涉及废气污染物SO</w:t>
            </w:r>
            <w:r>
              <w:rPr>
                <w:color w:val="auto"/>
                <w:sz w:val="24"/>
                <w:vertAlign w:val="subscript"/>
                <w:highlight w:val="none"/>
              </w:rPr>
              <w:t>2</w:t>
            </w:r>
            <w:r>
              <w:rPr>
                <w:color w:val="auto"/>
                <w:sz w:val="24"/>
                <w:highlight w:val="none"/>
              </w:rPr>
              <w:t>、NO</w:t>
            </w:r>
            <w:r>
              <w:rPr>
                <w:color w:val="auto"/>
                <w:sz w:val="24"/>
                <w:vertAlign w:val="subscript"/>
                <w:highlight w:val="none"/>
              </w:rPr>
              <w:t>X</w:t>
            </w:r>
            <w:r>
              <w:rPr>
                <w:color w:val="auto"/>
                <w:sz w:val="24"/>
                <w:highlight w:val="none"/>
              </w:rPr>
              <w:t>的排放</w:t>
            </w:r>
            <w:r>
              <w:rPr>
                <w:rFonts w:hint="eastAsia"/>
                <w:color w:val="auto"/>
                <w:sz w:val="24"/>
                <w:lang w:eastAsia="zh-CN"/>
                <w:highlight w:val="none"/>
              </w:rPr>
              <w:t>，</w:t>
            </w:r>
            <w:r>
              <w:rPr>
                <w:color w:val="auto"/>
                <w:sz w:val="24"/>
                <w:highlight w:val="none"/>
              </w:rPr>
              <w:t>废气污染物SO</w:t>
            </w:r>
            <w:r>
              <w:rPr>
                <w:color w:val="auto"/>
                <w:sz w:val="24"/>
                <w:vertAlign w:val="subscript"/>
                <w:highlight w:val="none"/>
              </w:rPr>
              <w:t>2</w:t>
            </w:r>
            <w:r>
              <w:rPr>
                <w:color w:val="auto"/>
                <w:sz w:val="24"/>
                <w:highlight w:val="none"/>
              </w:rPr>
              <w:t>、NO</w:t>
            </w:r>
            <w:r>
              <w:rPr>
                <w:color w:val="auto"/>
                <w:sz w:val="24"/>
                <w:vertAlign w:val="subscript"/>
                <w:highlight w:val="none"/>
              </w:rPr>
              <w:t>X</w:t>
            </w:r>
            <w:r>
              <w:rPr>
                <w:color w:val="auto"/>
                <w:sz w:val="24"/>
                <w:highlight w:val="none"/>
              </w:rPr>
              <w:t>核算排放量均为0t/a。</w:t>
            </w:r>
            <w:r>
              <w:rPr>
                <w:rFonts w:hint="eastAsia"/>
                <w:color w:val="auto"/>
                <w:sz w:val="24"/>
                <w:lang w:val="en-US" w:eastAsia="zh-CN"/>
                <w:highlight w:val="none"/>
              </w:rPr>
              <w:t>项目不涉及颗粒物、VOC</w:t>
            </w:r>
            <w:r>
              <w:rPr>
                <w:rFonts w:hint="eastAsia"/>
                <w:color w:val="auto"/>
                <w:sz w:val="24"/>
                <w:vertAlign w:val="subscript"/>
                <w:lang w:val="en-US" w:eastAsia="zh-CN"/>
                <w:highlight w:val="none"/>
              </w:rPr>
              <w:t>S</w:t>
            </w:r>
            <w:r>
              <w:rPr>
                <w:rFonts w:hint="eastAsia"/>
                <w:color w:val="auto"/>
                <w:sz w:val="24"/>
                <w:lang w:val="en-US" w:eastAsia="zh-CN"/>
                <w:highlight w:val="none"/>
              </w:rPr>
              <w:t>排放，颗粒物、VOC</w:t>
            </w:r>
            <w:r>
              <w:rPr>
                <w:rFonts w:hint="eastAsia"/>
                <w:color w:val="auto"/>
                <w:sz w:val="24"/>
                <w:vertAlign w:val="subscript"/>
                <w:lang w:val="en-US" w:eastAsia="zh-CN"/>
                <w:highlight w:val="none"/>
              </w:rPr>
              <w:t>S</w:t>
            </w:r>
            <w:r>
              <w:rPr>
                <w:color w:val="auto"/>
                <w:sz w:val="24"/>
                <w:highlight w:val="none"/>
              </w:rPr>
              <w:t>核算排放量为0t/a</w:t>
            </w:r>
            <w:r>
              <w:rPr>
                <w:rFonts w:hint="eastAsia"/>
                <w:color w:val="auto"/>
                <w:sz w:val="24"/>
                <w:lang w:eastAsia="zh-CN"/>
                <w:highlight w:val="none"/>
              </w:rPr>
              <w:t>。</w:t>
            </w:r>
          </w:p>
          <w:p>
            <w:pPr>
              <w:spacing w:line="500" w:lineRule="exact"/>
              <w:ind w:firstLineChars="200" w:firstLine="480"/>
              <w:rPr>
                <w:color w:val="auto"/>
                <w:sz w:val="24"/>
                <w:lang w:val="zh-CN"/>
                <w:highlight w:val="none"/>
              </w:rPr>
            </w:pPr>
            <w:r>
              <w:rPr>
                <w:color w:val="auto"/>
                <w:sz w:val="24"/>
                <w:lang w:val="zh-CN"/>
                <w:highlight w:val="none"/>
              </w:rPr>
              <w:t>（</w:t>
            </w:r>
            <w:r>
              <w:rPr>
                <w:rFonts w:hint="eastAsia"/>
                <w:color w:val="auto"/>
                <w:sz w:val="24"/>
                <w:lang w:val="en-US" w:eastAsia="zh-CN"/>
                <w:highlight w:val="none"/>
              </w:rPr>
              <w:t>2</w:t>
            </w:r>
            <w:r>
              <w:rPr>
                <w:color w:val="auto"/>
                <w:sz w:val="24"/>
                <w:lang w:val="zh-CN"/>
                <w:highlight w:val="none"/>
              </w:rPr>
              <w:t>）废水污染物</w:t>
            </w:r>
          </w:p>
          <w:p>
            <w:pPr>
              <w:keepNext w:val="0"/>
              <w:keepLines w:val="0"/>
              <w:suppressLineNumbers w:val="0"/>
              <w:spacing w:before="0" w:beforeAutospacing="0" w:after="0" w:afterAutospacing="0" w:line="500" w:lineRule="exact"/>
              <w:ind w:left="0" w:right="0" w:firstLineChars="200" w:firstLine="480"/>
              <w:rPr>
                <w:bCs/>
                <w:color w:val="auto"/>
                <w:kern w:val="0"/>
                <w:sz w:val="24"/>
                <w:szCs w:val="20"/>
                <w:highlight w:val="none"/>
              </w:rPr>
            </w:pPr>
            <w:r>
              <w:rPr>
                <w:rFonts w:cs="Times New Roman" w:hint="eastAsia"/>
                <w:color w:val="auto"/>
                <w:kern w:val="0"/>
                <w:sz w:val="24"/>
                <w:lang w:eastAsia="zh-CN"/>
                <w:highlight w:val="none"/>
              </w:rPr>
              <w:t>本项目碱液喷淋装置碱液循环使用，定期更换，更换后交由有资质单位处置；生活污水依托河北泽豪环保新材料科技有限公司化粪池处理后，定期清掏，不外排</w:t>
            </w:r>
            <w:r>
              <w:rPr>
                <w:rFonts w:ascii="Times New Roman" w:eastAsia="Segoe UI" w:cs="Times New Roman" w:hAnsi="Times New Roman" w:hint="eastAsia"/>
                <w:i w:val="0"/>
                <w:iCs w:val="0"/>
                <w:caps w:val="0"/>
                <w:smallCaps w:val="0"/>
                <w:color w:val="auto"/>
                <w:spacing w:val="0"/>
                <w:sz w:val="24"/>
                <w:szCs w:val="24"/>
                <w:shd w:val="clear" w:color="auto" w:fill="FFFFFF"/>
                <w:lang w:val="en-US" w:eastAsia="zh-CN"/>
                <w:highlight w:val="none"/>
              </w:rPr>
              <w:t>。</w:t>
            </w:r>
            <w:r>
              <w:rPr>
                <w:rFonts w:hint="eastAsia"/>
                <w:color w:val="auto"/>
                <w:sz w:val="24"/>
                <w:szCs w:val="20"/>
                <w:highlight w:val="none"/>
              </w:rPr>
              <w:t>项目</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COD</w:t>
            </w:r>
            <w:r>
              <w:rPr>
                <w:rFonts w:ascii="Times New Roman" w:eastAsia="Segoe UI" w:cs="Times New Roman" w:hAnsi="Times New Roman"/>
                <w:i w:val="0"/>
                <w:iCs w:val="0"/>
                <w:caps w:val="0"/>
                <w:smallCaps w:val="0"/>
                <w:color w:val="auto"/>
                <w:spacing w:val="0"/>
                <w:sz w:val="24"/>
                <w:szCs w:val="24"/>
                <w:shd w:val="clear" w:color="auto" w:fill="FFFFFF"/>
                <w:lang w:val="en-US" w:eastAsia="zh-CN"/>
                <w:highlight w:val="none"/>
              </w:rPr>
              <w:t>、</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NH</w:t>
            </w:r>
            <w:r>
              <w:rPr>
                <w:rFonts w:ascii="Times New Roman" w:eastAsia="Segoe UI" w:cs="Times New Roman" w:hAnsi="Times New Roman"/>
                <w:i w:val="0"/>
                <w:iCs w:val="0"/>
                <w:caps w:val="0"/>
                <w:smallCaps w:val="0"/>
                <w:color w:val="auto"/>
                <w:spacing w:val="0"/>
                <w:sz w:val="24"/>
                <w:szCs w:val="24"/>
                <w:shd w:val="clear" w:color="auto" w:fill="FFFFFF"/>
                <w:vertAlign w:val="subscript"/>
                <w:lang w:val="zh-CN" w:eastAsia="zh-CN"/>
                <w:highlight w:val="none"/>
              </w:rPr>
              <w:t>3</w:t>
            </w:r>
            <w:r>
              <w:rPr>
                <w:rFonts w:ascii="Times New Roman" w:eastAsia="Segoe UI" w:cs="Times New Roman" w:hAnsi="Times New Roman"/>
                <w:i w:val="0"/>
                <w:iCs w:val="0"/>
                <w:caps w:val="0"/>
                <w:smallCaps w:val="0"/>
                <w:color w:val="auto"/>
                <w:spacing w:val="0"/>
                <w:sz w:val="24"/>
                <w:szCs w:val="24"/>
                <w:shd w:val="clear" w:color="auto" w:fill="FFFFFF"/>
                <w:lang w:val="zh-CN" w:eastAsia="zh-CN"/>
                <w:highlight w:val="none"/>
              </w:rPr>
              <w:t>-N</w:t>
            </w:r>
            <w:r>
              <w:rPr>
                <w:rFonts w:hint="eastAsia"/>
                <w:color w:val="auto"/>
                <w:sz w:val="24"/>
                <w:szCs w:val="20"/>
                <w:highlight w:val="none"/>
              </w:rPr>
              <w:t>排放</w:t>
            </w:r>
            <w:r>
              <w:rPr>
                <w:rFonts w:hint="eastAsia"/>
                <w:color w:val="auto"/>
                <w:sz w:val="24"/>
                <w:szCs w:val="20"/>
                <w:lang w:eastAsia="zh-CN"/>
                <w:highlight w:val="none"/>
              </w:rPr>
              <w:t>量为</w:t>
            </w:r>
            <w:r>
              <w:rPr>
                <w:bCs/>
                <w:color w:val="auto"/>
                <w:kern w:val="0"/>
                <w:sz w:val="24"/>
                <w:szCs w:val="20"/>
                <w:highlight w:val="none"/>
              </w:rPr>
              <w:t>COD：</w:t>
            </w:r>
            <w:r>
              <w:rPr>
                <w:rFonts w:hint="eastAsia"/>
                <w:bCs/>
                <w:color w:val="auto"/>
                <w:kern w:val="0"/>
                <w:sz w:val="24"/>
                <w:szCs w:val="20"/>
                <w:lang w:val="en-US" w:eastAsia="zh-CN"/>
                <w:highlight w:val="none"/>
              </w:rPr>
              <w:t>0</w:t>
            </w:r>
            <w:r>
              <w:rPr>
                <w:bCs/>
                <w:color w:val="auto"/>
                <w:kern w:val="0"/>
                <w:sz w:val="24"/>
                <w:szCs w:val="20"/>
                <w:highlight w:val="none"/>
              </w:rPr>
              <w:t>t/a、氨氮：</w:t>
            </w:r>
            <w:r>
              <w:rPr>
                <w:rFonts w:hint="eastAsia"/>
                <w:bCs/>
                <w:color w:val="auto"/>
                <w:kern w:val="0"/>
                <w:sz w:val="24"/>
                <w:szCs w:val="20"/>
                <w:lang w:val="en-US" w:eastAsia="zh-CN"/>
                <w:highlight w:val="none"/>
              </w:rPr>
              <w:t>0</w:t>
            </w:r>
            <w:r>
              <w:rPr>
                <w:bCs/>
                <w:color w:val="auto"/>
                <w:kern w:val="0"/>
                <w:sz w:val="24"/>
                <w:szCs w:val="20"/>
                <w:highlight w:val="none"/>
              </w:rPr>
              <w:t>t/a</w:t>
            </w:r>
            <w:r>
              <w:rPr>
                <w:rFonts w:hint="eastAsia"/>
                <w:color w:val="auto"/>
                <w:sz w:val="24"/>
                <w:szCs w:val="20"/>
                <w:highlight w:val="none"/>
              </w:rPr>
              <w:t>。</w:t>
            </w:r>
          </w:p>
          <w:p>
            <w:pPr>
              <w:spacing w:line="500" w:lineRule="exact"/>
              <w:ind w:firstLineChars="200" w:firstLine="480"/>
              <w:rPr>
                <w:color w:val="auto"/>
                <w:sz w:val="24"/>
                <w:highlight w:val="none"/>
              </w:rPr>
            </w:pPr>
            <w:r>
              <w:rPr>
                <w:rFonts w:hint="eastAsia"/>
                <w:bCs/>
                <w:color w:val="auto"/>
                <w:kern w:val="0"/>
                <w:sz w:val="24"/>
                <w:highlight w:val="none"/>
              </w:rPr>
              <w:t>（</w:t>
            </w:r>
            <w:r>
              <w:rPr>
                <w:rFonts w:hint="eastAsia"/>
                <w:bCs/>
                <w:color w:val="auto"/>
                <w:kern w:val="0"/>
                <w:sz w:val="24"/>
                <w:lang w:val="en-US" w:eastAsia="zh-CN"/>
                <w:highlight w:val="none"/>
              </w:rPr>
              <w:t>3</w:t>
            </w:r>
            <w:r>
              <w:rPr>
                <w:rFonts w:hint="eastAsia"/>
                <w:bCs/>
                <w:color w:val="auto"/>
                <w:kern w:val="0"/>
                <w:sz w:val="24"/>
                <w:highlight w:val="none"/>
              </w:rPr>
              <w:t>）</w:t>
            </w:r>
            <w:r>
              <w:rPr>
                <w:rFonts w:hint="eastAsia"/>
                <w:color w:val="auto"/>
                <w:sz w:val="24"/>
                <w:highlight w:val="none"/>
              </w:rPr>
              <w:t>小结</w:t>
            </w:r>
          </w:p>
          <w:p>
            <w:pPr>
              <w:spacing w:line="500" w:lineRule="exact"/>
              <w:ind w:firstLineChars="200" w:firstLine="480"/>
              <w:rPr>
                <w:rFonts w:hint="eastAsia"/>
                <w:color w:val="auto"/>
                <w:sz w:val="24"/>
                <w:highlight w:val="none"/>
              </w:rPr>
            </w:pPr>
            <w:r>
              <w:rPr>
                <w:rFonts w:hint="eastAsia"/>
                <w:color w:val="auto"/>
                <w:sz w:val="24"/>
                <w:highlight w:val="none"/>
              </w:rPr>
              <w:t>项目完成后，</w:t>
            </w:r>
            <w:r>
              <w:rPr>
                <w:color w:val="auto"/>
                <w:sz w:val="24"/>
                <w:lang w:val="zh-CN"/>
                <w:highlight w:val="none"/>
              </w:rPr>
              <w:t>项目污染物排放总量控制指标为</w:t>
            </w:r>
            <w:r>
              <w:rPr>
                <w:color w:val="auto"/>
                <w:sz w:val="24"/>
                <w:highlight w:val="none"/>
              </w:rPr>
              <w:t>：COD：</w:t>
            </w:r>
            <w:r>
              <w:rPr>
                <w:rFonts w:hint="eastAsia"/>
                <w:color w:val="auto"/>
                <w:sz w:val="24"/>
                <w:lang w:val="en-US" w:eastAsia="zh-CN"/>
                <w:highlight w:val="none"/>
              </w:rPr>
              <w:t>0</w:t>
            </w:r>
            <w:r>
              <w:rPr>
                <w:color w:val="auto"/>
                <w:sz w:val="24"/>
                <w:highlight w:val="none"/>
              </w:rPr>
              <w:t>t/a</w:t>
            </w:r>
            <w:r>
              <w:rPr>
                <w:color w:val="auto"/>
                <w:sz w:val="24"/>
                <w:lang w:val="zh-CN"/>
                <w:highlight w:val="none"/>
              </w:rPr>
              <w:t>、</w:t>
            </w:r>
            <w:r>
              <w:rPr>
                <w:color w:val="auto"/>
                <w:sz w:val="24"/>
                <w:highlight w:val="none"/>
              </w:rPr>
              <w:t>NH</w:t>
            </w:r>
            <w:r>
              <w:rPr>
                <w:color w:val="auto"/>
                <w:sz w:val="24"/>
                <w:vertAlign w:val="subscript"/>
                <w:highlight w:val="none"/>
              </w:rPr>
              <w:t>3</w:t>
            </w:r>
            <w:r>
              <w:rPr>
                <w:color w:val="auto"/>
                <w:sz w:val="24"/>
                <w:highlight w:val="none"/>
              </w:rPr>
              <w:t>-N：</w:t>
            </w:r>
            <w:r>
              <w:rPr>
                <w:rFonts w:hint="eastAsia"/>
                <w:color w:val="auto"/>
                <w:sz w:val="24"/>
                <w:lang w:val="en-US" w:eastAsia="zh-CN"/>
                <w:highlight w:val="none"/>
              </w:rPr>
              <w:t>0</w:t>
            </w:r>
            <w:r>
              <w:rPr>
                <w:color w:val="auto"/>
                <w:sz w:val="24"/>
                <w:highlight w:val="none"/>
              </w:rPr>
              <w:t>t/a</w:t>
            </w:r>
            <w:r>
              <w:rPr>
                <w:rFonts w:hint="eastAsia"/>
                <w:color w:val="auto"/>
                <w:sz w:val="24"/>
                <w:highlight w:val="none"/>
              </w:rPr>
              <w:t>、</w:t>
            </w:r>
            <w:r>
              <w:rPr>
                <w:color w:val="auto"/>
                <w:sz w:val="24"/>
                <w:highlight w:val="none"/>
              </w:rPr>
              <w:t>SO</w:t>
            </w:r>
            <w:r>
              <w:rPr>
                <w:color w:val="auto"/>
                <w:sz w:val="24"/>
                <w:vertAlign w:val="subscript"/>
                <w:highlight w:val="none"/>
              </w:rPr>
              <w:t>2</w:t>
            </w:r>
            <w:r>
              <w:rPr>
                <w:color w:val="auto"/>
                <w:sz w:val="24"/>
                <w:highlight w:val="none"/>
              </w:rPr>
              <w:t>：0t/a</w:t>
            </w:r>
            <w:r>
              <w:rPr>
                <w:color w:val="auto"/>
                <w:sz w:val="24"/>
                <w:lang w:val="zh-CN"/>
                <w:highlight w:val="none"/>
              </w:rPr>
              <w:t>、</w:t>
            </w:r>
            <w:r>
              <w:rPr>
                <w:color w:val="auto"/>
                <w:sz w:val="24"/>
                <w:highlight w:val="none"/>
              </w:rPr>
              <w:t>NO</w:t>
            </w:r>
            <w:r>
              <w:rPr>
                <w:color w:val="auto"/>
                <w:sz w:val="24"/>
                <w:vertAlign w:val="subscript"/>
                <w:highlight w:val="none"/>
              </w:rPr>
              <w:t>X</w:t>
            </w:r>
            <w:r>
              <w:rPr>
                <w:color w:val="auto"/>
                <w:sz w:val="24"/>
                <w:highlight w:val="none"/>
              </w:rPr>
              <w:t>：0t/a</w:t>
            </w:r>
            <w:r>
              <w:rPr>
                <w:rFonts w:hint="eastAsia"/>
                <w:color w:val="auto"/>
                <w:sz w:val="24"/>
                <w:lang w:eastAsia="zh-CN"/>
                <w:highlight w:val="none"/>
              </w:rPr>
              <w:t>、</w:t>
            </w:r>
            <w:r>
              <w:rPr>
                <w:rFonts w:hint="eastAsia"/>
                <w:color w:val="auto"/>
                <w:sz w:val="24"/>
                <w:lang w:val="en-US" w:eastAsia="zh-CN"/>
                <w:highlight w:val="none"/>
              </w:rPr>
              <w:t>颗粒物：</w:t>
            </w:r>
            <w:r>
              <w:rPr>
                <w:color w:val="auto"/>
                <w:sz w:val="24"/>
                <w:highlight w:val="none"/>
              </w:rPr>
              <w:t>0t/a</w:t>
            </w:r>
            <w:r>
              <w:rPr>
                <w:rFonts w:hint="eastAsia"/>
                <w:color w:val="auto"/>
                <w:sz w:val="24"/>
                <w:lang w:eastAsia="zh-CN"/>
                <w:highlight w:val="none"/>
              </w:rPr>
              <w:t>、</w:t>
            </w:r>
            <w:r>
              <w:rPr>
                <w:rFonts w:hint="eastAsia"/>
                <w:color w:val="auto"/>
                <w:sz w:val="24"/>
                <w:lang w:val="en-US" w:eastAsia="zh-CN"/>
                <w:highlight w:val="none"/>
              </w:rPr>
              <w:t>VOC：</w:t>
            </w:r>
            <w:r>
              <w:rPr>
                <w:color w:val="auto"/>
                <w:sz w:val="24"/>
                <w:highlight w:val="none"/>
              </w:rPr>
              <w:t>0t/a</w:t>
            </w:r>
            <w:r>
              <w:rPr>
                <w:rFonts w:hint="eastAsia"/>
                <w:color w:val="auto"/>
                <w:sz w:val="24"/>
                <w:highlight w:val="none"/>
              </w:rPr>
              <w:t>。</w:t>
            </w:r>
          </w:p>
          <w:p>
            <w:pPr>
              <w:pStyle w:val="16"/>
              <w:rPr>
                <w:color w:val="auto"/>
                <w:lang w:val="de-DE"/>
                <w:highlight w:val="none"/>
              </w:rPr>
            </w:pPr>
          </w:p>
          <w:p>
            <w:pPr>
              <w:pStyle w:val="16"/>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6"/>
              <w:ind w:left="0" w:firstLineChars="0" w:firstLine="0"/>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p>
            <w:pPr>
              <w:pStyle w:val="17"/>
              <w:rPr>
                <w:color w:val="auto"/>
                <w:lang w:val="de-DE"/>
                <w:highlight w:val="none"/>
              </w:rPr>
            </w:pPr>
          </w:p>
        </w:tc>
      </w:tr>
    </w:tbl>
    <w:p>
      <w:pPr>
        <w:pStyle w:val="35"/>
        <w:jc w:val="center"/>
        <w:outlineLvl w:val="0"/>
        <w:rPr>
          <w:rFonts w:ascii="黑体" w:eastAsia="黑体" w:hAnsi="黑体" w:hint="eastAsia"/>
          <w:snapToGrid w:val="0"/>
          <w:color w:val="auto"/>
          <w:sz w:val="30"/>
          <w:szCs w:val="30"/>
          <w:highlight w:val="none"/>
        </w:rPr>
      </w:pPr>
      <w:r>
        <w:rPr>
          <w:rFonts w:ascii="黑体" w:eastAsia="黑体" w:hAnsi="黑体"/>
          <w:snapToGrid w:val="0"/>
          <w:color w:val="auto"/>
          <w:sz w:val="36"/>
          <w:szCs w:val="36"/>
          <w:lang w:val="de-DE"/>
          <w:highlight w:val="none"/>
        </w:rPr>
        <w:br w:type="page"/>
      </w:r>
      <w:bookmarkStart w:id="50" w:name="_Toc7257"/>
      <w:bookmarkStart w:id="51" w:name="_Toc15416"/>
      <w:bookmarkStart w:id="52" w:name="_Toc5704"/>
      <w:bookmarkStart w:id="53" w:name="_Toc14329"/>
      <w:bookmarkStart w:id="54" w:name="_Toc3852"/>
      <w:r>
        <w:rPr>
          <w:rFonts w:ascii="黑体" w:eastAsia="黑体" w:hAnsi="黑体" w:hint="eastAsia"/>
          <w:snapToGrid w:val="0"/>
          <w:color w:val="auto"/>
          <w:sz w:val="30"/>
          <w:szCs w:val="30"/>
          <w:highlight w:val="none"/>
        </w:rPr>
        <w:t>四、主要环境影响和保护措施</w:t>
      </w:r>
      <w:bookmarkEnd w:id="50"/>
      <w:bookmarkEnd w:id="51"/>
      <w:bookmarkEnd w:id="52"/>
      <w:bookmarkEnd w:id="53"/>
      <w:bookmarkEnd w:id="54"/>
    </w:p>
    <w:tbl>
      <w:tblPr>
        <w:jc w:val="center"/>
        <w:tblW w:w="977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22"/>
        <w:gridCol w:w="9152"/>
      </w:tblGrid>
      <w:tr>
        <w:tc>
          <w:tcPr>
            <w:tcW w:w="622" w:type="dxa"/>
            <w:tcMar>
              <w:left w:w="28" w:type="dxa"/>
              <w:right w:w="28" w:type="dxa"/>
            </w:tcMar>
            <w:vAlign w:val="center"/>
          </w:tcPr>
          <w:p>
            <w:pPr>
              <w:pStyle w:val="35"/>
              <w:adjustRightInd w:val="0"/>
              <w:snapToGrid w:val="0"/>
              <w:spacing w:before="0" w:beforeAutospacing="0" w:after="0" w:afterAutospacing="0"/>
              <w:jc w:val="center"/>
              <w:rPr>
                <w:rFonts w:cs="宋体" w:hint="eastAsia"/>
                <w:bCs/>
                <w:color w:val="auto"/>
                <w:kern w:val="2"/>
                <w:sz w:val="21"/>
                <w:szCs w:val="21"/>
                <w:highlight w:val="none"/>
              </w:rPr>
            </w:pPr>
            <w:r>
              <w:rPr>
                <w:rFonts w:cs="宋体" w:hint="eastAsia"/>
                <w:color w:val="auto"/>
                <w:kern w:val="2"/>
                <w:szCs w:val="24"/>
                <w:highlight w:val="none"/>
              </w:rPr>
              <w:t>施工期环境保护措施</w:t>
            </w:r>
          </w:p>
        </w:tc>
        <w:tc>
          <w:tcPr>
            <w:tcW w:w="9152" w:type="dxa"/>
            <w:vAlign w:val="center"/>
          </w:tcPr>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color w:val="auto"/>
                <w:kern w:val="0"/>
                <w:sz w:val="24"/>
                <w:szCs w:val="24"/>
              </w:rPr>
            </w:pPr>
            <w:r>
              <w:rPr>
                <w:rFonts w:ascii="Times New Roman" w:eastAsia="宋体" w:cs="Times New Roman" w:hAnsi="Times New Roman" w:hint="eastAsia"/>
                <w:color w:val="auto"/>
                <w:sz w:val="24"/>
                <w:lang w:val="en-US" w:eastAsia="zh-CN"/>
                <w:highlight w:val="none"/>
              </w:rPr>
              <w:t>本项目租赁闲置库房并进行改造，地面做防渗防腐环氧地坪漆处理，铺设防轧实心橡胶地垫，配备电池存放铁箱和碱喷淋应急装置，安装24小时现场监控设备</w:t>
            </w:r>
            <w:r>
              <w:rPr>
                <w:rFonts w:hint="eastAsia"/>
                <w:color w:val="auto"/>
                <w:sz w:val="24"/>
                <w:szCs w:val="32"/>
                <w:highlight w:val="none"/>
              </w:rPr>
              <w:t>。施工期建设内容主要为</w:t>
            </w:r>
            <w:r>
              <w:rPr>
                <w:rFonts w:hint="eastAsia"/>
                <w:color w:val="auto"/>
                <w:sz w:val="24"/>
                <w:szCs w:val="32"/>
                <w:lang w:eastAsia="zh-CN"/>
                <w:highlight w:val="none"/>
              </w:rPr>
              <w:t>导流槽</w:t>
            </w:r>
            <w:r>
              <w:rPr>
                <w:rFonts w:hint="eastAsia"/>
                <w:color w:val="auto"/>
                <w:sz w:val="24"/>
                <w:szCs w:val="32"/>
                <w:highlight w:val="none"/>
              </w:rPr>
              <w:t>切割施工、地面防渗防腐蚀处理</w:t>
            </w:r>
            <w:r>
              <w:rPr>
                <w:rFonts w:hint="eastAsia"/>
                <w:color w:val="auto"/>
                <w:sz w:val="24"/>
                <w:szCs w:val="32"/>
                <w:lang w:eastAsia="zh-CN"/>
                <w:highlight w:val="none"/>
              </w:rPr>
              <w:t>、破损电池暂存间和危废间安装、喷淋装置等设备</w:t>
            </w:r>
            <w:r>
              <w:rPr>
                <w:rFonts w:hint="eastAsia"/>
                <w:color w:val="auto"/>
                <w:sz w:val="24"/>
                <w:szCs w:val="32"/>
                <w:highlight w:val="none"/>
              </w:rPr>
              <w:t>安装调试</w:t>
            </w:r>
            <w:r>
              <w:rPr>
                <w:rFonts w:hint="eastAsia"/>
                <w:color w:val="auto"/>
                <w:sz w:val="24"/>
                <w:szCs w:val="32"/>
                <w:lang w:eastAsia="zh-CN"/>
                <w:highlight w:val="none"/>
              </w:rPr>
              <w:t>、监控系统安装等，</w:t>
            </w:r>
            <w:r>
              <w:rPr>
                <w:color w:val="auto"/>
                <w:kern w:val="0"/>
                <w:sz w:val="24"/>
                <w:szCs w:val="24"/>
              </w:rPr>
              <w:t>多</w:t>
            </w:r>
            <w:r>
              <w:rPr>
                <w:rFonts w:hint="eastAsia"/>
                <w:color w:val="auto"/>
                <w:kern w:val="0"/>
                <w:sz w:val="24"/>
                <w:szCs w:val="24"/>
                <w:lang w:eastAsia="zh-CN"/>
              </w:rPr>
              <w:t>为</w:t>
            </w:r>
            <w:r>
              <w:rPr>
                <w:color w:val="auto"/>
                <w:kern w:val="0"/>
                <w:sz w:val="24"/>
                <w:szCs w:val="24"/>
              </w:rPr>
              <w:t>短期性的</w:t>
            </w:r>
            <w:r>
              <w:rPr>
                <w:rFonts w:hint="eastAsia"/>
                <w:color w:val="auto"/>
                <w:kern w:val="0"/>
                <w:sz w:val="24"/>
                <w:szCs w:val="24"/>
                <w:lang w:eastAsia="zh-CN"/>
              </w:rPr>
              <w:t>施工行为</w:t>
            </w:r>
            <w:r>
              <w:rPr>
                <w:color w:val="auto"/>
                <w:kern w:val="0"/>
                <w:sz w:val="24"/>
                <w:szCs w:val="24"/>
              </w:rPr>
              <w:t>，</w:t>
            </w:r>
            <w:r>
              <w:rPr>
                <w:rFonts w:hint="eastAsia"/>
                <w:color w:val="auto"/>
                <w:kern w:val="0"/>
                <w:sz w:val="24"/>
                <w:szCs w:val="24"/>
                <w:lang w:eastAsia="zh-CN"/>
              </w:rPr>
              <w:t>且</w:t>
            </w:r>
            <w:r>
              <w:rPr>
                <w:color w:val="auto"/>
                <w:kern w:val="0"/>
                <w:sz w:val="24"/>
                <w:szCs w:val="24"/>
              </w:rPr>
              <w:t>施工结束以后可逐渐消除，影响分析具体如下：</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auto"/>
                <w:sz w:val="24"/>
                <w:lang w:val="zh-CN"/>
                <w:highlight w:val="none"/>
              </w:rPr>
            </w:pPr>
            <w:r>
              <w:rPr>
                <w:rFonts w:hint="eastAsia"/>
                <w:b/>
                <w:bCs/>
                <w:color w:val="auto"/>
                <w:sz w:val="24"/>
                <w:lang w:val="zh-CN"/>
                <w:highlight w:val="none"/>
              </w:rPr>
              <w:t>1、大气环境保护措施</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本项目施工期车间装修、设备安装、运输以及堆存会产生扬尘，建筑材料、设备的运输及建筑垃圾清运会引起道路扬尘，主要污染物为颗粒物，对周边区域大气环境有一定影响。为减少扬尘（颗粒物）的产生，采取以下控制措施：</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①设备的运输及建筑垃圾清运过程中，运输车辆减速慢行，运输垃圾采用蓬布遮盖，以避免沿途洒落，对运输道路及时进行清扫，并进行泼洒抑尘，减少扬尘，装修期间加强对施工场地的管理，适当向作业面、地面洒水，每天不少于2 次；</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②施工现场禁止搅拌混凝土、砂浆；</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③在发布重污染天气预警期间内，厂区内不得开展施工作业，预警解除后，方可开工；</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④建设单位必须委托具有垃圾运输资格的运输单位进行渣土及垃圾运输。采取密闭运输，车身应保持整洁，防止建筑材料、垃圾和工程渣土飞扬、洒落、流溢，严禁抛扔或随意倾倒，保证运输途中不污染城市道路和环境，对不符合要求的运输车辆和驾驶人员，严禁进场进行装运作业；</w:t>
            </w:r>
          </w:p>
          <w:p>
            <w:pPr>
              <w:keepNext w:val="0"/>
              <w:keepLines w:val="0"/>
              <w:pageBreakBefore w:val="0"/>
              <w:widowControl w:val="0"/>
              <w:kinsoku/>
              <w:wordWrap/>
              <w:overflowPunct/>
              <w:topLinePunct w:val="0"/>
              <w:autoSpaceDE/>
              <w:autoSpaceDN/>
              <w:bidi w:val="0"/>
              <w:adjustRightInd w:val="0"/>
              <w:snapToGrid w:val="0"/>
              <w:spacing w:line="480" w:lineRule="exact"/>
              <w:ind w:firstLineChars="200" w:firstLine="480"/>
              <w:jc w:val="both"/>
              <w:textAlignment w:val="auto"/>
              <w:rPr>
                <w:rFonts w:ascii="Times New Roman" w:eastAsia="宋体" w:cs="Times New Roman" w:hAnsi="Times New Roman" w:hint="eastAsia"/>
                <w:color w:val="auto"/>
                <w:sz w:val="24"/>
                <w:lang w:val="zh-CN" w:eastAsia="zh-CN"/>
                <w:highlight w:val="none"/>
              </w:rPr>
            </w:pPr>
            <w:r>
              <w:rPr>
                <w:rFonts w:ascii="Times New Roman" w:eastAsia="宋体" w:cs="Times New Roman" w:hAnsi="Times New Roman" w:hint="eastAsia"/>
                <w:color w:val="auto"/>
                <w:sz w:val="24"/>
                <w:lang w:val="zh-CN" w:eastAsia="zh-CN"/>
                <w:highlight w:val="none"/>
              </w:rPr>
              <w:t>采取以上措施施工期厂界扬尘可达到《施工场地扬尘排放标准》（DB13/2934-2019）表1 扬尘排放浓度限值要求，即监测点浓度限值PM</w:t>
            </w:r>
            <w:r>
              <w:rPr>
                <w:rFonts w:ascii="Times New Roman" w:eastAsia="宋体" w:cs="Times New Roman" w:hAnsi="Times New Roman" w:hint="eastAsia"/>
                <w:color w:val="auto"/>
                <w:sz w:val="24"/>
                <w:vertAlign w:val="subscript"/>
                <w:lang w:val="zh-CN" w:eastAsia="zh-CN"/>
                <w:highlight w:val="none"/>
              </w:rPr>
              <w:t>10</w:t>
            </w:r>
            <w:r>
              <w:rPr>
                <w:rFonts w:ascii="Times New Roman" w:eastAsia="宋体" w:cs="Times New Roman" w:hAnsi="Times New Roman" w:hint="eastAsia"/>
                <w:color w:val="auto"/>
                <w:sz w:val="24"/>
                <w:lang w:val="zh-CN" w:eastAsia="zh-CN"/>
                <w:highlight w:val="none"/>
              </w:rPr>
              <w:t>≤80μg/m³，为达标排放，对区域大气环境影响较小。</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auto"/>
                <w:highlight w:val="none"/>
              </w:rPr>
            </w:pPr>
            <w:r>
              <w:rPr>
                <w:rFonts w:hint="eastAsia"/>
                <w:b/>
                <w:color w:val="auto"/>
                <w:lang w:val="en-US" w:eastAsia="zh-CN"/>
                <w:highlight w:val="none"/>
              </w:rPr>
              <w:t>2</w:t>
            </w:r>
            <w:r>
              <w:rPr>
                <w:b/>
                <w:color w:val="auto"/>
                <w:highlight w:val="none"/>
              </w:rPr>
              <w:t>、施工期水环境影响分析</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auto"/>
                <w:sz w:val="24"/>
                <w:lang w:val="zh-CN"/>
                <w:highlight w:val="none"/>
              </w:rPr>
            </w:pPr>
            <w:r>
              <w:rPr>
                <w:color w:val="auto"/>
                <w:sz w:val="24"/>
                <w:lang w:val="zh-CN"/>
                <w:highlight w:val="none"/>
              </w:rPr>
              <w:t>施工期废水主要为施工人员产生的生活废水。</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auto"/>
                <w:sz w:val="24"/>
                <w:lang w:val="zh-CN"/>
                <w:highlight w:val="none"/>
              </w:rPr>
            </w:pPr>
            <w:r>
              <w:rPr>
                <w:color w:val="auto"/>
                <w:sz w:val="24"/>
                <w:lang w:val="zh-CN"/>
                <w:highlight w:val="none"/>
              </w:rPr>
              <w:t>施工生活污水中主要污染物为COD、SS、氨氮，</w:t>
            </w:r>
            <w:r>
              <w:rPr>
                <w:rFonts w:hint="eastAsia"/>
                <w:color w:val="auto"/>
                <w:sz w:val="24"/>
                <w:lang w:val="en-US" w:eastAsia="zh-CN"/>
                <w:highlight w:val="none"/>
              </w:rPr>
              <w:t>由于施工人员较少，产生废水依托泽豪厂区化粪池</w:t>
            </w:r>
            <w:r>
              <w:rPr>
                <w:color w:val="auto"/>
                <w:sz w:val="24"/>
                <w:lang w:val="zh-CN"/>
                <w:highlight w:val="none"/>
              </w:rPr>
              <w:t>，</w:t>
            </w:r>
            <w:r>
              <w:rPr>
                <w:rFonts w:hint="eastAsia"/>
                <w:color w:val="auto"/>
                <w:sz w:val="24"/>
                <w:lang w:val="zh-CN"/>
                <w:highlight w:val="none"/>
              </w:rPr>
              <w:t>处理后定期清掏</w:t>
            </w:r>
            <w:r>
              <w:rPr>
                <w:color w:val="auto"/>
                <w:sz w:val="24"/>
                <w:lang w:val="zh-CN"/>
                <w:highlight w:val="none"/>
              </w:rPr>
              <w:t>。</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color w:val="auto"/>
                <w:highlight w:val="none"/>
              </w:rPr>
            </w:pPr>
            <w:r>
              <w:rPr>
                <w:color w:val="auto"/>
                <w:lang w:val="zh-CN"/>
                <w:highlight w:val="none"/>
              </w:rPr>
              <w:t>综上所述，项目施工期废水不外排，不会对周边水环境产生明显影响。</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auto"/>
                <w:highlight w:val="none"/>
              </w:rPr>
            </w:pPr>
            <w:r>
              <w:rPr>
                <w:rFonts w:hint="eastAsia"/>
                <w:b/>
                <w:color w:val="auto"/>
                <w:lang w:val="en-US" w:eastAsia="zh-CN"/>
                <w:highlight w:val="none"/>
              </w:rPr>
              <w:t>3</w:t>
            </w:r>
            <w:r>
              <w:rPr>
                <w:b/>
                <w:color w:val="auto"/>
                <w:highlight w:val="none"/>
              </w:rPr>
              <w:t>、施工期噪声环境影响和保护措施</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color w:val="auto"/>
                <w:highlight w:val="none"/>
              </w:rPr>
              <w:t>施工期产生的噪声源主要为</w:t>
            </w:r>
            <w:r>
              <w:rPr>
                <w:rFonts w:hint="eastAsia"/>
                <w:color w:val="auto"/>
                <w:sz w:val="24"/>
                <w:lang w:val="en-US" w:eastAsia="zh-CN"/>
                <w:highlight w:val="none"/>
              </w:rPr>
              <w:t>装修设备运转噪声、</w:t>
            </w:r>
            <w:r>
              <w:rPr>
                <w:color w:val="auto"/>
                <w:highlight w:val="none"/>
              </w:rPr>
              <w:t>运输车辆等机械产生的噪声，其特点是间歇或阵发性的，并具备流动性的特征。为减少施工噪声对敏感点的影响，结合施工进展，采取如下防治措施</w:t>
            </w:r>
            <w:r>
              <w:rPr>
                <w:rFonts w:ascii="Times New Roman" w:eastAsia="宋体" w:cs="Times New Roman" w:hAnsi="Times New Roman"/>
                <w:color w:val="auto"/>
                <w:highlight w:val="none"/>
              </w:rPr>
              <w:t>：</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1</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选用低噪声设备</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在设备选型时，优先选用低噪声、低振动的先进施工机械和工具（如低噪声切割机、振动小的夯实设备等）。</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2</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设备维护与正确使用</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加强施工机械的日常维护保养，确保设备处于良好运行状态，防止因设备故障产生异常噪声。规范操作流程，避免因不当操作加剧噪声。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3</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封闭施工</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关闭车间所有门窗，利用现有厂房的围护结构起到天然的隔声、屏蔽作用。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4</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优化布局与距离衰减</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在车间内合理布置高噪声设备，尽可能将其设置在远离周边敏感点的一侧，充分利用距离实现噪声自然衰减。</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5</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车辆交通管理</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运输车辆进入厂区后，严禁鸣笛。合理规划运输路线，使车辆尽可能远离敏感点行驶</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物料运输与装卸作业应轻拿轻放，减少碰撞噪声。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ascii="Times New Roman" w:eastAsia="宋体" w:cs="Times New Roman" w:hAnsi="Times New Roman" w:hint="eastAsia"/>
                <w:color w:val="auto"/>
                <w:lang w:val="en-US" w:eastAsia="zh-CN"/>
                <w:highlight w:val="none"/>
              </w:rPr>
              <w:t>6</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严格限定施工时间</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将高噪声作业严格限制在昼间进行。严禁在夜间产生环境噪声污染的施工作业。在午间等居民休息的敏感时段，合理安排低噪声作业，避免进行高噪声活动。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cs="Times New Roman" w:hint="eastAsia"/>
                <w:color w:val="auto"/>
                <w:lang w:val="en-US" w:eastAsia="zh-CN"/>
                <w:highlight w:val="none"/>
              </w:rPr>
              <w:t>7</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加强沟通与公示</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施工前在厂区周边张贴告示，公示施工计划、工期及采取的降噪措施，争取周边群众的理解。设立联络电话，及时处理噪声投诉。</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highlight w:val="none"/>
              </w:rPr>
            </w:pPr>
            <w:r>
              <w:rPr>
                <w:rFonts w:ascii="Times New Roman" w:eastAsia="宋体" w:cs="Times New Roman" w:hAnsi="Times New Roman" w:hint="eastAsia"/>
                <w:color w:val="auto"/>
                <w:lang w:eastAsia="zh-CN"/>
                <w:highlight w:val="none"/>
              </w:rPr>
              <w:t>（</w:t>
            </w:r>
            <w:r>
              <w:rPr>
                <w:rFonts w:cs="Times New Roman" w:hint="eastAsia"/>
                <w:color w:val="auto"/>
                <w:lang w:val="en-US" w:eastAsia="zh-CN"/>
                <w:highlight w:val="none"/>
              </w:rPr>
              <w:t>8</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强化现场监督</w:t>
            </w:r>
            <w:r>
              <w:rPr>
                <w:rFonts w:ascii="Times New Roman" w:eastAsia="宋体" w:cs="Times New Roman" w:hAnsi="Times New Roman" w:hint="eastAsia"/>
                <w:color w:val="auto"/>
                <w:lang w:eastAsia="zh-CN"/>
                <w:highlight w:val="none"/>
              </w:rPr>
              <w:t>。</w:t>
            </w:r>
            <w:r>
              <w:rPr>
                <w:rFonts w:ascii="Times New Roman" w:eastAsia="宋体" w:cs="Times New Roman" w:hAnsi="Times New Roman"/>
                <w:color w:val="auto"/>
                <w:highlight w:val="none"/>
              </w:rPr>
              <w:t>施工单位应指派专人负责施工现场噪声管理，确保各项降噪措施落实到位，并及时纠正不规范的施工行为。</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highlight w:val="none"/>
              </w:rPr>
            </w:pPr>
            <w:r>
              <w:rPr>
                <w:rFonts w:hint="eastAsia"/>
                <w:color w:val="auto"/>
                <w:lang w:val="en-US" w:eastAsia="zh-CN"/>
                <w:highlight w:val="none"/>
              </w:rPr>
              <w:t>综上，</w:t>
            </w:r>
            <w:r>
              <w:rPr>
                <w:color w:val="auto"/>
                <w:highlight w:val="none"/>
              </w:rPr>
              <w:t>通过采取以上措施，施工噪声对周边环境影响程度较小，满足</w:t>
            </w:r>
            <w:r>
              <w:rPr>
                <w:rFonts w:hint="eastAsia"/>
                <w:color w:val="auto"/>
                <w:highlight w:val="none"/>
              </w:rPr>
              <w:t>《建筑施工噪声排放标准》（GB 12523-2025）</w:t>
            </w:r>
            <w:r>
              <w:rPr>
                <w:color w:val="auto"/>
                <w:highlight w:val="none"/>
              </w:rPr>
              <w:t>标准的要求。</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b/>
                <w:color w:val="auto"/>
                <w:highlight w:val="none"/>
              </w:rPr>
            </w:pPr>
            <w:r>
              <w:rPr>
                <w:b/>
                <w:color w:val="auto"/>
                <w:highlight w:val="none"/>
              </w:rPr>
              <w:t>4、施工期固废环境影响和保护措施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sz w:val="24"/>
                <w:szCs w:val="24"/>
                <w:highlight w:val="none"/>
              </w:rPr>
            </w:pPr>
            <w:r>
              <w:rPr>
                <w:color w:val="auto"/>
                <w:sz w:val="24"/>
                <w:szCs w:val="24"/>
                <w:highlight w:val="none"/>
              </w:rPr>
              <w:t>施工期固体废弃物主要是</w:t>
            </w:r>
            <w:r>
              <w:rPr>
                <w:color w:val="auto"/>
                <w:sz w:val="24"/>
                <w:lang w:val="zh-CN"/>
                <w:highlight w:val="none"/>
              </w:rPr>
              <w:t>清理杂物、</w:t>
            </w:r>
            <w:r>
              <w:rPr>
                <w:rFonts w:hint="eastAsia"/>
                <w:color w:val="auto"/>
                <w:sz w:val="24"/>
                <w:lang w:val="en-US" w:eastAsia="zh-CN"/>
                <w:highlight w:val="none"/>
              </w:rPr>
              <w:t>装修原料</w:t>
            </w:r>
            <w:r>
              <w:rPr>
                <w:color w:val="auto"/>
                <w:sz w:val="24"/>
                <w:lang w:val="zh-CN"/>
                <w:highlight w:val="none"/>
              </w:rPr>
              <w:t>废包装</w:t>
            </w:r>
            <w:r>
              <w:rPr>
                <w:rFonts w:hint="eastAsia"/>
                <w:color w:val="auto"/>
                <w:sz w:val="24"/>
                <w:lang w:val="zh-CN"/>
                <w:highlight w:val="none"/>
              </w:rPr>
              <w:t>和</w:t>
            </w:r>
            <w:r>
              <w:rPr>
                <w:rFonts w:hint="eastAsia"/>
                <w:color w:val="auto"/>
                <w:sz w:val="24"/>
                <w:highlight w:val="none"/>
              </w:rPr>
              <w:t>施工人员</w:t>
            </w:r>
            <w:r>
              <w:rPr>
                <w:rFonts w:hint="eastAsia"/>
                <w:color w:val="auto"/>
                <w:sz w:val="24"/>
                <w:lang w:val="zh-CN"/>
                <w:highlight w:val="none"/>
              </w:rPr>
              <w:t>生活垃圾</w:t>
            </w:r>
            <w:r>
              <w:rPr>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auto"/>
                <w:sz w:val="24"/>
                <w:szCs w:val="24"/>
                <w:highlight w:val="none"/>
              </w:rPr>
            </w:pPr>
            <w:r>
              <w:rPr>
                <w:rFonts w:hint="eastAsia"/>
                <w:color w:val="auto"/>
                <w:sz w:val="24"/>
                <w:lang w:val="en-US" w:eastAsia="zh-CN"/>
                <w:highlight w:val="none"/>
              </w:rPr>
              <w:t>施工</w:t>
            </w:r>
            <w:r>
              <w:rPr>
                <w:color w:val="auto"/>
                <w:sz w:val="24"/>
                <w:lang w:val="zh-CN"/>
                <w:highlight w:val="none"/>
              </w:rPr>
              <w:t>清理杂物</w:t>
            </w:r>
            <w:r>
              <w:rPr>
                <w:rFonts w:hint="eastAsia"/>
                <w:color w:val="auto"/>
                <w:sz w:val="24"/>
                <w:lang w:val="zh-CN"/>
                <w:highlight w:val="none"/>
              </w:rPr>
              <w:t>、</w:t>
            </w:r>
            <w:r>
              <w:rPr>
                <w:rFonts w:hint="eastAsia"/>
                <w:color w:val="auto"/>
                <w:sz w:val="24"/>
                <w:lang w:val="en-US" w:eastAsia="zh-CN"/>
                <w:highlight w:val="none"/>
              </w:rPr>
              <w:t>装修原料</w:t>
            </w:r>
            <w:r>
              <w:rPr>
                <w:color w:val="auto"/>
                <w:sz w:val="24"/>
                <w:lang w:val="zh-CN"/>
                <w:highlight w:val="none"/>
              </w:rPr>
              <w:t>废包装</w:t>
            </w:r>
            <w:r>
              <w:rPr>
                <w:rFonts w:hint="eastAsia"/>
                <w:color w:val="auto"/>
                <w:sz w:val="24"/>
                <w:lang w:val="zh-CN"/>
                <w:highlight w:val="none"/>
              </w:rPr>
              <w:t>，</w:t>
            </w:r>
            <w:r>
              <w:rPr>
                <w:rFonts w:hint="eastAsia"/>
                <w:color w:val="auto"/>
                <w:sz w:val="24"/>
                <w:lang w:val="en-US" w:eastAsia="zh-CN"/>
                <w:highlight w:val="none"/>
              </w:rPr>
              <w:t>统一交由指定地点进行处理；</w:t>
            </w:r>
            <w:r>
              <w:rPr>
                <w:color w:val="auto"/>
                <w:sz w:val="24"/>
                <w:szCs w:val="24"/>
                <w:highlight w:val="none"/>
              </w:rPr>
              <w:t>生活垃圾由环卫部门统一处理。</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宋体" w:cs="宋体" w:hAnsi="宋体" w:hint="eastAsia"/>
                <w:color w:val="auto"/>
                <w:kern w:val="0"/>
                <w:szCs w:val="21"/>
                <w:highlight w:val="none"/>
              </w:rPr>
            </w:pPr>
            <w:r>
              <w:rPr>
                <w:color w:val="auto"/>
                <w:sz w:val="24"/>
                <w:szCs w:val="24"/>
                <w:highlight w:val="none"/>
              </w:rPr>
              <w:t>采取以上措施后，施工期固废可得到妥善处置，对周围环境影响较小</w:t>
            </w:r>
            <w:r>
              <w:rPr>
                <w:snapToGrid w:val="0"/>
                <w:color w:val="auto"/>
                <w:sz w:val="24"/>
                <w:szCs w:val="24"/>
                <w:highlight w:val="none"/>
              </w:rPr>
              <w:t>。</w:t>
            </w:r>
          </w:p>
        </w:tc>
      </w:tr>
      <w:tr>
        <w:trPr>
          <w:trHeight w:val="90"/>
        </w:trPr>
        <w:tc>
          <w:tcPr>
            <w:tcW w:w="622" w:type="dxa"/>
            <w:tcBorders>
              <w:left w:val="single" w:sz="4" w:space="0" w:color="auto"/>
              <w:bottom w:val="single" w:sz="4" w:space="0" w:color="auto"/>
            </w:tcBorders>
            <w:tcMar>
              <w:left w:w="28" w:type="dxa"/>
              <w:right w:w="28" w:type="dxa"/>
            </w:tcMar>
            <w:vAlign w:val="center"/>
          </w:tcPr>
          <w:p>
            <w:pPr>
              <w:adjustRightInd w:val="0"/>
              <w:snapToGrid w:val="0"/>
              <w:jc w:val="center"/>
              <w:rPr>
                <w:rFonts w:cs="宋体" w:hint="eastAsia"/>
                <w:color w:val="auto"/>
                <w:kern w:val="2"/>
                <w:sz w:val="21"/>
                <w:szCs w:val="21"/>
                <w:highlight w:val="none"/>
              </w:rPr>
            </w:pPr>
            <w:r>
              <w:rPr>
                <w:rFonts w:ascii="宋体" w:cs="宋体" w:hAnsi="宋体" w:hint="eastAsia"/>
                <w:bCs/>
                <w:color w:val="auto"/>
                <w:sz w:val="24"/>
                <w:highlight w:val="none"/>
              </w:rPr>
              <w:t>运营期环境影响和保</w:t>
            </w:r>
            <w:r>
              <w:rPr>
                <w:rFonts w:ascii="宋体" w:eastAsia="宋体" w:cs="宋体" w:hAnsi="宋体" w:hint="eastAsia"/>
                <w:bCs/>
                <w:color w:val="auto"/>
                <w:sz w:val="24"/>
                <w:highlight w:val="none"/>
              </w:rPr>
              <w:t>护措施</w:t>
            </w:r>
          </w:p>
        </w:tc>
        <w:tc>
          <w:tcPr>
            <w:tcW w:w="9152" w:type="dxa"/>
            <w:tcBorders>
              <w:bottom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b/>
                <w:bCs/>
                <w:color w:val="auto"/>
                <w:kern w:val="0"/>
                <w:sz w:val="24"/>
                <w:highlight w:val="none"/>
              </w:rPr>
            </w:pPr>
            <w:r>
              <w:rPr>
                <w:rFonts w:hint="eastAsia"/>
                <w:b/>
                <w:bCs/>
                <w:color w:val="auto"/>
                <w:kern w:val="0"/>
                <w:sz w:val="24"/>
                <w:highlight w:val="none"/>
              </w:rPr>
              <w:t>1、废气</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auto"/>
                <w:sz w:val="24"/>
                <w:szCs w:val="24"/>
                <w:lang w:val="zh-CN"/>
                <w:highlight w:val="none"/>
              </w:rPr>
            </w:pPr>
            <w:r>
              <w:rPr>
                <w:rFonts w:ascii="Times New Roman" w:eastAsia="宋体" w:cs="Times New Roman" w:hAnsi="Times New Roman"/>
                <w:color w:val="auto"/>
                <w:sz w:val="24"/>
                <w:szCs w:val="24"/>
                <w:lang w:val="zh-CN"/>
                <w:highlight w:val="none"/>
              </w:rPr>
              <w:t>（</w:t>
            </w:r>
            <w:r>
              <w:rPr>
                <w:rFonts w:ascii="Times New Roman" w:eastAsia="宋体" w:cs="Times New Roman" w:hAnsi="Times New Roman"/>
                <w:color w:val="auto"/>
                <w:sz w:val="24"/>
                <w:szCs w:val="24"/>
                <w:highlight w:val="none"/>
              </w:rPr>
              <w:t>1</w:t>
            </w:r>
            <w:r>
              <w:rPr>
                <w:rFonts w:ascii="Times New Roman" w:eastAsia="宋体" w:cs="Times New Roman" w:hAnsi="Times New Roman"/>
                <w:color w:val="auto"/>
                <w:sz w:val="24"/>
                <w:szCs w:val="24"/>
                <w:lang w:val="zh-CN"/>
                <w:highlight w:val="none"/>
              </w:rPr>
              <w:t>）废气污染源及治理措施</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lang w:eastAsia="zh-CN"/>
                <w:highlight w:val="none"/>
              </w:rPr>
            </w:pPr>
            <w:r>
              <w:rPr>
                <w:rFonts w:hint="eastAsia"/>
                <w:color w:val="auto"/>
                <w:sz w:val="24"/>
                <w:lang w:val="en-US" w:eastAsia="zh-CN"/>
                <w:highlight w:val="none"/>
              </w:rPr>
              <w:t>本项目只收集完好的密闭式免维护废铅蓄电池，即第I类废铅蓄电池。完好</w:t>
            </w:r>
            <w:r>
              <w:rPr>
                <w:rFonts w:hint="eastAsia"/>
                <w:color w:val="auto"/>
                <w:sz w:val="24"/>
                <w:lang w:val="en-US"/>
                <w:highlight w:val="none"/>
              </w:rPr>
              <w:t>的废铅蓄</w:t>
            </w:r>
            <w:r>
              <w:rPr>
                <w:rFonts w:hint="eastAsia"/>
                <w:color w:val="auto"/>
                <w:sz w:val="24"/>
                <w:lang w:val="en-US" w:eastAsia="zh-CN"/>
                <w:highlight w:val="none"/>
              </w:rPr>
              <w:t>电池有可能在运输环节发生挤压碰撞，出现少量破损时废电解液会发生泄漏，从而产生</w:t>
            </w:r>
            <w:r>
              <w:rPr>
                <w:rFonts w:cs="Times New Roman" w:hint="eastAsia"/>
                <w:bCs/>
                <w:color w:val="auto"/>
                <w:kern w:val="0"/>
                <w:sz w:val="24"/>
                <w:szCs w:val="22"/>
                <w:lang w:eastAsia="zh-CN"/>
                <w:highlight w:val="none"/>
              </w:rPr>
              <w:t>硫酸雾</w:t>
            </w:r>
            <w:r>
              <w:rPr>
                <w:rFonts w:hint="eastAsia"/>
                <w:color w:val="auto"/>
                <w:sz w:val="24"/>
                <w:lang w:val="en-US" w:eastAsia="zh-CN"/>
                <w:highlight w:val="none"/>
              </w:rPr>
              <w:t>。</w:t>
            </w:r>
            <w:r>
              <w:rPr>
                <w:rFonts w:ascii="Times New Roman" w:eastAsia="宋体" w:cs="Times New Roman" w:hAnsi="Times New Roman" w:hint="eastAsia"/>
                <w:bCs/>
                <w:color w:val="auto"/>
                <w:kern w:val="0"/>
                <w:sz w:val="24"/>
                <w:szCs w:val="22"/>
                <w:highlight w:val="none"/>
              </w:rPr>
              <w:t>装卸分拣等动态过程中，</w:t>
            </w:r>
            <w:r>
              <w:rPr>
                <w:rFonts w:cs="Times New Roman" w:hint="eastAsia"/>
                <w:bCs/>
                <w:color w:val="auto"/>
                <w:kern w:val="0"/>
                <w:sz w:val="24"/>
                <w:szCs w:val="22"/>
                <w:lang w:eastAsia="zh-CN"/>
                <w:highlight w:val="none"/>
              </w:rPr>
              <w:t>若发现破损废电池需采用</w:t>
            </w:r>
            <w:r>
              <w:rPr>
                <w:rFonts w:ascii="Times New Roman" w:eastAsia="宋体" w:cs="Times New Roman" w:hAnsi="Times New Roman" w:hint="eastAsia"/>
                <w:bCs/>
                <w:color w:val="auto"/>
                <w:kern w:val="0"/>
                <w:sz w:val="24"/>
                <w:szCs w:val="22"/>
                <w:highlight w:val="none"/>
              </w:rPr>
              <w:t>薄膜缠绕后转移至PE桶并加盖</w:t>
            </w:r>
            <w:r>
              <w:rPr>
                <w:rFonts w:cs="Times New Roman" w:hint="eastAsia"/>
                <w:bCs/>
                <w:color w:val="auto"/>
                <w:kern w:val="0"/>
                <w:sz w:val="24"/>
                <w:szCs w:val="22"/>
                <w:lang w:eastAsia="zh-CN"/>
                <w:highlight w:val="none"/>
              </w:rPr>
              <w:t>密封，并转移至破损电池暂存间</w:t>
            </w:r>
            <w:r>
              <w:rPr>
                <w:rFonts w:ascii="Times New Roman" w:eastAsia="宋体" w:cs="Times New Roman" w:hAnsi="Times New Roman" w:hint="eastAsia"/>
                <w:bCs/>
                <w:color w:val="auto"/>
                <w:kern w:val="0"/>
                <w:sz w:val="24"/>
                <w:szCs w:val="22"/>
                <w:highlight w:val="none"/>
              </w:rPr>
              <w:t>，过程历时</w:t>
            </w:r>
            <w:r>
              <w:rPr>
                <w:rFonts w:cs="Times New Roman" w:hint="eastAsia"/>
                <w:bCs/>
                <w:color w:val="auto"/>
                <w:kern w:val="0"/>
                <w:sz w:val="24"/>
                <w:szCs w:val="22"/>
                <w:lang w:eastAsia="zh-CN"/>
                <w:highlight w:val="none"/>
              </w:rPr>
              <w:t>较</w:t>
            </w:r>
            <w:r>
              <w:rPr>
                <w:rFonts w:ascii="Times New Roman" w:eastAsia="宋体" w:cs="Times New Roman" w:hAnsi="Times New Roman" w:hint="eastAsia"/>
                <w:bCs/>
                <w:color w:val="auto"/>
                <w:kern w:val="0"/>
                <w:sz w:val="24"/>
                <w:szCs w:val="22"/>
                <w:highlight w:val="none"/>
              </w:rPr>
              <w:t>短，</w:t>
            </w:r>
            <w:r>
              <w:rPr>
                <w:rFonts w:cs="Times New Roman" w:hint="eastAsia"/>
                <w:bCs/>
                <w:color w:val="auto"/>
                <w:kern w:val="0"/>
                <w:sz w:val="24"/>
                <w:szCs w:val="22"/>
                <w:lang w:eastAsia="zh-CN"/>
                <w:highlight w:val="none"/>
              </w:rPr>
              <w:t>分拣及转移过程</w:t>
            </w:r>
            <w:r>
              <w:rPr>
                <w:rFonts w:ascii="Times New Roman" w:eastAsia="宋体" w:cs="Times New Roman" w:hAnsi="Times New Roman" w:hint="eastAsia"/>
                <w:bCs/>
                <w:color w:val="auto"/>
                <w:kern w:val="0"/>
                <w:sz w:val="24"/>
                <w:szCs w:val="22"/>
                <w:highlight w:val="none"/>
              </w:rPr>
              <w:t>产生极少量硫酸雾</w:t>
            </w:r>
            <w:r>
              <w:rPr>
                <w:rFonts w:cs="Times New Roman" w:hint="eastAsia"/>
                <w:bCs/>
                <w:color w:val="auto"/>
                <w:kern w:val="0"/>
                <w:sz w:val="24"/>
                <w:szCs w:val="22"/>
                <w:lang w:eastAsia="zh-CN"/>
                <w:highlight w:val="none"/>
              </w:rPr>
              <w:t>，主要为无组织排放，参照《废旧电池回收技术规范》（GB/T39224-2020）等要求，加强库房内通风。本次评价</w:t>
            </w:r>
            <w:r>
              <w:rPr>
                <w:rFonts w:ascii="Times New Roman" w:eastAsia="宋体" w:cs="Times New Roman" w:hAnsi="Times New Roman" w:hint="eastAsia"/>
                <w:bCs/>
                <w:color w:val="auto"/>
                <w:kern w:val="0"/>
                <w:sz w:val="24"/>
                <w:szCs w:val="22"/>
                <w:highlight w:val="none"/>
              </w:rPr>
              <w:t>不</w:t>
            </w:r>
            <w:r>
              <w:rPr>
                <w:rFonts w:cs="Times New Roman" w:hint="eastAsia"/>
                <w:bCs/>
                <w:color w:val="auto"/>
                <w:kern w:val="0"/>
                <w:sz w:val="24"/>
                <w:szCs w:val="22"/>
                <w:lang w:eastAsia="zh-CN"/>
                <w:highlight w:val="none"/>
              </w:rPr>
              <w:t>再</w:t>
            </w:r>
            <w:r>
              <w:rPr>
                <w:rFonts w:ascii="Times New Roman" w:eastAsia="宋体" w:cs="Times New Roman" w:hAnsi="Times New Roman" w:hint="eastAsia"/>
                <w:bCs/>
                <w:color w:val="auto"/>
                <w:kern w:val="0"/>
                <w:sz w:val="24"/>
                <w:szCs w:val="22"/>
                <w:highlight w:val="none"/>
              </w:rPr>
              <w:t>对装卸分拣废气进行定量分析</w:t>
            </w:r>
            <w:r>
              <w:rPr>
                <w:rFonts w:cs="Times New Roman" w:hint="eastAsia"/>
                <w:bCs/>
                <w:color w:val="auto"/>
                <w:kern w:val="0"/>
                <w:sz w:val="24"/>
                <w:szCs w:val="22"/>
                <w:lang w:eastAsia="zh-CN"/>
                <w:highlight w:val="none"/>
              </w:rPr>
              <w:t>，主要对破损电池贮存过程产生硫酸雾进行分析与评价。</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highlight w:val="none"/>
              </w:rPr>
            </w:pPr>
            <w:r>
              <w:rPr>
                <w:rFonts w:ascii="Times New Roman" w:eastAsia="宋体" w:cs="Times New Roman" w:hAnsi="Times New Roman" w:hint="eastAsia"/>
                <w:bCs/>
                <w:color w:val="auto"/>
                <w:kern w:val="0"/>
                <w:sz w:val="24"/>
                <w:szCs w:val="22"/>
                <w:highlight w:val="none"/>
              </w:rPr>
              <w:t>结合企业提供的经验数据，</w:t>
            </w:r>
            <w:r>
              <w:rPr>
                <w:rFonts w:cs="Times New Roman" w:hint="eastAsia"/>
                <w:bCs/>
                <w:color w:val="auto"/>
                <w:kern w:val="0"/>
                <w:sz w:val="24"/>
                <w:szCs w:val="22"/>
                <w:lang w:eastAsia="zh-CN"/>
                <w:highlight w:val="none"/>
              </w:rPr>
              <w:t>废电池装卸及分拣过程中</w:t>
            </w:r>
            <w:r>
              <w:rPr>
                <w:rFonts w:ascii="Times New Roman" w:eastAsia="宋体" w:cs="Times New Roman" w:hAnsi="Times New Roman" w:hint="eastAsia"/>
                <w:bCs/>
                <w:color w:val="auto"/>
                <w:kern w:val="0"/>
                <w:sz w:val="24"/>
                <w:szCs w:val="22"/>
                <w:highlight w:val="none"/>
              </w:rPr>
              <w:t>破损检出率为</w:t>
            </w:r>
            <w:r>
              <w:rPr>
                <w:rFonts w:cs="Times New Roman" w:hint="eastAsia"/>
                <w:bCs/>
                <w:color w:val="auto"/>
                <w:kern w:val="0"/>
                <w:sz w:val="24"/>
                <w:szCs w:val="22"/>
                <w:lang w:val="en-US" w:eastAsia="zh-CN"/>
                <w:highlight w:val="none"/>
              </w:rPr>
              <w:t>0.5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本项目废电池最大贮存量为</w:t>
            </w:r>
            <w:r>
              <w:rPr>
                <w:rFonts w:cs="Times New Roman" w:hint="eastAsia"/>
                <w:bCs/>
                <w:color w:val="auto"/>
                <w:kern w:val="0"/>
                <w:sz w:val="24"/>
                <w:szCs w:val="22"/>
                <w:lang w:val="en-US" w:eastAsia="zh-CN"/>
                <w:highlight w:val="none"/>
              </w:rPr>
              <w:t>6000t/a，</w:t>
            </w:r>
            <w:r>
              <w:rPr>
                <w:rFonts w:ascii="Times New Roman" w:eastAsia="宋体" w:cs="Times New Roman" w:hAnsi="Times New Roman" w:hint="eastAsia"/>
                <w:bCs/>
                <w:color w:val="auto"/>
                <w:kern w:val="0"/>
                <w:sz w:val="24"/>
                <w:szCs w:val="22"/>
                <w:highlight w:val="none"/>
              </w:rPr>
              <w:t>则破损电池检出量为</w:t>
            </w:r>
            <w:r>
              <w:rPr>
                <w:rFonts w:cs="Times New Roman" w:hint="eastAsia"/>
                <w:bCs/>
                <w:color w:val="auto"/>
                <w:kern w:val="0"/>
                <w:sz w:val="24"/>
                <w:szCs w:val="22"/>
                <w:lang w:val="en-US" w:eastAsia="zh-CN"/>
                <w:highlight w:val="none"/>
              </w:rPr>
              <w:t>30</w:t>
            </w:r>
            <w:r>
              <w:rPr>
                <w:rFonts w:ascii="Times New Roman" w:eastAsia="宋体" w:cs="Times New Roman" w:hAnsi="Times New Roman" w:hint="eastAsia"/>
                <w:bCs/>
                <w:color w:val="auto"/>
                <w:kern w:val="0"/>
                <w:sz w:val="24"/>
                <w:szCs w:val="22"/>
                <w:highlight w:val="none"/>
              </w:rPr>
              <w:t>t/a，</w:t>
            </w:r>
            <w:r>
              <w:rPr>
                <w:rFonts w:cs="Times New Roman" w:hint="eastAsia"/>
                <w:bCs/>
                <w:color w:val="auto"/>
                <w:kern w:val="0"/>
                <w:sz w:val="24"/>
                <w:szCs w:val="22"/>
                <w:lang w:eastAsia="zh-CN"/>
                <w:highlight w:val="none"/>
              </w:rPr>
              <w:t>根据前文表</w:t>
            </w:r>
            <w:r>
              <w:rPr>
                <w:rFonts w:cs="Times New Roman" w:hint="eastAsia"/>
                <w:bCs/>
                <w:color w:val="auto"/>
                <w:kern w:val="0"/>
                <w:sz w:val="24"/>
                <w:szCs w:val="22"/>
                <w:lang w:val="en-US" w:eastAsia="zh-CN"/>
                <w:highlight w:val="none"/>
              </w:rPr>
              <w:t>2-3和表2-4，</w:t>
            </w:r>
            <w:r>
              <w:rPr>
                <w:rFonts w:ascii="Times New Roman" w:eastAsia="宋体" w:cs="Times New Roman" w:hAnsi="Times New Roman" w:hint="eastAsia"/>
                <w:bCs/>
                <w:color w:val="auto"/>
                <w:kern w:val="0"/>
                <w:sz w:val="24"/>
                <w:szCs w:val="22"/>
                <w:highlight w:val="none"/>
              </w:rPr>
              <w:t>电解液</w:t>
            </w:r>
            <w:r>
              <w:rPr>
                <w:rFonts w:cs="Times New Roman" w:hint="eastAsia"/>
                <w:bCs/>
                <w:color w:val="auto"/>
                <w:kern w:val="0"/>
                <w:sz w:val="24"/>
                <w:szCs w:val="22"/>
                <w:lang w:eastAsia="zh-CN"/>
                <w:highlight w:val="none"/>
              </w:rPr>
              <w:t>占</w:t>
            </w:r>
            <w:r>
              <w:rPr>
                <w:rFonts w:ascii="Times New Roman" w:eastAsia="宋体" w:cs="Times New Roman" w:hAnsi="Times New Roman" w:hint="eastAsia"/>
                <w:bCs/>
                <w:color w:val="auto"/>
                <w:kern w:val="0"/>
                <w:sz w:val="24"/>
                <w:szCs w:val="22"/>
                <w:highlight w:val="none"/>
              </w:rPr>
              <w:t>电池重量的</w:t>
            </w:r>
            <w:r>
              <w:rPr>
                <w:rFonts w:cs="Times New Roman" w:hint="eastAsia"/>
                <w:bCs/>
                <w:color w:val="auto"/>
                <w:kern w:val="0"/>
                <w:sz w:val="24"/>
                <w:szCs w:val="22"/>
                <w:lang w:val="en-US" w:eastAsia="zh-CN"/>
                <w:highlight w:val="none"/>
              </w:rPr>
              <w:t>15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w:t>
            </w:r>
            <w:r>
              <w:rPr>
                <w:rFonts w:ascii="Times New Roman" w:eastAsia="宋体" w:cs="Times New Roman" w:hAnsi="Times New Roman" w:hint="eastAsia"/>
                <w:bCs/>
                <w:color w:val="auto"/>
                <w:kern w:val="0"/>
                <w:sz w:val="24"/>
                <w:szCs w:val="22"/>
                <w:highlight w:val="none"/>
              </w:rPr>
              <w:t>硫酸</w:t>
            </w:r>
            <w:r>
              <w:rPr>
                <w:rFonts w:cs="Times New Roman" w:hint="eastAsia"/>
                <w:bCs/>
                <w:color w:val="auto"/>
                <w:kern w:val="0"/>
                <w:sz w:val="24"/>
                <w:szCs w:val="22"/>
                <w:lang w:eastAsia="zh-CN"/>
                <w:highlight w:val="none"/>
              </w:rPr>
              <w:t>占电解液</w:t>
            </w:r>
            <w:r>
              <w:rPr>
                <w:rFonts w:ascii="Times New Roman" w:eastAsia="宋体" w:cs="Times New Roman" w:hAnsi="Times New Roman" w:hint="eastAsia"/>
                <w:bCs/>
                <w:color w:val="auto"/>
                <w:kern w:val="0"/>
                <w:sz w:val="24"/>
                <w:szCs w:val="22"/>
                <w:highlight w:val="none"/>
              </w:rPr>
              <w:t>比例为40%，则电解液中的硫酸总量为</w:t>
            </w:r>
            <w:r>
              <w:rPr>
                <w:rFonts w:cs="Times New Roman" w:hint="eastAsia"/>
                <w:bCs/>
                <w:color w:val="auto"/>
                <w:kern w:val="0"/>
                <w:sz w:val="24"/>
                <w:szCs w:val="22"/>
                <w:lang w:val="en-US" w:eastAsia="zh-CN"/>
                <w:highlight w:val="none"/>
              </w:rPr>
              <w:t>1.8</w:t>
            </w:r>
            <w:r>
              <w:rPr>
                <w:rFonts w:ascii="Times New Roman" w:eastAsia="宋体" w:cs="Times New Roman" w:hAnsi="Times New Roman" w:hint="eastAsia"/>
                <w:bCs/>
                <w:color w:val="auto"/>
                <w:kern w:val="0"/>
                <w:sz w:val="24"/>
                <w:szCs w:val="22"/>
                <w:highlight w:val="none"/>
              </w:rPr>
              <w:t>t。硫酸雾产生量取决于电解液泄漏量、挥发条件及贮存环境，通常按‌泄漏电解液总量的1%–5%估算硫酸雾挥发量‌。</w:t>
            </w:r>
            <w:r>
              <w:rPr>
                <w:rFonts w:cs="Times New Roman" w:hint="eastAsia"/>
                <w:bCs/>
                <w:color w:val="auto"/>
                <w:kern w:val="0"/>
                <w:sz w:val="24"/>
                <w:szCs w:val="22"/>
                <w:lang w:eastAsia="zh-CN"/>
                <w:highlight w:val="none"/>
              </w:rPr>
              <w:t>本项目取</w:t>
            </w:r>
            <w:r>
              <w:rPr>
                <w:rFonts w:cs="Times New Roman" w:hint="eastAsia"/>
                <w:bCs/>
                <w:color w:val="auto"/>
                <w:kern w:val="0"/>
                <w:sz w:val="24"/>
                <w:szCs w:val="22"/>
                <w:lang w:val="en-US" w:eastAsia="zh-CN"/>
                <w:highlight w:val="none"/>
              </w:rPr>
              <w:t>5%，</w:t>
            </w:r>
            <w:r>
              <w:rPr>
                <w:rFonts w:ascii="Times New Roman" w:eastAsia="宋体" w:cs="Times New Roman" w:hAnsi="Times New Roman" w:hint="eastAsia"/>
                <w:bCs/>
                <w:color w:val="auto"/>
                <w:kern w:val="0"/>
                <w:sz w:val="24"/>
                <w:szCs w:val="22"/>
                <w:highlight w:val="none"/>
              </w:rPr>
              <w:t>则硫酸雾</w:t>
            </w:r>
            <w:r>
              <w:rPr>
                <w:rFonts w:cs="Times New Roman" w:hint="eastAsia"/>
                <w:bCs/>
                <w:color w:val="auto"/>
                <w:kern w:val="0"/>
                <w:sz w:val="24"/>
                <w:szCs w:val="22"/>
                <w:lang w:eastAsia="zh-CN"/>
                <w:highlight w:val="none"/>
              </w:rPr>
              <w:t>产生量</w:t>
            </w:r>
            <w:r>
              <w:rPr>
                <w:rFonts w:ascii="Times New Roman" w:eastAsia="宋体" w:cs="Times New Roman" w:hAnsi="Times New Roman" w:hint="eastAsia"/>
                <w:bCs/>
                <w:color w:val="auto"/>
                <w:kern w:val="0"/>
                <w:sz w:val="24"/>
                <w:szCs w:val="22"/>
                <w:highlight w:val="none"/>
              </w:rPr>
              <w:t>约为</w:t>
            </w:r>
            <w:r>
              <w:rPr>
                <w:rFonts w:cs="Times New Roman" w:hint="eastAsia"/>
                <w:bCs/>
                <w:color w:val="auto"/>
                <w:kern w:val="0"/>
                <w:sz w:val="24"/>
                <w:szCs w:val="22"/>
                <w:lang w:val="en-US" w:eastAsia="zh-CN"/>
                <w:highlight w:val="none"/>
              </w:rPr>
              <w:t>0.09t</w:t>
            </w:r>
            <w:r>
              <w:rPr>
                <w:rFonts w:ascii="Times New Roman" w:eastAsia="宋体" w:cs="Times New Roman" w:hAnsi="Times New Roman" w:hint="eastAsia"/>
                <w:bCs/>
                <w:color w:val="auto"/>
                <w:kern w:val="0"/>
                <w:sz w:val="24"/>
                <w:szCs w:val="22"/>
                <w:highlight w:val="none"/>
              </w:rPr>
              <w:t>/a。</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bCs/>
                <w:color w:val="auto"/>
                <w:kern w:val="0"/>
                <w:sz w:val="24"/>
                <w:szCs w:val="22"/>
                <w:lang w:val="en-US" w:eastAsia="zh-CN"/>
                <w:highlight w:val="none"/>
              </w:rPr>
            </w:pPr>
            <w:r>
              <w:rPr>
                <w:rFonts w:ascii="Times New Roman" w:eastAsia="宋体" w:cs="Times New Roman" w:hAnsi="Times New Roman" w:hint="eastAsia"/>
                <w:bCs/>
                <w:color w:val="auto"/>
                <w:kern w:val="0"/>
                <w:sz w:val="24"/>
                <w:szCs w:val="22"/>
                <w:highlight w:val="none"/>
              </w:rPr>
              <w:t>破损电池薄膜缠绕后放入PE桶内并盖上顶盖，存放于破损电池间，破损电池间为密闭空间并配设排风装置，废气经碱液喷</w:t>
            </w:r>
            <w:r>
              <w:rPr>
                <w:rFonts w:cs="Times New Roman" w:hint="eastAsia"/>
                <w:bCs/>
                <w:color w:val="auto"/>
                <w:kern w:val="0"/>
                <w:sz w:val="24"/>
                <w:szCs w:val="22"/>
                <w:lang w:eastAsia="zh-CN"/>
                <w:highlight w:val="none"/>
              </w:rPr>
              <w:t>装置</w:t>
            </w:r>
            <w:r>
              <w:rPr>
                <w:rFonts w:ascii="Times New Roman" w:eastAsia="宋体" w:cs="Times New Roman" w:hAnsi="Times New Roman" w:hint="eastAsia"/>
                <w:bCs/>
                <w:color w:val="auto"/>
                <w:kern w:val="0"/>
                <w:sz w:val="24"/>
                <w:szCs w:val="22"/>
                <w:highlight w:val="none"/>
              </w:rPr>
              <w:t>处理后通过</w:t>
            </w:r>
            <w:r>
              <w:rPr>
                <w:rFonts w:cs="Times New Roman" w:hint="eastAsia"/>
                <w:bCs/>
                <w:color w:val="auto"/>
                <w:kern w:val="0"/>
                <w:sz w:val="24"/>
                <w:szCs w:val="22"/>
                <w:lang w:val="en-US" w:eastAsia="zh-CN"/>
                <w:highlight w:val="none"/>
              </w:rPr>
              <w:t>1</w:t>
            </w:r>
            <w:r>
              <w:rPr>
                <w:rFonts w:ascii="Times New Roman" w:eastAsia="宋体" w:cs="Times New Roman" w:hAnsi="Times New Roman" w:hint="eastAsia"/>
                <w:bCs/>
                <w:color w:val="auto"/>
                <w:kern w:val="0"/>
                <w:sz w:val="24"/>
                <w:szCs w:val="22"/>
                <w:highlight w:val="none"/>
              </w:rPr>
              <w:t>5m高排气筒排放（DA001）。</w:t>
            </w:r>
            <w:r>
              <w:rPr>
                <w:rFonts w:cs="Times New Roman" w:hint="eastAsia"/>
                <w:bCs/>
                <w:color w:val="auto"/>
                <w:kern w:val="0"/>
                <w:sz w:val="24"/>
                <w:szCs w:val="22"/>
                <w:lang w:eastAsia="zh-CN"/>
                <w:highlight w:val="none"/>
              </w:rPr>
              <w:t>本项目破损电池贮存间和危废间容积约</w:t>
            </w:r>
            <w:r>
              <w:rPr>
                <w:rFonts w:cs="Times New Roman" w:hint="eastAsia"/>
                <w:bCs/>
                <w:color w:val="auto"/>
                <w:kern w:val="0"/>
                <w:sz w:val="24"/>
                <w:szCs w:val="22"/>
                <w:lang w:val="en-US" w:eastAsia="zh-CN"/>
                <w:highlight w:val="none"/>
              </w:rPr>
              <w:t>200m</w:t>
            </w:r>
            <w:r>
              <w:rPr>
                <w:rFonts w:cs="Times New Roman" w:hint="eastAsia"/>
                <w:bCs/>
                <w:color w:val="auto"/>
                <w:kern w:val="0"/>
                <w:sz w:val="24"/>
                <w:szCs w:val="22"/>
                <w:vertAlign w:val="superscript"/>
                <w:lang w:val="en-US" w:eastAsia="zh-CN"/>
                <w:highlight w:val="none"/>
              </w:rPr>
              <w:t>3</w:t>
            </w:r>
            <w:r>
              <w:rPr>
                <w:rFonts w:cs="Times New Roman" w:hint="eastAsia"/>
                <w:bCs/>
                <w:color w:val="auto"/>
                <w:kern w:val="0"/>
                <w:sz w:val="24"/>
                <w:szCs w:val="22"/>
                <w:lang w:val="en-US" w:eastAsia="zh-CN"/>
                <w:highlight w:val="none"/>
              </w:rPr>
              <w:t>，按每小时换气12次，同时考虑风损，则风量为3000m</w:t>
            </w:r>
            <w:r>
              <w:rPr>
                <w:rFonts w:cs="Times New Roman" w:hint="eastAsia"/>
                <w:bCs/>
                <w:color w:val="auto"/>
                <w:kern w:val="0"/>
                <w:sz w:val="24"/>
                <w:szCs w:val="22"/>
                <w:vertAlign w:val="superscript"/>
                <w:lang w:val="en-US" w:eastAsia="zh-CN"/>
                <w:highlight w:val="none"/>
              </w:rPr>
              <w:t>3</w:t>
            </w:r>
            <w:r>
              <w:rPr>
                <w:rFonts w:cs="Times New Roman" w:hint="eastAsia"/>
                <w:bCs/>
                <w:color w:val="auto"/>
                <w:kern w:val="0"/>
                <w:sz w:val="24"/>
                <w:szCs w:val="22"/>
                <w:lang w:val="en-US" w:eastAsia="zh-CN"/>
                <w:highlight w:val="none"/>
              </w:rPr>
              <w:t>/h。</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lang w:eastAsia="zh-CN"/>
                <w:highlight w:val="none"/>
              </w:rPr>
            </w:pPr>
            <w:r>
              <w:rPr>
                <w:rFonts w:ascii="Times New Roman" w:eastAsia="宋体" w:cs="Times New Roman" w:hAnsi="Times New Roman" w:hint="eastAsia"/>
                <w:bCs/>
                <w:color w:val="auto"/>
                <w:kern w:val="0"/>
                <w:sz w:val="24"/>
                <w:szCs w:val="22"/>
                <w:highlight w:val="none"/>
              </w:rPr>
              <w:t>破损电池检出几率较低，</w:t>
            </w:r>
            <w:r>
              <w:rPr>
                <w:rFonts w:cs="Times New Roman" w:hint="eastAsia"/>
                <w:bCs/>
                <w:color w:val="auto"/>
                <w:kern w:val="0"/>
                <w:sz w:val="24"/>
                <w:szCs w:val="22"/>
                <w:lang w:eastAsia="zh-CN"/>
                <w:highlight w:val="none"/>
              </w:rPr>
              <w:t>且废电池中转周期平均约为</w:t>
            </w:r>
            <w:r>
              <w:rPr>
                <w:rFonts w:cs="Times New Roman" w:hint="eastAsia"/>
                <w:bCs/>
                <w:color w:val="auto"/>
                <w:kern w:val="0"/>
                <w:sz w:val="24"/>
                <w:szCs w:val="22"/>
                <w:lang w:val="en-US" w:eastAsia="zh-CN"/>
                <w:highlight w:val="none"/>
              </w:rPr>
              <w:t>5天，废电解液随废电池一同中转，厂区内暂存时间按4天（96h）每批次计，年工作小时为240天（5760h）</w:t>
            </w:r>
            <w:r>
              <w:rPr>
                <w:rFonts w:ascii="Times New Roman" w:eastAsia="宋体" w:cs="Times New Roman" w:hAnsi="Times New Roman" w:hint="eastAsia"/>
                <w:bCs/>
                <w:color w:val="auto"/>
                <w:kern w:val="0"/>
                <w:sz w:val="24"/>
                <w:szCs w:val="22"/>
                <w:highlight w:val="none"/>
              </w:rPr>
              <w:t>。硫酸雾量详见表4.1</w:t>
            </w:r>
            <w:r>
              <w:rPr>
                <w:rFonts w:cs="Times New Roman" w:hint="eastAsia"/>
                <w:bCs/>
                <w:color w:val="auto"/>
                <w:kern w:val="0"/>
                <w:sz w:val="24"/>
                <w:szCs w:val="22"/>
                <w:lang w:eastAsia="zh-CN"/>
                <w:highlight w:val="none"/>
              </w:rPr>
              <w:t>。</w:t>
            </w:r>
          </w:p>
          <w:p>
            <w:pPr>
              <w:adjustRightInd w:val="0"/>
              <w:snapToGrid w:val="0"/>
              <w:jc w:val="center"/>
              <w:rPr>
                <w:rFonts w:hint="eastAsia"/>
                <w:b/>
                <w:color w:val="auto"/>
                <w:sz w:val="24"/>
                <w:highlight w:val="none"/>
              </w:rPr>
            </w:pPr>
            <w:r>
              <w:rPr>
                <w:rFonts w:hint="eastAsia"/>
                <w:b/>
                <w:color w:val="auto"/>
                <w:sz w:val="24"/>
                <w:highlight w:val="none"/>
              </w:rPr>
              <w:t>表4-1  废气产排污情况汇总</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045"/>
              <w:gridCol w:w="539"/>
              <w:gridCol w:w="614"/>
              <w:gridCol w:w="673"/>
              <w:gridCol w:w="568"/>
              <w:gridCol w:w="2045"/>
              <w:gridCol w:w="532"/>
              <w:gridCol w:w="636"/>
              <w:gridCol w:w="466"/>
              <w:gridCol w:w="636"/>
              <w:gridCol w:w="588"/>
              <w:gridCol w:w="582"/>
            </w:tblGrid>
            <w:tr>
              <w:trPr>
                <w:trHeight w:val="397"/>
              </w:trPr>
              <w:tc>
                <w:tcPr>
                  <w:tcW w:w="234" w:type="dxa"/>
                  <w:vMerge w:val="restar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产排污环节</w:t>
                  </w:r>
                </w:p>
              </w:tc>
              <w:tc>
                <w:tcPr>
                  <w:tcW w:w="121"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污染物种类</w:t>
                  </w:r>
                </w:p>
              </w:tc>
              <w:tc>
                <w:tcPr>
                  <w:tcW w:w="138"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产生量</w:t>
                  </w:r>
                </w:p>
                <w:p>
                  <w:pPr>
                    <w:widowControl/>
                    <w:adjustRightInd w:val="0"/>
                    <w:snapToGrid w:val="0"/>
                    <w:jc w:val="center"/>
                    <w:rPr>
                      <w:bCs/>
                      <w:color w:val="auto"/>
                      <w:kern w:val="0"/>
                      <w:sz w:val="21"/>
                      <w:szCs w:val="21"/>
                      <w:highlight w:val="none"/>
                    </w:rPr>
                  </w:pPr>
                  <w:r>
                    <w:rPr>
                      <w:rFonts w:hint="eastAsia"/>
                      <w:bCs/>
                      <w:color w:val="auto"/>
                      <w:kern w:val="0"/>
                      <w:sz w:val="21"/>
                      <w:szCs w:val="21"/>
                      <w:lang w:val="en-US" w:eastAsia="zh-CN"/>
                      <w:highlight w:val="none"/>
                    </w:rPr>
                    <w:t>t</w:t>
                  </w:r>
                  <w:r>
                    <w:rPr>
                      <w:bCs/>
                      <w:color w:val="auto"/>
                      <w:kern w:val="0"/>
                      <w:sz w:val="21"/>
                      <w:szCs w:val="21"/>
                      <w:highlight w:val="none"/>
                    </w:rPr>
                    <w:t>/a</w:t>
                  </w:r>
                </w:p>
              </w:tc>
              <w:tc>
                <w:tcPr>
                  <w:tcW w:w="151"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产生速率kg/h</w:t>
                  </w:r>
                </w:p>
              </w:tc>
              <w:tc>
                <w:tcPr>
                  <w:tcW w:w="127"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产生浓度</w:t>
                  </w:r>
                </w:p>
                <w:p>
                  <w:pPr>
                    <w:widowControl/>
                    <w:adjustRightInd w:val="0"/>
                    <w:snapToGrid w:val="0"/>
                    <w:jc w:val="center"/>
                    <w:rPr>
                      <w:bCs/>
                      <w:color w:val="auto"/>
                      <w:kern w:val="0"/>
                      <w:sz w:val="21"/>
                      <w:szCs w:val="21"/>
                      <w:highlight w:val="none"/>
                    </w:rPr>
                  </w:pPr>
                  <w:r>
                    <w:rPr>
                      <w:bCs/>
                      <w:color w:val="auto"/>
                      <w:kern w:val="0"/>
                      <w:sz w:val="21"/>
                      <w:szCs w:val="21"/>
                      <w:highlight w:val="none"/>
                    </w:rPr>
                    <w:t>mg/m</w:t>
                  </w:r>
                  <w:r>
                    <w:rPr>
                      <w:bCs/>
                      <w:color w:val="auto"/>
                      <w:kern w:val="0"/>
                      <w:sz w:val="21"/>
                      <w:szCs w:val="21"/>
                      <w:vertAlign w:val="superscript"/>
                      <w:highlight w:val="none"/>
                    </w:rPr>
                    <w:t>3</w:t>
                  </w:r>
                </w:p>
              </w:tc>
              <w:tc>
                <w:tcPr>
                  <w:tcW w:w="824" w:type="dxa"/>
                  <w:gridSpan w:val="4"/>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污染防治措施</w:t>
                  </w:r>
                </w:p>
              </w:tc>
              <w:tc>
                <w:tcPr>
                  <w:tcW w:w="142"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排放量</w:t>
                  </w:r>
                </w:p>
                <w:p>
                  <w:pPr>
                    <w:widowControl/>
                    <w:adjustRightInd w:val="0"/>
                    <w:snapToGrid w:val="0"/>
                    <w:jc w:val="center"/>
                    <w:rPr>
                      <w:bCs/>
                      <w:color w:val="auto"/>
                      <w:kern w:val="0"/>
                      <w:sz w:val="21"/>
                      <w:szCs w:val="21"/>
                      <w:highlight w:val="none"/>
                    </w:rPr>
                  </w:pPr>
                  <w:r>
                    <w:rPr>
                      <w:rFonts w:hint="eastAsia"/>
                      <w:bCs/>
                      <w:color w:val="auto"/>
                      <w:kern w:val="0"/>
                      <w:sz w:val="21"/>
                      <w:szCs w:val="21"/>
                      <w:lang w:val="en-US" w:eastAsia="zh-CN"/>
                      <w:highlight w:val="none"/>
                    </w:rPr>
                    <w:t>t</w:t>
                  </w:r>
                  <w:r>
                    <w:rPr>
                      <w:bCs/>
                      <w:color w:val="auto"/>
                      <w:kern w:val="0"/>
                      <w:sz w:val="21"/>
                      <w:szCs w:val="21"/>
                      <w:highlight w:val="none"/>
                    </w:rPr>
                    <w:t>/a</w:t>
                  </w:r>
                </w:p>
              </w:tc>
              <w:tc>
                <w:tcPr>
                  <w:tcW w:w="132"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排放速率kg/h</w:t>
                  </w:r>
                </w:p>
              </w:tc>
              <w:tc>
                <w:tcPr>
                  <w:tcW w:w="130" w:type="dxa"/>
                  <w:vMerge w:val="restart"/>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排放浓度mg/m</w:t>
                  </w:r>
                  <w:r>
                    <w:rPr>
                      <w:bCs/>
                      <w:color w:val="auto"/>
                      <w:kern w:val="0"/>
                      <w:sz w:val="21"/>
                      <w:szCs w:val="21"/>
                      <w:vertAlign w:val="superscript"/>
                      <w:highlight w:val="none"/>
                    </w:rPr>
                    <w:t>3</w:t>
                  </w:r>
                </w:p>
              </w:tc>
            </w:tr>
            <w:tr>
              <w:trPr>
                <w:trHeight w:val="397"/>
              </w:trPr>
              <w:tc>
                <w:tcPr>
                  <w:tcW w:w="234" w:type="dxa"/>
                  <w:vMerge/>
                  <w:tcBorders>
                    <w:tl2br w:val="nil"/>
                    <w:tr2bl w:val="nil"/>
                  </w:tcBorders>
                  <w:vAlign w:val="center"/>
                </w:tcPr>
                <w:p/>
              </w:tc>
              <w:tc>
                <w:tcPr>
                  <w:tcW w:w="121" w:type="dxa"/>
                  <w:vMerge/>
                  <w:tcBorders>
                    <w:tl2br w:val="nil"/>
                    <w:tr2bl w:val="nil"/>
                  </w:tcBorders>
                  <w:vAlign w:val="center"/>
                </w:tcPr>
                <w:p/>
              </w:tc>
              <w:tc>
                <w:tcPr>
                  <w:tcW w:w="138" w:type="dxa"/>
                  <w:vMerge/>
                  <w:tcBorders>
                    <w:tl2br w:val="nil"/>
                    <w:tr2bl w:val="nil"/>
                  </w:tcBorders>
                  <w:vAlign w:val="center"/>
                </w:tcPr>
                <w:p/>
              </w:tc>
              <w:tc>
                <w:tcPr>
                  <w:tcW w:w="151" w:type="dxa"/>
                  <w:vMerge/>
                  <w:tcBorders>
                    <w:tl2br w:val="nil"/>
                    <w:tr2bl w:val="nil"/>
                  </w:tcBorders>
                  <w:vAlign w:val="center"/>
                </w:tcPr>
                <w:p/>
              </w:tc>
              <w:tc>
                <w:tcPr>
                  <w:tcW w:w="127" w:type="dxa"/>
                  <w:vMerge/>
                  <w:tcBorders>
                    <w:tl2br w:val="nil"/>
                    <w:tr2bl w:val="nil"/>
                  </w:tcBorders>
                  <w:vAlign w:val="center"/>
                </w:tcPr>
                <w:p/>
              </w:tc>
              <w:tc>
                <w:tcPr>
                  <w:tcW w:w="458"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名称</w:t>
                  </w:r>
                </w:p>
              </w:tc>
              <w:tc>
                <w:tcPr>
                  <w:tcW w:w="119" w:type="dxa"/>
                  <w:tcBorders>
                    <w:tl2br w:val="nil"/>
                    <w:tr2bl w:val="nil"/>
                  </w:tcBorders>
                  <w:vAlign w:val="center"/>
                </w:tcPr>
                <w:p>
                  <w:pPr>
                    <w:widowControl/>
                    <w:adjustRightInd w:val="0"/>
                    <w:snapToGrid w:val="0"/>
                    <w:jc w:val="center"/>
                    <w:rPr>
                      <w:bCs/>
                      <w:color w:val="auto"/>
                      <w:kern w:val="0"/>
                      <w:sz w:val="21"/>
                      <w:szCs w:val="21"/>
                      <w:highlight w:val="none"/>
                    </w:rPr>
                  </w:pPr>
                  <w:r>
                    <w:rPr>
                      <w:rFonts w:hint="eastAsia"/>
                      <w:bCs/>
                      <w:color w:val="auto"/>
                      <w:kern w:val="0"/>
                      <w:sz w:val="21"/>
                      <w:szCs w:val="21"/>
                      <w:highlight w:val="none"/>
                    </w:rPr>
                    <w:t>收集效率%</w:t>
                  </w:r>
                </w:p>
              </w:tc>
              <w:tc>
                <w:tcPr>
                  <w:tcW w:w="142"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去除率</w:t>
                  </w:r>
                  <w:r>
                    <w:rPr>
                      <w:rFonts w:hint="eastAsia"/>
                      <w:bCs/>
                      <w:color w:val="auto"/>
                      <w:kern w:val="0"/>
                      <w:sz w:val="21"/>
                      <w:szCs w:val="21"/>
                      <w:highlight w:val="none"/>
                    </w:rPr>
                    <w:t>处理能力</w:t>
                  </w:r>
                  <w:r>
                    <w:rPr>
                      <w:bCs/>
                      <w:color w:val="auto"/>
                      <w:kern w:val="0"/>
                      <w:sz w:val="21"/>
                      <w:szCs w:val="21"/>
                      <w:highlight w:val="none"/>
                    </w:rPr>
                    <w:t>%</w:t>
                  </w:r>
                </w:p>
              </w:tc>
              <w:tc>
                <w:tcPr>
                  <w:tcW w:w="104" w:type="dxa"/>
                  <w:tcBorders>
                    <w:tl2br w:val="nil"/>
                    <w:tr2bl w:val="nil"/>
                  </w:tcBorders>
                  <w:vAlign w:val="center"/>
                </w:tcPr>
                <w:p>
                  <w:pPr>
                    <w:widowControl/>
                    <w:adjustRightInd w:val="0"/>
                    <w:snapToGrid w:val="0"/>
                    <w:jc w:val="center"/>
                    <w:rPr>
                      <w:bCs/>
                      <w:color w:val="auto"/>
                      <w:kern w:val="0"/>
                      <w:sz w:val="21"/>
                      <w:szCs w:val="21"/>
                      <w:highlight w:val="none"/>
                    </w:rPr>
                  </w:pPr>
                  <w:r>
                    <w:rPr>
                      <w:bCs/>
                      <w:color w:val="auto"/>
                      <w:kern w:val="0"/>
                      <w:sz w:val="21"/>
                      <w:szCs w:val="21"/>
                      <w:highlight w:val="none"/>
                    </w:rPr>
                    <w:t>是否为可行技术</w:t>
                  </w:r>
                </w:p>
              </w:tc>
              <w:tc>
                <w:tcPr>
                  <w:tcW w:w="142" w:type="dxa"/>
                  <w:vMerge/>
                  <w:tcBorders>
                    <w:tl2br w:val="nil"/>
                    <w:tr2bl w:val="nil"/>
                  </w:tcBorders>
                  <w:vAlign w:val="center"/>
                </w:tcPr>
                <w:p/>
              </w:tc>
              <w:tc>
                <w:tcPr>
                  <w:tcW w:w="132" w:type="dxa"/>
                  <w:vMerge/>
                  <w:tcBorders>
                    <w:tl2br w:val="nil"/>
                    <w:tr2bl w:val="nil"/>
                  </w:tcBorders>
                  <w:vAlign w:val="center"/>
                </w:tcPr>
                <w:p/>
              </w:tc>
              <w:tc>
                <w:tcPr>
                  <w:tcW w:w="130" w:type="dxa"/>
                  <w:vMerge/>
                  <w:tcBorders>
                    <w:tl2br w:val="nil"/>
                    <w:tr2bl w:val="nil"/>
                  </w:tcBorders>
                  <w:vAlign w:val="center"/>
                </w:tcPr>
                <w:p/>
              </w:tc>
            </w:tr>
            <w:tr>
              <w:trPr>
                <w:trHeight w:val="397"/>
              </w:trPr>
              <w:tc>
                <w:tcPr>
                  <w:tcW w:w="234" w:type="dxa"/>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cs="Times New Roman" w:hint="eastAsia"/>
                      <w:bCs/>
                      <w:color w:val="auto"/>
                      <w:kern w:val="0"/>
                      <w:sz w:val="21"/>
                      <w:szCs w:val="21"/>
                      <w:lang w:eastAsia="zh-CN"/>
                      <w:highlight w:val="none"/>
                    </w:rPr>
                    <w:t>破损电池贮存</w:t>
                  </w:r>
                </w:p>
              </w:tc>
              <w:tc>
                <w:tcPr>
                  <w:tcW w:w="121" w:type="dxa"/>
                  <w:tcBorders>
                    <w:tl2br w:val="nil"/>
                    <w:tr2bl w:val="nil"/>
                  </w:tcBorders>
                  <w:vAlign w:val="center"/>
                </w:tcPr>
                <w:p>
                  <w:pPr>
                    <w:widowControl/>
                    <w:adjustRightInd w:val="0"/>
                    <w:snapToGrid w:val="0"/>
                    <w:jc w:val="center"/>
                    <w:rPr>
                      <w:rFonts w:hint="eastAsia"/>
                      <w:bCs/>
                      <w:color w:val="auto"/>
                      <w:kern w:val="0"/>
                      <w:sz w:val="21"/>
                      <w:szCs w:val="21"/>
                      <w:highlight w:val="none"/>
                    </w:rPr>
                  </w:pPr>
                  <w:r>
                    <w:rPr>
                      <w:rFonts w:cs="Times New Roman" w:hint="eastAsia"/>
                      <w:bCs/>
                      <w:color w:val="auto"/>
                      <w:kern w:val="0"/>
                      <w:sz w:val="21"/>
                      <w:szCs w:val="21"/>
                      <w:lang w:val="en-US" w:eastAsia="zh-CN"/>
                      <w:highlight w:val="none"/>
                    </w:rPr>
                    <w:t>硫酸雾</w:t>
                  </w:r>
                </w:p>
              </w:tc>
              <w:tc>
                <w:tcPr>
                  <w:tcW w:w="138"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ascii="Times New Roman" w:eastAsia="宋体" w:cs="Times New Roman" w:hAnsi="Times New Roman"/>
                      <w:i w:val="0"/>
                      <w:iCs w:val="0"/>
                      <w:color w:val="auto"/>
                      <w:kern w:val="0"/>
                      <w:sz w:val="21"/>
                      <w:szCs w:val="21"/>
                      <w:u w:val="none"/>
                      <w:lang w:val="en-US" w:eastAsia="zh-CN"/>
                      <w:highlight w:val="none"/>
                    </w:rPr>
                    <w:t>0.</w:t>
                  </w:r>
                  <w:r>
                    <w:rPr>
                      <w:rFonts w:cs="Times New Roman" w:hint="eastAsia"/>
                      <w:i w:val="0"/>
                      <w:iCs w:val="0"/>
                      <w:color w:val="auto"/>
                      <w:kern w:val="0"/>
                      <w:sz w:val="21"/>
                      <w:szCs w:val="21"/>
                      <w:u w:val="none"/>
                      <w:lang w:val="en-US" w:eastAsia="zh-CN"/>
                      <w:highlight w:val="none"/>
                    </w:rPr>
                    <w:t>09</w:t>
                  </w:r>
                  <w:r>
                    <w:rPr>
                      <w:rFonts w:ascii="Times New Roman" w:eastAsia="宋体" w:cs="Times New Roman" w:hAnsi="Times New Roman"/>
                      <w:i w:val="0"/>
                      <w:iCs w:val="0"/>
                      <w:color w:val="auto"/>
                      <w:kern w:val="0"/>
                      <w:sz w:val="21"/>
                      <w:szCs w:val="21"/>
                      <w:u w:val="none"/>
                      <w:lang w:val="en-US" w:eastAsia="zh-CN"/>
                      <w:highlight w:val="none"/>
                    </w:rPr>
                    <w:t xml:space="preserve"> </w:t>
                  </w:r>
                </w:p>
              </w:tc>
              <w:tc>
                <w:tcPr>
                  <w:tcW w:w="151"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cs="Times New Roman" w:hint="eastAsia"/>
                      <w:i w:val="0"/>
                      <w:iCs w:val="0"/>
                      <w:color w:val="auto"/>
                      <w:kern w:val="0"/>
                      <w:sz w:val="21"/>
                      <w:szCs w:val="21"/>
                      <w:u w:val="none"/>
                      <w:lang w:val="en-US" w:eastAsia="zh-CN"/>
                      <w:highlight w:val="none"/>
                    </w:rPr>
                    <w:t>0.016</w:t>
                  </w:r>
                </w:p>
              </w:tc>
              <w:tc>
                <w:tcPr>
                  <w:tcW w:w="127"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5.3</w:t>
                  </w:r>
                </w:p>
              </w:tc>
              <w:tc>
                <w:tcPr>
                  <w:tcW w:w="458" w:type="dxa"/>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ascii="Times New Roman" w:eastAsia="宋体" w:cs="Times New Roman" w:hAnsi="Times New Roman"/>
                      <w:bCs/>
                      <w:color w:val="auto"/>
                      <w:kern w:val="0"/>
                      <w:sz w:val="21"/>
                      <w:szCs w:val="21"/>
                      <w:lang w:val="en-US" w:eastAsia="zh-CN"/>
                      <w:highlight w:val="none"/>
                    </w:rPr>
                    <w:t>经碱液喷装置处理后通过15m高排气筒排放</w:t>
                  </w:r>
                </w:p>
              </w:tc>
              <w:tc>
                <w:tcPr>
                  <w:tcW w:w="119" w:type="dxa"/>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70</w:t>
                  </w:r>
                </w:p>
              </w:tc>
              <w:tc>
                <w:tcPr>
                  <w:tcW w:w="142"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85</w:t>
                  </w:r>
                </w:p>
              </w:tc>
              <w:tc>
                <w:tcPr>
                  <w:tcW w:w="104" w:type="dxa"/>
                  <w:tcBorders>
                    <w:tl2br w:val="nil"/>
                    <w:tr2bl w:val="nil"/>
                  </w:tcBorders>
                  <w:vAlign w:val="center"/>
                </w:tcPr>
                <w:p>
                  <w:pPr>
                    <w:widowControl/>
                    <w:adjustRightInd w:val="0"/>
                    <w:snapToGrid w:val="0"/>
                    <w:jc w:val="center"/>
                    <w:rPr>
                      <w:rFonts w:hint="eastAsia"/>
                      <w:bCs/>
                      <w:color w:val="auto"/>
                      <w:kern w:val="0"/>
                      <w:sz w:val="21"/>
                      <w:szCs w:val="21"/>
                      <w:highlight w:val="none"/>
                    </w:rPr>
                  </w:pPr>
                  <w:r>
                    <w:rPr>
                      <w:rFonts w:hint="eastAsia"/>
                      <w:bCs/>
                      <w:color w:val="auto"/>
                      <w:kern w:val="0"/>
                      <w:sz w:val="21"/>
                      <w:szCs w:val="21"/>
                      <w:highlight w:val="none"/>
                    </w:rPr>
                    <w:t>是</w:t>
                  </w:r>
                </w:p>
              </w:tc>
              <w:tc>
                <w:tcPr>
                  <w:tcW w:w="142"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cs="Times New Roman" w:hint="eastAsia"/>
                      <w:i w:val="0"/>
                      <w:iCs w:val="0"/>
                      <w:color w:val="auto"/>
                      <w:kern w:val="0"/>
                      <w:sz w:val="21"/>
                      <w:szCs w:val="21"/>
                      <w:u w:val="none"/>
                      <w:lang w:val="en-US" w:eastAsia="zh-CN"/>
                      <w:highlight w:val="none"/>
                    </w:rPr>
                    <w:t>0.009</w:t>
                  </w:r>
                  <w:r>
                    <w:rPr>
                      <w:rFonts w:ascii="Times New Roman" w:eastAsia="宋体" w:cs="Times New Roman" w:hAnsi="Times New Roman"/>
                      <w:i w:val="0"/>
                      <w:iCs w:val="0"/>
                      <w:color w:val="auto"/>
                      <w:kern w:val="0"/>
                      <w:sz w:val="21"/>
                      <w:szCs w:val="21"/>
                      <w:u w:val="none"/>
                      <w:lang w:val="en-US" w:eastAsia="zh-CN"/>
                      <w:highlight w:val="none"/>
                    </w:rPr>
                    <w:t xml:space="preserve"> </w:t>
                  </w:r>
                </w:p>
              </w:tc>
              <w:tc>
                <w:tcPr>
                  <w:tcW w:w="132" w:type="dxa"/>
                  <w:tcBorders>
                    <w:tl2br w:val="nil"/>
                    <w:tr2bl w:val="nil"/>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auto"/>
                      <w:kern w:val="0"/>
                      <w:sz w:val="21"/>
                      <w:szCs w:val="21"/>
                      <w:u w:val="none"/>
                      <w:lang w:val="en-US" w:eastAsia="zh-CN"/>
                      <w:highlight w:val="none"/>
                    </w:rPr>
                  </w:pPr>
                  <w:r>
                    <w:rPr>
                      <w:rFonts w:ascii="Times New Roman" w:eastAsia="宋体" w:cs="Times New Roman" w:hAnsi="Times New Roman" w:hint="eastAsia"/>
                      <w:i w:val="0"/>
                      <w:iCs w:val="0"/>
                      <w:color w:val="auto"/>
                      <w:kern w:val="0"/>
                      <w:sz w:val="21"/>
                      <w:szCs w:val="21"/>
                      <w:u w:val="none"/>
                      <w:lang w:val="en-US" w:eastAsia="zh-CN"/>
                      <w:highlight w:val="none"/>
                    </w:rPr>
                    <w:t>0.00</w:t>
                  </w:r>
                  <w:r>
                    <w:rPr>
                      <w:rFonts w:cs="Times New Roman" w:hint="eastAsia"/>
                      <w:i w:val="0"/>
                      <w:iCs w:val="0"/>
                      <w:color w:val="auto"/>
                      <w:kern w:val="0"/>
                      <w:sz w:val="21"/>
                      <w:szCs w:val="21"/>
                      <w:u w:val="none"/>
                      <w:lang w:val="en-US" w:eastAsia="zh-CN"/>
                      <w:highlight w:val="none"/>
                    </w:rPr>
                    <w:t>17</w:t>
                  </w:r>
                </w:p>
              </w:tc>
              <w:tc>
                <w:tcPr>
                  <w:tcW w:w="130" w:type="dxa"/>
                  <w:tcBorders>
                    <w:tl2br w:val="nil"/>
                    <w:tr2bl w:val="nil"/>
                  </w:tcBorders>
                  <w:vAlign w:val="center"/>
                </w:tcPr>
                <w:p>
                  <w:pPr>
                    <w:widowControl/>
                    <w:adjustRightInd w:val="0"/>
                    <w:snapToGrid w:val="0"/>
                    <w:jc w:val="center"/>
                    <w:rPr>
                      <w:rFonts w:eastAsia="宋体"/>
                      <w:bCs/>
                      <w:color w:val="auto"/>
                      <w:kern w:val="0"/>
                      <w:sz w:val="21"/>
                      <w:szCs w:val="21"/>
                      <w:lang w:val="en-US" w:eastAsia="zh-CN"/>
                      <w:highlight w:val="none"/>
                    </w:rPr>
                  </w:pPr>
                  <w:r>
                    <w:rPr>
                      <w:rFonts w:hint="eastAsia"/>
                      <w:bCs/>
                      <w:color w:val="auto"/>
                      <w:kern w:val="0"/>
                      <w:sz w:val="21"/>
                      <w:szCs w:val="21"/>
                      <w:lang w:val="en-US" w:eastAsia="zh-CN"/>
                      <w:highlight w:val="none"/>
                    </w:rPr>
                    <w:t>0.567</w:t>
                  </w:r>
                </w:p>
              </w:tc>
            </w:tr>
          </w:tbl>
          <w:p>
            <w:pPr>
              <w:keepNext w:val="0"/>
              <w:keepLines w:val="0"/>
              <w:pageBreakBefore w:val="0"/>
              <w:widowControl/>
              <w:kinsoku/>
              <w:wordWrap/>
              <w:overflowPunct/>
              <w:topLinePunct w:val="0"/>
              <w:autoSpaceDE/>
              <w:autoSpaceDN/>
              <w:bidi w:val="0"/>
              <w:adjustRightInd/>
              <w:snapToGrid/>
              <w:spacing w:line="460" w:lineRule="exact"/>
              <w:ind w:left="0" w:firstLineChars="200" w:firstLine="480"/>
              <w:textAlignment w:val="auto"/>
              <w:rPr>
                <w:rFonts w:hint="eastAsia"/>
                <w:color w:val="auto"/>
                <w:sz w:val="24"/>
                <w:lang w:eastAsia="zh-CN"/>
                <w:highlight w:val="none"/>
              </w:rPr>
            </w:pPr>
            <w:r>
              <w:rPr>
                <w:rFonts w:hint="eastAsia"/>
                <w:color w:val="auto"/>
                <w:sz w:val="24"/>
                <w:lang w:eastAsia="zh-CN"/>
                <w:highlight w:val="none"/>
              </w:rPr>
              <w:t>（</w:t>
            </w:r>
            <w:r>
              <w:rPr>
                <w:rFonts w:hint="eastAsia"/>
                <w:color w:val="auto"/>
                <w:sz w:val="24"/>
                <w:lang w:val="en-US" w:eastAsia="zh-CN"/>
                <w:highlight w:val="none"/>
              </w:rPr>
              <w:t>2</w:t>
            </w:r>
            <w:r>
              <w:rPr>
                <w:rFonts w:hint="eastAsia"/>
                <w:color w:val="auto"/>
                <w:sz w:val="24"/>
                <w:lang w:eastAsia="zh-CN"/>
                <w:highlight w:val="none"/>
              </w:rPr>
              <w:t>）排放口</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auto"/>
                <w:kern w:val="0"/>
                <w:sz w:val="24"/>
                <w:szCs w:val="22"/>
                <w:highlight w:val="none"/>
              </w:rPr>
            </w:pPr>
            <w:r>
              <w:rPr>
                <w:rFonts w:ascii="Times New Roman" w:eastAsia="宋体" w:cs="Times New Roman" w:hAnsi="Times New Roman" w:hint="eastAsia"/>
                <w:bCs/>
                <w:color w:val="auto"/>
                <w:kern w:val="0"/>
                <w:sz w:val="24"/>
                <w:szCs w:val="22"/>
                <w:highlight w:val="none"/>
              </w:rPr>
              <w:t>本项目共设 1 个废气有组织排放口，排放口基本情况详见表 4-</w:t>
            </w:r>
            <w:r>
              <w:rPr>
                <w:rFonts w:cs="Times New Roman" w:hint="eastAsia"/>
                <w:bCs/>
                <w:color w:val="auto"/>
                <w:kern w:val="0"/>
                <w:sz w:val="24"/>
                <w:szCs w:val="22"/>
                <w:lang w:val="en-US" w:eastAsia="zh-CN"/>
                <w:highlight w:val="none"/>
              </w:rPr>
              <w:t>2</w:t>
            </w:r>
            <w:r>
              <w:rPr>
                <w:rFonts w:ascii="Times New Roman" w:eastAsia="宋体" w:cs="Times New Roman" w:hAnsi="Times New Roman" w:hint="eastAsia"/>
                <w:bCs/>
                <w:color w:val="auto"/>
                <w:kern w:val="0"/>
                <w:sz w:val="24"/>
                <w:szCs w:val="22"/>
                <w:highlight w:val="none"/>
              </w:rPr>
              <w:t>。</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 4-</w:t>
            </w:r>
            <w:r>
              <w:rPr>
                <w:rFonts w:cs="Times New Roman" w:hint="eastAsia"/>
                <w:b/>
                <w:bCs w:val="0"/>
                <w:color w:val="auto"/>
                <w:kern w:val="0"/>
                <w:sz w:val="24"/>
                <w:szCs w:val="22"/>
                <w:lang w:val="en-US" w:eastAsia="zh-CN"/>
                <w:highlight w:val="none"/>
              </w:rPr>
              <w:t>2</w:t>
            </w:r>
            <w:r>
              <w:rPr>
                <w:rFonts w:ascii="Times New Roman" w:eastAsia="宋体" w:cs="Times New Roman" w:hAnsi="Times New Roman" w:hint="eastAsia"/>
                <w:b/>
                <w:bCs w:val="0"/>
                <w:color w:val="auto"/>
                <w:kern w:val="0"/>
                <w:sz w:val="24"/>
                <w:szCs w:val="22"/>
                <w:lang w:eastAsia="zh-CN"/>
                <w:highlight w:val="none"/>
              </w:rPr>
              <w:t xml:space="preserve">  项目废气排放口基本情况一览表</w:t>
            </w:r>
          </w:p>
          <w:tbl>
            <w:tblPr>
              <w:jc w:val="left"/>
              <w:tblInd w:w="0" w:type="dxa"/>
              <w:tblW w:w="4988"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668"/>
              <w:gridCol w:w="1115"/>
              <w:gridCol w:w="670"/>
              <w:gridCol w:w="1818"/>
              <w:gridCol w:w="946"/>
              <w:gridCol w:w="850"/>
              <w:gridCol w:w="934"/>
              <w:gridCol w:w="1900"/>
            </w:tblGrid>
            <w:tr>
              <w:trPr>
                <w:trHeight w:val="627"/>
              </w:trPr>
              <w:tc>
                <w:tcPr>
                  <w:tcW w:w="375"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排气</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筒编号</w:t>
                  </w:r>
                </w:p>
              </w:tc>
              <w:tc>
                <w:tcPr>
                  <w:tcW w:w="62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排放</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口类型</w:t>
                  </w:r>
                </w:p>
              </w:tc>
              <w:tc>
                <w:tcPr>
                  <w:tcW w:w="37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污染</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物名称</w:t>
                  </w:r>
                </w:p>
              </w:tc>
              <w:tc>
                <w:tcPr>
                  <w:tcW w:w="1020"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排放口地理坐标</w:t>
                  </w:r>
                </w:p>
              </w:tc>
              <w:tc>
                <w:tcPr>
                  <w:tcW w:w="531"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 xml:space="preserve">排气筒高度 </w:t>
                  </w:r>
                  <w:r>
                    <w:rPr>
                      <w:rFonts w:cs="Times New Roman" w:hint="eastAsia"/>
                      <w:bCs/>
                      <w:color w:val="auto"/>
                      <w:kern w:val="0"/>
                      <w:sz w:val="21"/>
                      <w:szCs w:val="21"/>
                      <w:lang w:eastAsia="zh-CN"/>
                      <w:highlight w:val="none"/>
                    </w:rPr>
                    <w:t>（</w:t>
                  </w:r>
                  <w:r>
                    <w:rPr>
                      <w:rFonts w:ascii="Times New Roman" w:eastAsia="宋体" w:cs="Times New Roman" w:hAnsi="Times New Roman"/>
                      <w:bCs/>
                      <w:color w:val="auto"/>
                      <w:kern w:val="0"/>
                      <w:sz w:val="21"/>
                      <w:szCs w:val="21"/>
                      <w:highlight w:val="none"/>
                    </w:rPr>
                    <w:t>m</w:t>
                  </w:r>
                  <w:r>
                    <w:rPr>
                      <w:rFonts w:cs="Times New Roman" w:hint="eastAsia"/>
                      <w:bCs/>
                      <w:color w:val="auto"/>
                      <w:kern w:val="0"/>
                      <w:sz w:val="21"/>
                      <w:szCs w:val="21"/>
                      <w:lang w:eastAsia="zh-CN"/>
                      <w:highlight w:val="none"/>
                    </w:rPr>
                    <w:t>）</w:t>
                  </w:r>
                </w:p>
              </w:tc>
              <w:tc>
                <w:tcPr>
                  <w:tcW w:w="477"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ascii="Times New Roman" w:eastAsia="宋体" w:cs="Times New Roman" w:hAnsi="Times New Roman"/>
                      <w:bCs/>
                      <w:color w:val="auto"/>
                      <w:kern w:val="0"/>
                      <w:sz w:val="21"/>
                      <w:szCs w:val="21"/>
                      <w:highlight w:val="none"/>
                    </w:rPr>
                    <w:t>出口内径</w:t>
                  </w:r>
                  <w:r>
                    <w:rPr>
                      <w:rFonts w:cs="Times New Roman" w:hint="eastAsia"/>
                      <w:bCs/>
                      <w:color w:val="auto"/>
                      <w:kern w:val="0"/>
                      <w:sz w:val="21"/>
                      <w:szCs w:val="21"/>
                      <w:lang w:eastAsia="zh-CN"/>
                      <w:highlight w:val="none"/>
                    </w:rPr>
                    <w:t>（</w:t>
                  </w:r>
                  <w:r>
                    <w:rPr>
                      <w:rFonts w:cs="Times New Roman" w:hint="eastAsia"/>
                      <w:bCs/>
                      <w:color w:val="auto"/>
                      <w:kern w:val="0"/>
                      <w:sz w:val="21"/>
                      <w:szCs w:val="21"/>
                      <w:lang w:val="en-US" w:eastAsia="zh-CN"/>
                      <w:highlight w:val="none"/>
                    </w:rPr>
                    <w:t>m</w:t>
                  </w:r>
                  <w:r>
                    <w:rPr>
                      <w:rFonts w:cs="Times New Roman" w:hint="eastAsia"/>
                      <w:bCs/>
                      <w:color w:val="auto"/>
                      <w:kern w:val="0"/>
                      <w:sz w:val="21"/>
                      <w:szCs w:val="21"/>
                      <w:lang w:eastAsia="zh-CN"/>
                      <w:highlight w:val="none"/>
                    </w:rPr>
                    <w:t>）</w:t>
                  </w:r>
                </w:p>
              </w:tc>
              <w:tc>
                <w:tcPr>
                  <w:tcW w:w="524"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eastAsia="zh-CN"/>
                      <w:highlight w:val="none"/>
                    </w:rPr>
                  </w:pPr>
                  <w:r>
                    <w:rPr>
                      <w:rFonts w:ascii="Times New Roman" w:eastAsia="宋体" w:cs="Times New Roman" w:hAnsi="Times New Roman"/>
                      <w:bCs/>
                      <w:color w:val="auto"/>
                      <w:kern w:val="0"/>
                      <w:sz w:val="21"/>
                      <w:szCs w:val="21"/>
                      <w:highlight w:val="none"/>
                    </w:rPr>
                    <w:t>烟气温度</w:t>
                  </w:r>
                  <w:r>
                    <w:rPr>
                      <w:rFonts w:cs="Times New Roman" w:hint="eastAsia"/>
                      <w:bCs/>
                      <w:color w:val="auto"/>
                      <w:kern w:val="0"/>
                      <w:sz w:val="21"/>
                      <w:szCs w:val="21"/>
                      <w:lang w:eastAsia="zh-CN"/>
                      <w:highlight w:val="none"/>
                    </w:rPr>
                    <w:t>（℃）</w:t>
                  </w:r>
                </w:p>
              </w:tc>
              <w:tc>
                <w:tcPr>
                  <w:tcW w:w="106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备注</w:t>
                  </w:r>
                </w:p>
              </w:tc>
            </w:tr>
            <w:tr>
              <w:trPr>
                <w:trHeight w:val="1467"/>
              </w:trPr>
              <w:tc>
                <w:tcPr>
                  <w:tcW w:w="375"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DA001</w:t>
                  </w:r>
                </w:p>
              </w:tc>
              <w:tc>
                <w:tcPr>
                  <w:tcW w:w="62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一般排放口</w:t>
                  </w:r>
                </w:p>
              </w:tc>
              <w:tc>
                <w:tcPr>
                  <w:tcW w:w="37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硫酸雾</w:t>
                  </w:r>
                </w:p>
              </w:tc>
              <w:tc>
                <w:tcPr>
                  <w:tcW w:w="1020"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E：</w:t>
                  </w:r>
                  <w:r>
                    <w:rPr>
                      <w:rFonts w:cs="Times New Roman" w:hint="eastAsia"/>
                      <w:bCs/>
                      <w:color w:val="auto"/>
                      <w:kern w:val="0"/>
                      <w:sz w:val="21"/>
                      <w:szCs w:val="21"/>
                      <w:lang w:val="en-US" w:eastAsia="zh-CN"/>
                      <w:highlight w:val="none"/>
                    </w:rPr>
                    <w:t>114</w:t>
                  </w:r>
                  <w:r>
                    <w:rPr>
                      <w:rFonts w:ascii="Times New Roman" w:eastAsia="宋体" w:cs="Times New Roman" w:hAnsi="Times New Roman"/>
                      <w:bCs/>
                      <w:color w:val="auto"/>
                      <w:kern w:val="0"/>
                      <w:sz w:val="21"/>
                      <w:szCs w:val="21"/>
                      <w:highlight w:val="none"/>
                    </w:rPr>
                    <w:t xml:space="preserve"> °</w:t>
                  </w:r>
                  <w:r>
                    <w:rPr>
                      <w:rFonts w:cs="Times New Roman" w:hint="eastAsia"/>
                      <w:bCs/>
                      <w:color w:val="auto"/>
                      <w:kern w:val="0"/>
                      <w:sz w:val="21"/>
                      <w:szCs w:val="21"/>
                      <w:lang w:val="en-US" w:eastAsia="zh-CN"/>
                      <w:highlight w:val="none"/>
                    </w:rPr>
                    <w:t>31</w:t>
                  </w:r>
                  <w:r>
                    <w:rPr>
                      <w:rFonts w:ascii="Times New Roman" w:eastAsia="宋体" w:cs="Times New Roman" w:hAnsi="Times New Roman"/>
                      <w:bCs/>
                      <w:color w:val="auto"/>
                      <w:kern w:val="0"/>
                      <w:sz w:val="21"/>
                      <w:szCs w:val="21"/>
                      <w:highlight w:val="none"/>
                    </w:rPr>
                    <w:t>′</w:t>
                  </w:r>
                  <w:r>
                    <w:rPr>
                      <w:rFonts w:cs="Times New Roman" w:hint="eastAsia"/>
                      <w:bCs/>
                      <w:color w:val="auto"/>
                      <w:kern w:val="0"/>
                      <w:sz w:val="21"/>
                      <w:szCs w:val="21"/>
                      <w:lang w:val="en-US" w:eastAsia="zh-CN"/>
                      <w:highlight w:val="none"/>
                    </w:rPr>
                    <w:t>34.643</w:t>
                  </w:r>
                  <w:r>
                    <w:rPr>
                      <w:rFonts w:ascii="Times New Roman" w:eastAsia="宋体" w:cs="Times New Roman" w:hAnsi="Times New Roman"/>
                      <w:bCs/>
                      <w:color w:val="auto"/>
                      <w:kern w:val="0"/>
                      <w:sz w:val="21"/>
                      <w:szCs w:val="21"/>
                      <w:highlight w:val="none"/>
                    </w:rPr>
                    <w:t>"</w:t>
                  </w:r>
                </w:p>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N：</w:t>
                  </w:r>
                  <w:r>
                    <w:rPr>
                      <w:rFonts w:cs="Times New Roman" w:hint="eastAsia"/>
                      <w:bCs/>
                      <w:color w:val="auto"/>
                      <w:kern w:val="0"/>
                      <w:sz w:val="21"/>
                      <w:szCs w:val="21"/>
                      <w:lang w:val="en-US" w:eastAsia="zh-CN"/>
                      <w:highlight w:val="none"/>
                    </w:rPr>
                    <w:t>37</w:t>
                  </w:r>
                  <w:r>
                    <w:rPr>
                      <w:rFonts w:ascii="Times New Roman" w:eastAsia="宋体" w:cs="Times New Roman" w:hAnsi="Times New Roman"/>
                      <w:bCs/>
                      <w:color w:val="auto"/>
                      <w:kern w:val="0"/>
                      <w:sz w:val="21"/>
                      <w:szCs w:val="21"/>
                      <w:highlight w:val="none"/>
                    </w:rPr>
                    <w:t xml:space="preserve"> °</w:t>
                  </w:r>
                  <w:r>
                    <w:rPr>
                      <w:rFonts w:cs="Times New Roman" w:hint="eastAsia"/>
                      <w:bCs/>
                      <w:color w:val="auto"/>
                      <w:kern w:val="0"/>
                      <w:sz w:val="21"/>
                      <w:szCs w:val="21"/>
                      <w:lang w:val="en-US" w:eastAsia="zh-CN"/>
                      <w:highlight w:val="none"/>
                    </w:rPr>
                    <w:t>54</w:t>
                  </w:r>
                  <w:r>
                    <w:rPr>
                      <w:rFonts w:ascii="Times New Roman" w:eastAsia="宋体" w:cs="Times New Roman" w:hAnsi="Times New Roman"/>
                      <w:bCs/>
                      <w:color w:val="auto"/>
                      <w:kern w:val="0"/>
                      <w:sz w:val="21"/>
                      <w:szCs w:val="21"/>
                      <w:highlight w:val="none"/>
                    </w:rPr>
                    <w:t xml:space="preserve"> ′5</w:t>
                  </w:r>
                  <w:r>
                    <w:rPr>
                      <w:rFonts w:cs="Times New Roman" w:hint="eastAsia"/>
                      <w:bCs/>
                      <w:color w:val="auto"/>
                      <w:kern w:val="0"/>
                      <w:sz w:val="21"/>
                      <w:szCs w:val="21"/>
                      <w:lang w:val="en-US" w:eastAsia="zh-CN"/>
                      <w:highlight w:val="none"/>
                    </w:rPr>
                    <w:t>2.687</w:t>
                  </w:r>
                  <w:r>
                    <w:rPr>
                      <w:rFonts w:ascii="Times New Roman" w:eastAsia="宋体" w:cs="Times New Roman" w:hAnsi="Times New Roman"/>
                      <w:bCs/>
                      <w:color w:val="auto"/>
                      <w:kern w:val="0"/>
                      <w:sz w:val="21"/>
                      <w:szCs w:val="21"/>
                      <w:highlight w:val="none"/>
                    </w:rPr>
                    <w:t>"</w:t>
                  </w:r>
                </w:p>
              </w:tc>
              <w:tc>
                <w:tcPr>
                  <w:tcW w:w="531"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lang w:val="en-US" w:eastAsia="zh-CN"/>
                      <w:highlight w:val="none"/>
                    </w:rPr>
                  </w:pPr>
                  <w:r>
                    <w:rPr>
                      <w:rFonts w:cs="Times New Roman" w:hint="eastAsia"/>
                      <w:bCs/>
                      <w:color w:val="auto"/>
                      <w:kern w:val="0"/>
                      <w:sz w:val="21"/>
                      <w:szCs w:val="21"/>
                      <w:lang w:val="en-US" w:eastAsia="zh-CN"/>
                      <w:highlight w:val="none"/>
                    </w:rPr>
                    <w:t>15</w:t>
                  </w:r>
                </w:p>
              </w:tc>
              <w:tc>
                <w:tcPr>
                  <w:tcW w:w="477" w:type="pct"/>
                  <w:tcBorders>
                    <w:tl2br w:val="nil"/>
                    <w:tr2bl w:val="nil"/>
                  </w:tcBorders>
                  <w:vAlign w:val="center"/>
                </w:tcPr>
                <w:p>
                  <w:pPr>
                    <w:widowControl/>
                    <w:adjustRightInd w:val="0"/>
                    <w:snapToGrid w:val="0"/>
                    <w:jc w:val="center"/>
                    <w:rPr>
                      <w:rFonts w:ascii="Times New Roman" w:eastAsia="宋体" w:cs="Times New Roman" w:hAnsi="Times New Roman" w:hint="eastAsia"/>
                      <w:bCs/>
                      <w:color w:val="auto"/>
                      <w:kern w:val="0"/>
                      <w:sz w:val="21"/>
                      <w:szCs w:val="21"/>
                      <w:lang w:val="en-US" w:eastAsia="zh-CN"/>
                      <w:highlight w:val="none"/>
                    </w:rPr>
                  </w:pPr>
                  <w:r>
                    <w:rPr>
                      <w:rFonts w:ascii="Times New Roman" w:eastAsia="宋体" w:cs="Times New Roman" w:hAnsi="Times New Roman"/>
                      <w:bCs/>
                      <w:color w:val="auto"/>
                      <w:kern w:val="0"/>
                      <w:sz w:val="21"/>
                      <w:szCs w:val="21"/>
                      <w:highlight w:val="none"/>
                    </w:rPr>
                    <w:t>0.</w:t>
                  </w:r>
                  <w:r>
                    <w:rPr>
                      <w:rFonts w:cs="Times New Roman" w:hint="eastAsia"/>
                      <w:bCs/>
                      <w:color w:val="auto"/>
                      <w:kern w:val="0"/>
                      <w:sz w:val="21"/>
                      <w:szCs w:val="21"/>
                      <w:lang w:val="en-US" w:eastAsia="zh-CN"/>
                      <w:highlight w:val="none"/>
                    </w:rPr>
                    <w:t>3</w:t>
                  </w:r>
                </w:p>
              </w:tc>
              <w:tc>
                <w:tcPr>
                  <w:tcW w:w="524"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常温</w:t>
                  </w:r>
                </w:p>
              </w:tc>
              <w:tc>
                <w:tcPr>
                  <w:tcW w:w="1066" w:type="pct"/>
                  <w:tcBorders>
                    <w:tl2br w:val="nil"/>
                    <w:tr2bl w:val="nil"/>
                  </w:tcBorders>
                  <w:vAlign w:val="center"/>
                </w:tcPr>
                <w:p>
                  <w:pPr>
                    <w:widowControl/>
                    <w:adjustRightInd w:val="0"/>
                    <w:snapToGrid w:val="0"/>
                    <w:jc w:val="center"/>
                    <w:rPr>
                      <w:rFonts w:ascii="Times New Roman" w:eastAsia="宋体" w:cs="Times New Roman" w:hAnsi="Times New Roman"/>
                      <w:bCs/>
                      <w:color w:val="auto"/>
                      <w:kern w:val="0"/>
                      <w:sz w:val="21"/>
                      <w:szCs w:val="21"/>
                      <w:highlight w:val="none"/>
                    </w:rPr>
                  </w:pPr>
                  <w:r>
                    <w:rPr>
                      <w:rFonts w:ascii="Times New Roman" w:eastAsia="宋体" w:cs="Times New Roman" w:hAnsi="Times New Roman"/>
                      <w:bCs/>
                      <w:color w:val="auto"/>
                      <w:kern w:val="0"/>
                      <w:sz w:val="21"/>
                      <w:szCs w:val="21"/>
                      <w:highlight w:val="none"/>
                    </w:rPr>
                    <w:t>排气筒高度</w:t>
                  </w:r>
                  <w:r>
                    <w:rPr>
                      <w:rFonts w:cs="Times New Roman" w:hint="eastAsia"/>
                      <w:bCs/>
                      <w:color w:val="auto"/>
                      <w:kern w:val="0"/>
                      <w:sz w:val="21"/>
                      <w:szCs w:val="21"/>
                      <w:lang w:eastAsia="zh-CN"/>
                      <w:highlight w:val="none"/>
                    </w:rPr>
                    <w:t>不</w:t>
                  </w:r>
                  <w:r>
                    <w:rPr>
                      <w:rFonts w:ascii="Times New Roman" w:eastAsia="宋体" w:cs="Times New Roman" w:hAnsi="Times New Roman"/>
                      <w:bCs/>
                      <w:color w:val="auto"/>
                      <w:kern w:val="0"/>
                      <w:sz w:val="21"/>
                      <w:szCs w:val="21"/>
                      <w:highlight w:val="none"/>
                    </w:rPr>
                    <w:t>满足</w:t>
                  </w:r>
                  <w:r>
                    <w:rPr>
                      <w:rFonts w:cs="Times New Roman" w:hint="eastAsia"/>
                      <w:bCs/>
                      <w:color w:val="auto"/>
                      <w:kern w:val="0"/>
                      <w:sz w:val="21"/>
                      <w:szCs w:val="21"/>
                      <w:lang w:eastAsia="zh-CN"/>
                      <w:highlight w:val="none"/>
                    </w:rPr>
                    <w:t>“</w:t>
                  </w:r>
                  <w:r>
                    <w:rPr>
                      <w:rFonts w:ascii="宋体" w:eastAsia="宋体" w:cs="宋体" w:hAnsi="宋体" w:hint="eastAsia"/>
                      <w:color w:val="auto"/>
                      <w:spacing w:val="0"/>
                      <w:position w:val="0"/>
                      <w:sz w:val="19"/>
                      <w:szCs w:val="19"/>
                    </w:rPr>
                    <w:t>高出周围</w:t>
                  </w:r>
                  <w:r>
                    <w:rPr>
                      <w:rFonts w:ascii="Times New Roman" w:cs="Times New Roman" w:hAnsi="Times New Roman"/>
                      <w:color w:val="auto"/>
                      <w:spacing w:val="0"/>
                      <w:position w:val="0"/>
                      <w:sz w:val="19"/>
                      <w:szCs w:val="19"/>
                    </w:rPr>
                    <w:t>200 m</w:t>
                  </w:r>
                  <w:r>
                    <w:rPr>
                      <w:rFonts w:ascii="宋体" w:eastAsia="宋体" w:cs="宋体" w:hAnsi="宋体" w:hint="eastAsia"/>
                      <w:color w:val="auto"/>
                      <w:spacing w:val="0"/>
                      <w:position w:val="0"/>
                      <w:sz w:val="19"/>
                      <w:szCs w:val="19"/>
                    </w:rPr>
                    <w:t>半径范围的建筑</w:t>
                  </w:r>
                  <w:r>
                    <w:rPr>
                      <w:rFonts w:ascii="Times New Roman" w:cs="Times New Roman" w:hAnsi="Times New Roman"/>
                      <w:color w:val="auto"/>
                      <w:spacing w:val="0"/>
                      <w:position w:val="0"/>
                      <w:sz w:val="19"/>
                      <w:szCs w:val="19"/>
                    </w:rPr>
                    <w:t>5 m</w:t>
                  </w:r>
                  <w:r>
                    <w:rPr>
                      <w:rFonts w:ascii="宋体" w:eastAsia="宋体" w:cs="宋体" w:hAnsi="宋体" w:hint="eastAsia"/>
                      <w:color w:val="auto"/>
                      <w:spacing w:val="0"/>
                      <w:position w:val="0"/>
                      <w:sz w:val="19"/>
                      <w:szCs w:val="19"/>
                    </w:rPr>
                    <w:t>以上</w:t>
                  </w:r>
                  <w:r>
                    <w:rPr>
                      <w:rFonts w:cs="Times New Roman" w:hint="eastAsia"/>
                      <w:bCs/>
                      <w:color w:val="auto"/>
                      <w:kern w:val="0"/>
                      <w:sz w:val="21"/>
                      <w:szCs w:val="21"/>
                      <w:lang w:eastAsia="zh-CN"/>
                      <w:highlight w:val="none"/>
                    </w:rPr>
                    <w:t>”，排放速率执行标准需严格</w:t>
                  </w:r>
                  <w:r>
                    <w:rPr>
                      <w:rFonts w:cs="Times New Roman" w:hint="eastAsia"/>
                      <w:bCs/>
                      <w:color w:val="auto"/>
                      <w:kern w:val="0"/>
                      <w:sz w:val="21"/>
                      <w:szCs w:val="21"/>
                      <w:lang w:val="en-US" w:eastAsia="zh-CN"/>
                      <w:highlight w:val="none"/>
                    </w:rPr>
                    <w:t>50%</w:t>
                  </w:r>
                  <w:r>
                    <w:rPr>
                      <w:rFonts w:ascii="Times New Roman" w:eastAsia="宋体" w:cs="Times New Roman" w:hAnsi="Times New Roman"/>
                      <w:bCs/>
                      <w:color w:val="auto"/>
                      <w:kern w:val="0"/>
                      <w:sz w:val="21"/>
                      <w:szCs w:val="21"/>
                      <w:highlight w:val="none"/>
                    </w:rPr>
                    <w:t>。</w:t>
                  </w:r>
                </w:p>
              </w:tc>
            </w:tr>
          </w:tbl>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w:t>
            </w:r>
            <w:r>
              <w:rPr>
                <w:rFonts w:hint="eastAsia"/>
                <w:color w:val="auto"/>
                <w:sz w:val="24"/>
                <w:lang w:val="en-US" w:eastAsia="zh-CN"/>
                <w:highlight w:val="none"/>
              </w:rPr>
              <w:t>3</w:t>
            </w:r>
            <w:r>
              <w:rPr>
                <w:rFonts w:hint="eastAsia"/>
                <w:color w:val="auto"/>
                <w:sz w:val="24"/>
                <w:highlight w:val="none"/>
              </w:rPr>
              <w:t>）监测要求</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ascii="Times New Roman" w:eastAsia="宋体" w:cs="Times New Roman" w:hAnsi="Times New Roman" w:hint="eastAsia"/>
                <w:b w:val="0"/>
                <w:bCs/>
                <w:color w:val="auto"/>
                <w:sz w:val="24"/>
                <w:lang w:val="en-US" w:eastAsia="zh-CN"/>
                <w:highlight w:val="none"/>
              </w:rPr>
              <w:t>参照《排污单位自行监测技术指南 总则》（HJ 819-2017）、《排污许可证申请与核发技术规范 总则》（HJ942-2018）、《排污单位自行监测技术指南 工业固体废物和危险废物治理》（HJ1250-2022）要求，</w:t>
            </w:r>
            <w:r>
              <w:rPr>
                <w:rFonts w:hint="eastAsia"/>
                <w:color w:val="auto"/>
                <w:sz w:val="24"/>
                <w:highlight w:val="none"/>
              </w:rPr>
              <w:t>项目废气监测要求见下表。</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表4-</w:t>
            </w:r>
            <w:r>
              <w:rPr>
                <w:rFonts w:cs="Times New Roman" w:hint="eastAsia"/>
                <w:b/>
                <w:bCs w:val="0"/>
                <w:color w:val="auto"/>
                <w:kern w:val="0"/>
                <w:sz w:val="24"/>
                <w:szCs w:val="22"/>
                <w:lang w:val="en-US" w:eastAsia="zh-CN"/>
                <w:highlight w:val="none"/>
              </w:rPr>
              <w:t>3</w:t>
            </w:r>
            <w:r>
              <w:rPr>
                <w:rFonts w:ascii="Times New Roman" w:eastAsia="宋体" w:cs="Times New Roman" w:hAnsi="Times New Roman" w:hint="eastAsia"/>
                <w:b/>
                <w:bCs w:val="0"/>
                <w:color w:val="auto"/>
                <w:kern w:val="0"/>
                <w:sz w:val="24"/>
                <w:szCs w:val="22"/>
                <w:lang w:eastAsia="zh-CN"/>
                <w:highlight w:val="none"/>
              </w:rPr>
              <w:t xml:space="preserve">   废气监测要求一览表</w:t>
            </w:r>
          </w:p>
          <w:tbl>
            <w:tblPr>
              <w:jc w:val="center"/>
              <w:tblW w:w="4996"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114"/>
              <w:gridCol w:w="1701"/>
              <w:gridCol w:w="1485"/>
              <w:gridCol w:w="4621"/>
            </w:tblGrid>
            <w:tr>
              <w:trPr>
                <w:trHeight w:val="397"/>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监测点位</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监测指标</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监测频次</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执行排放标准</w:t>
                  </w:r>
                </w:p>
              </w:tc>
            </w:tr>
            <w:tr>
              <w:trPr>
                <w:trHeight w:val="244"/>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DA001 排气筒</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硫酸雾</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w:t>
                  </w:r>
                  <w:r>
                    <w:rPr>
                      <w:rFonts w:cs="Times New Roman" w:hint="eastAsia"/>
                      <w:bCs/>
                      <w:color w:val="auto"/>
                      <w:kern w:val="0"/>
                      <w:sz w:val="21"/>
                      <w:szCs w:val="21"/>
                      <w:lang w:val="en-US" w:eastAsia="zh-CN" w:bidi="ar-SA"/>
                      <w:highlight w:val="none"/>
                    </w:rPr>
                    <w:t>半</w:t>
                  </w:r>
                  <w:r>
                    <w:rPr>
                      <w:rFonts w:ascii="Times New Roman" w:eastAsia="宋体" w:cs="Times New Roman" w:hAnsi="Times New Roman" w:hint="eastAsia"/>
                      <w:bCs/>
                      <w:color w:val="auto"/>
                      <w:kern w:val="0"/>
                      <w:sz w:val="21"/>
                      <w:szCs w:val="21"/>
                      <w:lang w:val="en-US" w:eastAsia="zh-CN" w:bidi="ar-SA"/>
                      <w:highlight w:val="none"/>
                    </w:rPr>
                    <w:t>年</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《大气污染物综合排放标准》</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（GB16297- 1996）表2新</w:t>
                  </w:r>
                  <w:r>
                    <w:rPr>
                      <w:rFonts w:cs="Times New Roman" w:hint="eastAsia"/>
                      <w:bCs/>
                      <w:color w:val="auto"/>
                      <w:kern w:val="0"/>
                      <w:sz w:val="21"/>
                      <w:szCs w:val="21"/>
                      <w:lang w:val="zh-CN" w:eastAsia="zh-CN" w:bidi="ar-SA"/>
                      <w:highlight w:val="none"/>
                    </w:rPr>
                    <w:t>污染源</w:t>
                  </w:r>
                  <w:r>
                    <w:rPr>
                      <w:rFonts w:ascii="Times New Roman" w:eastAsia="宋体" w:cs="Times New Roman" w:hAnsi="Times New Roman"/>
                      <w:bCs/>
                      <w:color w:val="auto"/>
                      <w:kern w:val="0"/>
                      <w:sz w:val="21"/>
                      <w:szCs w:val="21"/>
                      <w:lang w:val="zh-CN" w:eastAsia="zh-CN" w:bidi="ar-SA"/>
                      <w:highlight w:val="none"/>
                    </w:rPr>
                    <w:t>大气污染物排放限值（45mg/m</w:t>
                  </w:r>
                  <w:r>
                    <w:rPr>
                      <w:rFonts w:ascii="Times New Roman" w:eastAsia="宋体" w:cs="Times New Roman" w:hAnsi="Times New Roman"/>
                      <w:bCs/>
                      <w:color w:val="auto"/>
                      <w:kern w:val="0"/>
                      <w:sz w:val="21"/>
                      <w:szCs w:val="21"/>
                      <w:vertAlign w:val="superscript"/>
                      <w:lang w:val="zh-CN" w:eastAsia="zh-CN" w:bidi="ar-SA"/>
                      <w:highlight w:val="none"/>
                    </w:rPr>
                    <w:t>3</w:t>
                  </w:r>
                  <w:r>
                    <w:rPr>
                      <w:rFonts w:ascii="Times New Roman" w:eastAsia="宋体" w:cs="Times New Roman" w:hAnsi="Times New Roman"/>
                      <w:bCs/>
                      <w:color w:val="auto"/>
                      <w:kern w:val="0"/>
                      <w:sz w:val="21"/>
                      <w:szCs w:val="21"/>
                      <w:lang w:val="zh-CN" w:eastAsia="zh-CN" w:bidi="ar-SA"/>
                      <w:highlight w:val="none"/>
                    </w:rPr>
                    <w:t>、0.75kg/h）</w:t>
                  </w:r>
                  <w:r>
                    <w:rPr>
                      <w:rFonts w:cs="Times New Roman" w:hint="eastAsia"/>
                      <w:bCs/>
                      <w:color w:val="auto"/>
                      <w:kern w:val="0"/>
                      <w:sz w:val="21"/>
                      <w:szCs w:val="21"/>
                      <w:lang w:val="zh-CN" w:eastAsia="zh-CN" w:bidi="ar-SA"/>
                      <w:highlight w:val="none"/>
                    </w:rPr>
                    <w:t>；浓度同时参考</w:t>
                  </w:r>
                  <w:r>
                    <w:rPr>
                      <w:rFonts w:hint="eastAsia"/>
                      <w:color w:val="auto"/>
                    </w:rPr>
                    <w:t>《电池工业污染物排放标准》（GB 30484-2013）</w:t>
                  </w:r>
                  <w:r>
                    <w:rPr>
                      <w:rFonts w:hint="eastAsia"/>
                      <w:color w:val="auto"/>
                      <w:lang w:eastAsia="zh-CN"/>
                    </w:rPr>
                    <w:t>（</w:t>
                  </w:r>
                  <w:r>
                    <w:rPr>
                      <w:rFonts w:ascii="Times New Roman" w:eastAsia="宋体" w:cs="Times New Roman" w:hAnsi="Times New Roman"/>
                      <w:bCs/>
                      <w:color w:val="auto"/>
                      <w:kern w:val="0"/>
                      <w:sz w:val="21"/>
                      <w:szCs w:val="21"/>
                      <w:lang w:val="zh-CN" w:eastAsia="zh-CN" w:bidi="ar-SA"/>
                      <w:highlight w:val="none"/>
                    </w:rPr>
                    <w:t>5mg/m</w:t>
                  </w:r>
                  <w:r>
                    <w:rPr>
                      <w:rFonts w:ascii="Times New Roman" w:eastAsia="宋体" w:cs="Times New Roman" w:hAnsi="Times New Roman"/>
                      <w:bCs/>
                      <w:color w:val="auto"/>
                      <w:kern w:val="0"/>
                      <w:sz w:val="21"/>
                      <w:szCs w:val="21"/>
                      <w:vertAlign w:val="superscript"/>
                      <w:lang w:val="zh-CN" w:eastAsia="zh-CN" w:bidi="ar-SA"/>
                      <w:highlight w:val="none"/>
                    </w:rPr>
                    <w:t>3</w:t>
                  </w:r>
                  <w:r>
                    <w:rPr>
                      <w:rFonts w:hint="eastAsia"/>
                      <w:color w:val="auto"/>
                      <w:lang w:eastAsia="zh-CN"/>
                    </w:rPr>
                    <w:t>）</w:t>
                  </w:r>
                </w:p>
              </w:tc>
            </w:tr>
            <w:tr>
              <w:trPr>
                <w:trHeight w:val="552"/>
              </w:trPr>
              <w:tc>
                <w:tcPr>
                  <w:tcW w:w="624"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厂界</w:t>
                  </w:r>
                </w:p>
              </w:tc>
              <w:tc>
                <w:tcPr>
                  <w:tcW w:w="953"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硫酸雾</w:t>
                  </w:r>
                </w:p>
              </w:tc>
              <w:tc>
                <w:tcPr>
                  <w:tcW w:w="832"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w:t>
                  </w:r>
                  <w:r>
                    <w:rPr>
                      <w:rFonts w:cs="Times New Roman" w:hint="eastAsia"/>
                      <w:bCs/>
                      <w:color w:val="auto"/>
                      <w:kern w:val="0"/>
                      <w:sz w:val="21"/>
                      <w:szCs w:val="21"/>
                      <w:lang w:val="en-US" w:eastAsia="zh-CN" w:bidi="ar-SA"/>
                      <w:highlight w:val="none"/>
                    </w:rPr>
                    <w:t>半</w:t>
                  </w:r>
                  <w:r>
                    <w:rPr>
                      <w:rFonts w:ascii="Times New Roman" w:eastAsia="宋体" w:cs="Times New Roman" w:hAnsi="Times New Roman" w:hint="eastAsia"/>
                      <w:bCs/>
                      <w:color w:val="auto"/>
                      <w:kern w:val="0"/>
                      <w:sz w:val="21"/>
                      <w:szCs w:val="21"/>
                      <w:lang w:val="en-US" w:eastAsia="zh-CN" w:bidi="ar-SA"/>
                      <w:highlight w:val="none"/>
                    </w:rPr>
                    <w:t>年</w:t>
                  </w:r>
                </w:p>
              </w:tc>
              <w:tc>
                <w:tcPr>
                  <w:tcW w:w="2589" w:type="pct"/>
                  <w:tcBorders>
                    <w:tl2br w:val="nil"/>
                    <w:tr2bl w:val="nil"/>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《大气污染物综合排放标准》</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auto"/>
                      <w:kern w:val="0"/>
                      <w:sz w:val="21"/>
                      <w:szCs w:val="21"/>
                      <w:lang w:val="zh-CN" w:eastAsia="zh-CN" w:bidi="ar-SA"/>
                      <w:highlight w:val="none"/>
                    </w:rPr>
                  </w:pPr>
                  <w:r>
                    <w:rPr>
                      <w:rFonts w:ascii="Times New Roman" w:eastAsia="宋体" w:cs="Times New Roman" w:hAnsi="Times New Roman"/>
                      <w:bCs/>
                      <w:color w:val="auto"/>
                      <w:kern w:val="0"/>
                      <w:sz w:val="21"/>
                      <w:szCs w:val="21"/>
                      <w:lang w:val="zh-CN" w:eastAsia="zh-CN" w:bidi="ar-SA"/>
                      <w:highlight w:val="none"/>
                    </w:rPr>
                    <w:t>（GB16297- 1996）表2新</w:t>
                  </w:r>
                  <w:r>
                    <w:rPr>
                      <w:rFonts w:cs="Times New Roman" w:hint="eastAsia"/>
                      <w:bCs/>
                      <w:color w:val="auto"/>
                      <w:kern w:val="0"/>
                      <w:sz w:val="21"/>
                      <w:szCs w:val="21"/>
                      <w:lang w:val="zh-CN" w:eastAsia="zh-CN" w:bidi="ar-SA"/>
                      <w:highlight w:val="none"/>
                    </w:rPr>
                    <w:t>污染源</w:t>
                  </w:r>
                  <w:r>
                    <w:rPr>
                      <w:rFonts w:ascii="Times New Roman" w:eastAsia="宋体" w:cs="Times New Roman" w:hAnsi="Times New Roman"/>
                      <w:bCs/>
                      <w:color w:val="auto"/>
                      <w:kern w:val="0"/>
                      <w:sz w:val="21"/>
                      <w:szCs w:val="21"/>
                      <w:lang w:val="zh-CN" w:eastAsia="zh-CN" w:bidi="ar-SA"/>
                      <w:highlight w:val="none"/>
                    </w:rPr>
                    <w:t>大气污染物排放限值（</w:t>
                  </w:r>
                  <w:r>
                    <w:rPr>
                      <w:rFonts w:cs="Times New Roman" w:hint="eastAsia"/>
                      <w:bCs/>
                      <w:color w:val="auto"/>
                      <w:kern w:val="0"/>
                      <w:sz w:val="21"/>
                      <w:szCs w:val="21"/>
                      <w:lang w:val="en-US" w:eastAsia="zh-CN" w:bidi="ar-SA"/>
                      <w:highlight w:val="none"/>
                    </w:rPr>
                    <w:t>1.2</w:t>
                  </w:r>
                  <w:r>
                    <w:rPr>
                      <w:rFonts w:ascii="Times New Roman" w:eastAsia="宋体" w:cs="Times New Roman" w:hAnsi="Times New Roman"/>
                      <w:bCs/>
                      <w:color w:val="auto"/>
                      <w:kern w:val="0"/>
                      <w:sz w:val="21"/>
                      <w:szCs w:val="21"/>
                      <w:lang w:val="zh-CN" w:eastAsia="zh-CN" w:bidi="ar-SA"/>
                      <w:highlight w:val="none"/>
                    </w:rPr>
                    <w:t>mg/m</w:t>
                  </w:r>
                  <w:r>
                    <w:rPr>
                      <w:rFonts w:ascii="Times New Roman" w:eastAsia="宋体" w:cs="Times New Roman" w:hAnsi="Times New Roman"/>
                      <w:bCs/>
                      <w:color w:val="auto"/>
                      <w:kern w:val="0"/>
                      <w:sz w:val="21"/>
                      <w:szCs w:val="21"/>
                      <w:vertAlign w:val="superscript"/>
                      <w:lang w:val="zh-CN" w:eastAsia="zh-CN" w:bidi="ar-SA"/>
                      <w:highlight w:val="none"/>
                    </w:rPr>
                    <w:t>3</w:t>
                  </w:r>
                  <w:r>
                    <w:rPr>
                      <w:rFonts w:ascii="Times New Roman" w:eastAsia="宋体" w:cs="Times New Roman" w:hAnsi="Times New Roman"/>
                      <w:bCs/>
                      <w:color w:val="auto"/>
                      <w:kern w:val="0"/>
                      <w:sz w:val="21"/>
                      <w:szCs w:val="21"/>
                      <w:lang w:val="zh-CN" w:eastAsia="zh-CN" w:bidi="ar-SA"/>
                      <w:highlight w:val="none"/>
                    </w:rPr>
                    <w:t>）</w:t>
                  </w:r>
                  <w:r>
                    <w:rPr>
                      <w:rFonts w:cs="Times New Roman" w:hint="eastAsia"/>
                      <w:bCs/>
                      <w:color w:val="auto"/>
                      <w:kern w:val="0"/>
                      <w:sz w:val="21"/>
                      <w:szCs w:val="21"/>
                      <w:lang w:val="zh-CN" w:eastAsia="zh-CN" w:bidi="ar-SA"/>
                      <w:highlight w:val="none"/>
                    </w:rPr>
                    <w:t>；同时参考</w:t>
                  </w:r>
                  <w:r>
                    <w:rPr>
                      <w:rFonts w:hint="eastAsia"/>
                      <w:color w:val="auto"/>
                    </w:rPr>
                    <w:t>《电池工业污染物排放标准》（GB 30484-2013）</w:t>
                  </w:r>
                  <w:r>
                    <w:rPr>
                      <w:rFonts w:hint="eastAsia"/>
                      <w:color w:val="auto"/>
                      <w:lang w:eastAsia="zh-CN"/>
                    </w:rPr>
                    <w:t>（</w:t>
                  </w:r>
                  <w:r>
                    <w:rPr>
                      <w:rFonts w:cs="Times New Roman" w:hint="eastAsia"/>
                      <w:bCs/>
                      <w:color w:val="auto"/>
                      <w:kern w:val="0"/>
                      <w:sz w:val="21"/>
                      <w:szCs w:val="21"/>
                      <w:lang w:val="en-US" w:eastAsia="zh-CN" w:bidi="ar-SA"/>
                      <w:highlight w:val="none"/>
                    </w:rPr>
                    <w:t>0.3</w:t>
                  </w:r>
                  <w:r>
                    <w:rPr>
                      <w:rFonts w:ascii="Times New Roman" w:eastAsia="宋体" w:cs="Times New Roman" w:hAnsi="Times New Roman"/>
                      <w:bCs/>
                      <w:color w:val="auto"/>
                      <w:kern w:val="0"/>
                      <w:sz w:val="21"/>
                      <w:szCs w:val="21"/>
                      <w:lang w:val="zh-CN" w:eastAsia="zh-CN" w:bidi="ar-SA"/>
                      <w:highlight w:val="none"/>
                    </w:rPr>
                    <w:t>mg/m</w:t>
                  </w:r>
                  <w:r>
                    <w:rPr>
                      <w:rFonts w:ascii="Times New Roman" w:eastAsia="宋体" w:cs="Times New Roman" w:hAnsi="Times New Roman"/>
                      <w:bCs/>
                      <w:color w:val="auto"/>
                      <w:kern w:val="0"/>
                      <w:sz w:val="21"/>
                      <w:szCs w:val="21"/>
                      <w:vertAlign w:val="superscript"/>
                      <w:lang w:val="zh-CN" w:eastAsia="zh-CN" w:bidi="ar-SA"/>
                      <w:highlight w:val="none"/>
                    </w:rPr>
                    <w:t>3</w:t>
                  </w:r>
                  <w:r>
                    <w:rPr>
                      <w:rFonts w:hint="eastAsia"/>
                      <w:color w:val="auto"/>
                      <w:lang w:eastAsia="zh-CN"/>
                    </w:rPr>
                    <w:t>）</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kern w:val="0"/>
                <w:sz w:val="24"/>
                <w:highlight w:val="none"/>
              </w:rPr>
            </w:pPr>
            <w:r>
              <w:rPr>
                <w:rFonts w:ascii="Times New Roman" w:eastAsia="宋体" w:cs="Times New Roman" w:hAnsi="Times New Roman" w:hint="eastAsia"/>
                <w:color w:val="auto"/>
                <w:kern w:val="0"/>
                <w:sz w:val="24"/>
                <w:highlight w:val="none"/>
              </w:rPr>
              <w:t>（</w:t>
            </w:r>
            <w:r>
              <w:rPr>
                <w:rFonts w:cs="Times New Roman" w:hint="eastAsia"/>
                <w:color w:val="auto"/>
                <w:kern w:val="0"/>
                <w:sz w:val="24"/>
                <w:lang w:val="en-US" w:eastAsia="zh-CN"/>
                <w:highlight w:val="none"/>
              </w:rPr>
              <w:t>4</w:t>
            </w:r>
            <w:r>
              <w:rPr>
                <w:rFonts w:ascii="Times New Roman" w:eastAsia="宋体" w:cs="Times New Roman" w:hAnsi="Times New Roman" w:hint="eastAsia"/>
                <w:color w:val="auto"/>
                <w:kern w:val="0"/>
                <w:sz w:val="24"/>
                <w:highlight w:val="none"/>
              </w:rPr>
              <w:t>）废气污染</w:t>
            </w:r>
            <w:r>
              <w:rPr>
                <w:rFonts w:ascii="Times New Roman" w:eastAsia="宋体" w:cs="Times New Roman" w:hAnsi="Times New Roman" w:hint="eastAsia"/>
                <w:color w:val="auto"/>
                <w:kern w:val="0"/>
                <w:sz w:val="24"/>
                <w:lang w:val="en-US" w:eastAsia="zh-CN"/>
                <w:highlight w:val="none"/>
              </w:rPr>
              <w:t>治理</w:t>
            </w:r>
            <w:r>
              <w:rPr>
                <w:rFonts w:ascii="Times New Roman" w:eastAsia="宋体" w:cs="Times New Roman" w:hAnsi="Times New Roman" w:hint="eastAsia"/>
                <w:color w:val="auto"/>
                <w:kern w:val="0"/>
                <w:sz w:val="24"/>
                <w:highlight w:val="none"/>
              </w:rPr>
              <w:t>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本项目破损电池间为密闭空间并配设排风装置，废气经</w:t>
            </w:r>
            <w:r>
              <w:rPr>
                <w:rFonts w:hint="eastAsia"/>
                <w:color w:val="auto"/>
                <w:sz w:val="24"/>
                <w:lang w:eastAsia="zh-CN"/>
                <w:highlight w:val="none"/>
              </w:rPr>
              <w:t>碱液喷淋装置</w:t>
            </w:r>
            <w:r>
              <w:rPr>
                <w:rFonts w:hint="eastAsia"/>
                <w:color w:val="auto"/>
                <w:sz w:val="24"/>
                <w:highlight w:val="none"/>
              </w:rPr>
              <w:t>处理后通过</w:t>
            </w:r>
            <w:r>
              <w:rPr>
                <w:rFonts w:hint="eastAsia"/>
                <w:color w:val="auto"/>
                <w:sz w:val="24"/>
                <w:lang w:val="en-US" w:eastAsia="zh-CN"/>
                <w:highlight w:val="none"/>
              </w:rPr>
              <w:t>1</w:t>
            </w:r>
            <w:r>
              <w:rPr>
                <w:rFonts w:hint="eastAsia"/>
                <w:color w:val="auto"/>
                <w:sz w:val="24"/>
                <w:highlight w:val="none"/>
              </w:rPr>
              <w:t>5m高排气筒（DA001）排放，密闭空间集气效率为80%。</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本项目净化系统采用氢氧化钠溶液为吸收中和液来净化废气。硫酸雾废气由引风机引入净化塔，向上流动，与喷出的碱液接触反应，由排气筒排入大气。酸碱中和反应生成盐类，反应公式如下：</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t>H</w:t>
            </w:r>
            <w:r>
              <w:rPr>
                <w:rFonts w:hint="eastAsia"/>
                <w:color w:val="auto"/>
                <w:sz w:val="24"/>
                <w:vertAlign w:val="subscript"/>
                <w:highlight w:val="none"/>
              </w:rPr>
              <w:t>2</w:t>
            </w:r>
            <w:r>
              <w:rPr>
                <w:rFonts w:hint="eastAsia"/>
                <w:color w:val="auto"/>
                <w:sz w:val="24"/>
                <w:highlight w:val="none"/>
              </w:rPr>
              <w:t>S</w:t>
            </w:r>
            <w:r>
              <w:rPr>
                <w:rFonts w:hint="eastAsia"/>
                <w:color w:val="auto"/>
                <w:sz w:val="24"/>
                <w:lang w:val="en-US" w:eastAsia="zh-CN"/>
                <w:highlight w:val="none"/>
              </w:rPr>
              <w:t>O</w:t>
            </w:r>
            <w:r>
              <w:rPr>
                <w:rFonts w:hint="eastAsia"/>
                <w:color w:val="auto"/>
                <w:sz w:val="24"/>
                <w:vertAlign w:val="subscript"/>
                <w:highlight w:val="none"/>
              </w:rPr>
              <w:t>4</w:t>
            </w:r>
            <w:r>
              <w:rPr>
                <w:rFonts w:hint="eastAsia"/>
                <w:color w:val="auto"/>
                <w:sz w:val="24"/>
                <w:highlight w:val="none"/>
              </w:rPr>
              <w:t xml:space="preserve"> + 2Na</w:t>
            </w:r>
            <w:r>
              <w:rPr>
                <w:rFonts w:hint="eastAsia"/>
                <w:color w:val="auto"/>
                <w:sz w:val="24"/>
                <w:lang w:val="en-US" w:eastAsia="zh-CN"/>
                <w:highlight w:val="none"/>
              </w:rPr>
              <w:t>O</w:t>
            </w:r>
            <w:r>
              <w:rPr>
                <w:rFonts w:hint="eastAsia"/>
                <w:color w:val="auto"/>
                <w:sz w:val="24"/>
                <w:highlight w:val="none"/>
              </w:rPr>
              <w:t>H  →  Na</w:t>
            </w:r>
            <w:r>
              <w:rPr>
                <w:rFonts w:hint="eastAsia"/>
                <w:color w:val="auto"/>
                <w:sz w:val="24"/>
                <w:vertAlign w:val="subscript"/>
                <w:highlight w:val="none"/>
              </w:rPr>
              <w:t>2</w:t>
            </w:r>
            <w:r>
              <w:rPr>
                <w:rFonts w:hint="eastAsia"/>
                <w:color w:val="auto"/>
                <w:sz w:val="24"/>
                <w:highlight w:val="none"/>
              </w:rPr>
              <w:t>S</w:t>
            </w:r>
            <w:r>
              <w:rPr>
                <w:rFonts w:hint="eastAsia"/>
                <w:color w:val="auto"/>
                <w:sz w:val="24"/>
                <w:lang w:val="en-US" w:eastAsia="zh-CN"/>
                <w:highlight w:val="none"/>
              </w:rPr>
              <w:t>O</w:t>
            </w:r>
            <w:r>
              <w:rPr>
                <w:rFonts w:hint="eastAsia"/>
                <w:color w:val="auto"/>
                <w:sz w:val="24"/>
                <w:vertAlign w:val="subscript"/>
                <w:highlight w:val="none"/>
              </w:rPr>
              <w:t>4</w:t>
            </w:r>
            <w:r>
              <w:rPr>
                <w:rFonts w:hint="eastAsia"/>
                <w:color w:val="auto"/>
                <w:sz w:val="24"/>
                <w:highlight w:val="none"/>
              </w:rPr>
              <w:t xml:space="preserve"> + 2H</w:t>
            </w:r>
            <w:r>
              <w:rPr>
                <w:rFonts w:hint="eastAsia"/>
                <w:color w:val="auto"/>
                <w:sz w:val="24"/>
                <w:vertAlign w:val="subscript"/>
                <w:highlight w:val="none"/>
              </w:rPr>
              <w:t>2</w:t>
            </w:r>
            <w:r>
              <w:rPr>
                <w:rFonts w:hint="eastAsia"/>
                <w:color w:val="auto"/>
                <w:sz w:val="24"/>
                <w:lang w:val="en-US" w:eastAsia="zh-CN"/>
                <w:highlight w:val="none"/>
              </w:rPr>
              <w:t>O</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项目废气中的酸性废气被碱液吸收，碱液循环使用，定期更换。项目使用氢氧化钠溶液吸收净化硫酸雾，具有处理成本低，处理效率高、工艺成熟稳定等优点，维护成本较低。</w:t>
            </w:r>
            <w:r>
              <w:rPr>
                <w:rFonts w:hint="eastAsia"/>
                <w:color w:val="auto"/>
                <w:sz w:val="24"/>
                <w:lang w:eastAsia="zh-CN"/>
                <w:highlight w:val="none"/>
              </w:rPr>
              <w:t>属于《排污许可证申请与核发技术规范 总则》（HJ942-2018）《排污许可证申请与核发技术规范 工业固体废物和危险废物治理》（HJ 1033-2019）推荐的可行技术</w:t>
            </w:r>
            <w:r>
              <w:rPr>
                <w:rFonts w:hint="eastAsia"/>
                <w:color w:val="auto"/>
                <w:sz w:val="24"/>
                <w:highlight w:val="none"/>
              </w:rPr>
              <w:t>。</w:t>
            </w:r>
          </w:p>
          <w:p>
            <w:pPr>
              <w:spacing w:line="500" w:lineRule="exact"/>
              <w:ind w:firstLineChars="200" w:firstLine="480"/>
              <w:rPr>
                <w:rFonts w:hint="eastAsia"/>
                <w:color w:val="auto"/>
                <w:sz w:val="24"/>
                <w:highlight w:val="none"/>
              </w:rPr>
            </w:pPr>
            <w:r>
              <w:rPr>
                <w:rFonts w:hint="eastAsia"/>
                <w:color w:val="auto"/>
                <w:sz w:val="24"/>
                <w:highlight w:val="none"/>
              </w:rPr>
              <w:t>综上所述，在采取了</w:t>
            </w:r>
            <w:r>
              <w:rPr>
                <w:rFonts w:hint="eastAsia"/>
                <w:color w:val="auto"/>
                <w:sz w:val="24"/>
                <w:lang w:val="en-US" w:eastAsia="zh-CN"/>
                <w:highlight w:val="none"/>
              </w:rPr>
              <w:t>相应</w:t>
            </w:r>
            <w:r>
              <w:rPr>
                <w:rFonts w:hint="eastAsia"/>
                <w:color w:val="auto"/>
                <w:sz w:val="24"/>
                <w:highlight w:val="none"/>
              </w:rPr>
              <w:t>治理措施后，环境影响是可接受的。</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bCs/>
                <w:color w:val="auto"/>
                <w:kern w:val="0"/>
                <w:sz w:val="24"/>
                <w:highlight w:val="none"/>
              </w:rPr>
            </w:pPr>
            <w:r>
              <w:rPr>
                <w:rFonts w:hint="eastAsia"/>
                <w:b/>
                <w:bCs/>
                <w:color w:val="auto"/>
                <w:kern w:val="0"/>
                <w:sz w:val="24"/>
                <w:highlight w:val="none"/>
              </w:rPr>
              <w:t>2、废水</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color w:val="auto"/>
                <w:sz w:val="24"/>
                <w:highlight w:val="none"/>
              </w:rPr>
            </w:pPr>
            <w:r>
              <w:rPr>
                <w:rFonts w:hint="eastAsia"/>
                <w:color w:val="auto"/>
                <w:sz w:val="24"/>
                <w:lang w:eastAsia="zh-CN"/>
                <w:highlight w:val="none"/>
              </w:rPr>
              <w:t>（</w:t>
            </w:r>
            <w:r>
              <w:rPr>
                <w:rFonts w:hint="eastAsia"/>
                <w:color w:val="auto"/>
                <w:sz w:val="24"/>
                <w:lang w:val="en-US" w:eastAsia="zh-CN"/>
                <w:highlight w:val="none"/>
              </w:rPr>
              <w:t>1</w:t>
            </w:r>
            <w:r>
              <w:rPr>
                <w:rFonts w:hint="eastAsia"/>
                <w:color w:val="auto"/>
                <w:sz w:val="24"/>
                <w:lang w:eastAsia="zh-CN"/>
                <w:highlight w:val="none"/>
              </w:rPr>
              <w:t>）</w:t>
            </w:r>
            <w:r>
              <w:rPr>
                <w:rFonts w:hint="eastAsia"/>
                <w:color w:val="auto"/>
                <w:sz w:val="24"/>
                <w:highlight w:val="none"/>
              </w:rPr>
              <w:t>废水污染源源强及相关参数</w:t>
            </w:r>
          </w:p>
          <w:p>
            <w:pPr>
              <w:pStyle w:val="16"/>
              <w:keepNext w:val="0"/>
              <w:keepLines w:val="0"/>
              <w:pageBreakBefore w:val="0"/>
              <w:kinsoku/>
              <w:topLinePunct w:val="0"/>
              <w:autoSpaceDN/>
              <w:bidi w:val="0"/>
              <w:spacing w:line="460" w:lineRule="exact"/>
              <w:ind w:firstLineChars="200" w:firstLine="480"/>
              <w:outlineLvl w:val="9"/>
              <w:rPr>
                <w:rFonts w:ascii="Times New Roman" w:cs="Times New Roman" w:hAnsi="Times New Roman" w:hint="eastAsia"/>
                <w:color w:val="auto"/>
                <w:sz w:val="24"/>
                <w:lang w:val="en-US" w:eastAsia="zh-CN"/>
                <w:highlight w:val="none"/>
              </w:rPr>
            </w:pPr>
            <w:r>
              <w:rPr>
                <w:rFonts w:cs="Times New Roman" w:hint="eastAsia"/>
                <w:color w:val="auto"/>
                <w:kern w:val="0"/>
                <w:sz w:val="24"/>
                <w:lang w:eastAsia="zh-CN"/>
                <w:highlight w:val="none"/>
              </w:rPr>
              <w:t>本项目碱液喷淋装置碱液循环使用，定期更换，废碱液交由有资质单位处置；生活污水依托河北泽豪环保新材料科技有限公司化粪池处理后，定期清掏，不外排</w:t>
            </w:r>
            <w:r>
              <w:rPr>
                <w:rFonts w:ascii="Segoe UI" w:eastAsia="Segoe UI" w:cs="Segoe UI" w:hAnsi="Segoe UI"/>
                <w:i w:val="0"/>
                <w:iCs w:val="0"/>
                <w:caps w:val="0"/>
                <w:smallCaps w:val="0"/>
                <w:color w:val="auto"/>
                <w:spacing w:val="0"/>
                <w:sz w:val="24"/>
                <w:szCs w:val="24"/>
                <w:shd w:val="clear" w:color="auto" w:fill="FFFFFF"/>
                <w:lang w:val="en-US" w:eastAsia="zh-CN"/>
                <w:highlight w:val="none"/>
              </w:rPr>
              <w:t>。</w:t>
            </w:r>
            <w:r>
              <w:rPr>
                <w:rFonts w:ascii="Times New Roman" w:cs="Times New Roman" w:hAnsi="Times New Roman" w:hint="eastAsia"/>
                <w:color w:val="auto"/>
                <w:sz w:val="24"/>
                <w:lang w:val="en-US" w:eastAsia="zh-CN"/>
                <w:highlight w:val="none"/>
              </w:rPr>
              <w:t>本项目职工生活污水排放量为0.35m</w:t>
            </w:r>
            <w:r>
              <w:rPr>
                <w:rFonts w:ascii="Times New Roman" w:cs="Times New Roman" w:hAnsi="Times New Roman" w:hint="eastAsia"/>
                <w:color w:val="auto"/>
                <w:sz w:val="24"/>
                <w:vertAlign w:val="superscript"/>
                <w:lang w:val="en-US" w:eastAsia="zh-CN"/>
                <w:highlight w:val="none"/>
              </w:rPr>
              <w:t>3</w:t>
            </w:r>
            <w:r>
              <w:rPr>
                <w:rFonts w:ascii="Times New Roman" w:cs="Times New Roman" w:hAnsi="Times New Roman" w:hint="eastAsia"/>
                <w:color w:val="auto"/>
                <w:sz w:val="24"/>
                <w:lang w:val="en-US" w:eastAsia="zh-CN"/>
                <w:highlight w:val="none"/>
              </w:rPr>
              <w:t>/d，废水源及排放情况见下表。</w:t>
            </w:r>
          </w:p>
          <w:p>
            <w:pPr>
              <w:pStyle w:val="17"/>
              <w:rPr>
                <w:rFonts w:ascii="Times New Roman" w:cs="Times New Roman" w:hAnsi="Times New Roman" w:hint="eastAsia"/>
                <w:color w:val="auto"/>
                <w:sz w:val="24"/>
                <w:lang w:val="en-US" w:eastAsia="zh-CN"/>
                <w:highlight w:val="none"/>
              </w:rPr>
            </w:pPr>
          </w:p>
          <w:p>
            <w:pPr>
              <w:pStyle w:val="17"/>
              <w:rPr>
                <w:rFonts w:ascii="Times New Roman" w:cs="Times New Roman" w:hAnsi="Times New Roman" w:hint="eastAsia"/>
                <w:color w:val="auto"/>
                <w:sz w:val="24"/>
                <w:lang w:val="en-US"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eastAsia="zh-CN"/>
                <w:highlight w:val="none"/>
              </w:rPr>
            </w:pPr>
            <w:r>
              <w:rPr>
                <w:rFonts w:ascii="Times New Roman" w:eastAsia="宋体" w:cs="Times New Roman" w:hAnsi="Times New Roman" w:hint="eastAsia"/>
                <w:b/>
                <w:bCs w:val="0"/>
                <w:color w:val="auto"/>
                <w:kern w:val="0"/>
                <w:sz w:val="24"/>
                <w:szCs w:val="22"/>
                <w:lang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4</w:t>
            </w:r>
            <w:r>
              <w:rPr>
                <w:rFonts w:ascii="Times New Roman" w:eastAsia="宋体" w:cs="Times New Roman" w:hAnsi="Times New Roman" w:hint="eastAsia"/>
                <w:b/>
                <w:bCs w:val="0"/>
                <w:color w:val="auto"/>
                <w:kern w:val="0"/>
                <w:sz w:val="24"/>
                <w:szCs w:val="22"/>
                <w:lang w:eastAsia="zh-CN"/>
                <w:highlight w:val="none"/>
              </w:rPr>
              <w:t xml:space="preserve">  项目废水源及</w:t>
            </w:r>
            <w:r>
              <w:rPr>
                <w:rFonts w:ascii="Times New Roman" w:eastAsia="宋体" w:cs="Times New Roman" w:hAnsi="Times New Roman" w:hint="eastAsia"/>
                <w:b/>
                <w:bCs w:val="0"/>
                <w:color w:val="auto"/>
                <w:kern w:val="0"/>
                <w:sz w:val="24"/>
                <w:szCs w:val="22"/>
                <w:lang w:val="en-US" w:eastAsia="zh-CN"/>
                <w:highlight w:val="none"/>
              </w:rPr>
              <w:t>排放情况（生活污水）</w:t>
            </w:r>
          </w:p>
          <w:tbl>
            <w:tblPr>
              <w:jc w:val="center"/>
              <w:tblW w:w="4992"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44"/>
              <w:gridCol w:w="1081"/>
              <w:gridCol w:w="1955"/>
              <w:gridCol w:w="1150"/>
              <w:gridCol w:w="1295"/>
              <w:gridCol w:w="942"/>
              <w:gridCol w:w="1020"/>
              <w:gridCol w:w="924"/>
            </w:tblGrid>
            <w:tr>
              <w:trPr>
                <w:trHeight w:val="369"/>
              </w:trPr>
              <w:tc>
                <w:tcPr>
                  <w:tcW w:w="305"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产污环节</w:t>
                  </w: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污染物名称</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产生浓度及排放量</w:t>
                  </w:r>
                </w:p>
              </w:tc>
              <w:tc>
                <w:tcPr>
                  <w:tcW w:w="645"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治理措施</w:t>
                  </w: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排放浓度及排放量</w:t>
                  </w:r>
                </w:p>
              </w:tc>
              <w:tc>
                <w:tcPr>
                  <w:tcW w:w="528"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排放方式</w:t>
                  </w:r>
                </w:p>
              </w:tc>
              <w:tc>
                <w:tcPr>
                  <w:tcW w:w="572"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排放去向</w:t>
                  </w:r>
                </w:p>
              </w:tc>
              <w:tc>
                <w:tcPr>
                  <w:tcW w:w="518"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排放规律</w:t>
                  </w:r>
                </w:p>
              </w:tc>
            </w:tr>
            <w:tr>
              <w:trPr>
                <w:trHeight w:val="369"/>
              </w:trPr>
              <w:tc>
                <w:tcPr>
                  <w:tcW w:w="305"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职工生活污水</w:t>
                  </w: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COD</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300mg/L，</w:t>
                  </w:r>
                  <w:r>
                    <w:rPr>
                      <w:rFonts w:cs="Times New Roman" w:hint="eastAsia"/>
                      <w:bCs/>
                      <w:color w:val="auto"/>
                      <w:kern w:val="0"/>
                      <w:sz w:val="21"/>
                      <w:szCs w:val="21"/>
                      <w:lang w:val="en-US" w:eastAsia="zh-CN" w:bidi="ar-SA"/>
                      <w:highlight w:val="none"/>
                    </w:rPr>
                    <w:t>0.032</w:t>
                  </w:r>
                  <w:r>
                    <w:rPr>
                      <w:rFonts w:cs="Times New Roman"/>
                      <w:bCs/>
                      <w:color w:val="auto"/>
                      <w:kern w:val="0"/>
                      <w:sz w:val="21"/>
                      <w:szCs w:val="21"/>
                      <w:lang w:val="en-US" w:eastAsia="zh-CN" w:bidi="ar-SA"/>
                      <w:highlight w:val="none"/>
                    </w:rPr>
                    <w:t>t/a</w:t>
                  </w:r>
                </w:p>
              </w:tc>
              <w:tc>
                <w:tcPr>
                  <w:tcW w:w="645"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化粪池</w:t>
                  </w:r>
                </w:p>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（依托）</w:t>
                  </w: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不外排</w:t>
                  </w:r>
                </w:p>
              </w:tc>
              <w:tc>
                <w:tcPr>
                  <w:tcW w:w="572"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18" w:type="pct"/>
                  <w:vMerge w:val="restar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间断排放，排放期间流量稳定</w:t>
                  </w: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BOD</w:t>
                  </w:r>
                  <w:r>
                    <w:rPr>
                      <w:rFonts w:cs="Times New Roman" w:hint="eastAsia"/>
                      <w:bCs/>
                      <w:color w:val="auto"/>
                      <w:kern w:val="0"/>
                      <w:sz w:val="21"/>
                      <w:szCs w:val="21"/>
                      <w:vertAlign w:val="subscript"/>
                      <w:lang w:val="en-US" w:eastAsia="zh-CN" w:bidi="ar-SA"/>
                      <w:highlight w:val="none"/>
                    </w:rPr>
                    <w:t>5</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250mg/L，</w:t>
                  </w:r>
                  <w:r>
                    <w:rPr>
                      <w:rFonts w:cs="Times New Roman" w:hint="eastAsia"/>
                      <w:bCs/>
                      <w:color w:val="auto"/>
                      <w:kern w:val="0"/>
                      <w:sz w:val="21"/>
                      <w:szCs w:val="21"/>
                      <w:lang w:val="en-US" w:eastAsia="zh-CN" w:bidi="ar-SA"/>
                      <w:highlight w:val="none"/>
                    </w:rPr>
                    <w:t>0.026</w:t>
                  </w:r>
                  <w:r>
                    <w:rPr>
                      <w:rFonts w:cs="Times New Roman"/>
                      <w:bCs/>
                      <w:color w:val="auto"/>
                      <w:kern w:val="0"/>
                      <w:sz w:val="21"/>
                      <w:szCs w:val="21"/>
                      <w:lang w:val="en-US" w:eastAsia="zh-CN" w:bidi="ar-SA"/>
                      <w:highlight w:val="none"/>
                    </w:rPr>
                    <w:t>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SS</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200mg/L，</w:t>
                  </w:r>
                  <w:r>
                    <w:rPr>
                      <w:rFonts w:cs="Times New Roman" w:hint="eastAsia"/>
                      <w:bCs/>
                      <w:color w:val="auto"/>
                      <w:kern w:val="0"/>
                      <w:sz w:val="21"/>
                      <w:szCs w:val="21"/>
                      <w:lang w:val="en-US" w:eastAsia="zh-CN" w:bidi="ar-SA"/>
                      <w:highlight w:val="none"/>
                    </w:rPr>
                    <w:t>0.021</w:t>
                  </w:r>
                  <w:r>
                    <w:rPr>
                      <w:rFonts w:cs="Times New Roman"/>
                      <w:bCs/>
                      <w:color w:val="auto"/>
                      <w:kern w:val="0"/>
                      <w:sz w:val="21"/>
                      <w:szCs w:val="21"/>
                      <w:lang w:val="en-US" w:eastAsia="zh-CN" w:bidi="ar-SA"/>
                      <w:highlight w:val="none"/>
                    </w:rPr>
                    <w: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r>
              <w:trPr>
                <w:trHeight w:val="369"/>
              </w:trPr>
              <w:tc>
                <w:tcPr>
                  <w:tcW w:w="305" w:type="pct"/>
                  <w:vMerge/>
                  <w:tcMar>
                    <w:left w:w="0" w:type="dxa"/>
                    <w:right w:w="0" w:type="dxa"/>
                  </w:tcMar>
                  <w:vAlign w:val="center"/>
                </w:tcPr>
                <w:p/>
              </w:tc>
              <w:tc>
                <w:tcPr>
                  <w:tcW w:w="60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氨氮</w:t>
                  </w:r>
                </w:p>
              </w:tc>
              <w:tc>
                <w:tcPr>
                  <w:tcW w:w="109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bCs/>
                      <w:color w:val="auto"/>
                      <w:kern w:val="0"/>
                      <w:sz w:val="21"/>
                      <w:szCs w:val="21"/>
                      <w:lang w:val="en-US" w:eastAsia="zh-CN" w:bidi="ar-SA"/>
                      <w:highlight w:val="none"/>
                    </w:rPr>
                  </w:pPr>
                  <w:r>
                    <w:rPr>
                      <w:rFonts w:cs="Times New Roman"/>
                      <w:bCs/>
                      <w:color w:val="auto"/>
                      <w:kern w:val="0"/>
                      <w:sz w:val="21"/>
                      <w:szCs w:val="21"/>
                      <w:lang w:val="en-US" w:eastAsia="zh-CN" w:bidi="ar-SA"/>
                      <w:highlight w:val="none"/>
                    </w:rPr>
                    <w:t>25mg/L，</w:t>
                  </w:r>
                  <w:r>
                    <w:rPr>
                      <w:rFonts w:cs="Times New Roman" w:hint="eastAsia"/>
                      <w:bCs/>
                      <w:color w:val="auto"/>
                      <w:kern w:val="0"/>
                      <w:sz w:val="21"/>
                      <w:szCs w:val="21"/>
                      <w:lang w:val="en-US" w:eastAsia="zh-CN" w:bidi="ar-SA"/>
                      <w:highlight w:val="none"/>
                    </w:rPr>
                    <w:t>0.003</w:t>
                  </w:r>
                  <w:r>
                    <w:rPr>
                      <w:rFonts w:cs="Times New Roman"/>
                      <w:bCs/>
                      <w:color w:val="auto"/>
                      <w:kern w:val="0"/>
                      <w:sz w:val="21"/>
                      <w:szCs w:val="21"/>
                      <w:lang w:val="en-US" w:eastAsia="zh-CN" w:bidi="ar-SA"/>
                      <w:highlight w:val="none"/>
                    </w:rPr>
                    <w:t>t/a</w:t>
                  </w:r>
                </w:p>
              </w:tc>
              <w:tc>
                <w:tcPr>
                  <w:tcW w:w="645" w:type="pct"/>
                  <w:vMerge/>
                  <w:tcMar>
                    <w:left w:w="0" w:type="dxa"/>
                    <w:right w:w="0" w:type="dxa"/>
                  </w:tcMar>
                  <w:vAlign w:val="center"/>
                </w:tcPr>
                <w:p/>
              </w:tc>
              <w:tc>
                <w:tcPr>
                  <w:tcW w:w="726" w:type="pct"/>
                  <w:tcMar>
                    <w:left w:w="0" w:type="dxa"/>
                    <w:right w:w="0" w:type="dxa"/>
                  </w:tcMar>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cs="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w:t>
                  </w:r>
                </w:p>
              </w:tc>
              <w:tc>
                <w:tcPr>
                  <w:tcW w:w="528" w:type="pct"/>
                  <w:vMerge/>
                  <w:tcMar>
                    <w:left w:w="0" w:type="dxa"/>
                    <w:right w:w="0" w:type="dxa"/>
                  </w:tcMar>
                  <w:vAlign w:val="center"/>
                </w:tcPr>
                <w:p/>
              </w:tc>
              <w:tc>
                <w:tcPr>
                  <w:tcW w:w="572" w:type="pct"/>
                  <w:vMerge/>
                  <w:tcMar>
                    <w:left w:w="0" w:type="dxa"/>
                    <w:right w:w="0" w:type="dxa"/>
                  </w:tcMar>
                  <w:vAlign w:val="center"/>
                </w:tcPr>
                <w:p/>
              </w:tc>
              <w:tc>
                <w:tcPr>
                  <w:tcW w:w="518" w:type="pct"/>
                  <w:vMerge/>
                  <w:tcMar>
                    <w:left w:w="0" w:type="dxa"/>
                    <w:right w:w="0" w:type="dxa"/>
                  </w:tcMar>
                  <w:vAlign w:val="center"/>
                </w:tcPr>
                <w:p/>
              </w:tc>
            </w:tr>
          </w:tbl>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jc w:val="both"/>
              <w:textAlignment w:val="auto"/>
              <w:rPr>
                <w:rFonts w:ascii="Times New Roman" w:eastAsia="宋体" w:cs="Times New Roman" w:hAnsi="Times New Roman" w:hint="eastAsia"/>
                <w:color w:val="auto"/>
                <w:kern w:val="2"/>
                <w:sz w:val="24"/>
                <w:szCs w:val="24"/>
                <w:vertAlign w:val="baseline"/>
                <w:lang w:val="en-US" w:eastAsia="zh-CN" w:bidi="ar-SA"/>
                <w:highlight w:val="none"/>
              </w:rPr>
            </w:pPr>
            <w:r>
              <w:rPr>
                <w:rFonts w:hint="eastAsia"/>
                <w:color w:val="auto"/>
                <w:sz w:val="24"/>
                <w:lang w:val="en-US" w:eastAsia="zh-CN"/>
                <w:highlight w:val="none"/>
              </w:rPr>
              <w:t>（2</w:t>
            </w:r>
            <w:r>
              <w:rPr>
                <w:rFonts w:hint="eastAsia"/>
                <w:color w:val="auto"/>
                <w:sz w:val="24"/>
                <w:lang w:eastAsia="zh-CN"/>
                <w:highlight w:val="none"/>
              </w:rPr>
              <w:t>）</w:t>
            </w:r>
            <w:r>
              <w:rPr>
                <w:rFonts w:ascii="Times New Roman" w:eastAsia="宋体" w:cs="Times New Roman" w:hAnsi="Times New Roman" w:hint="eastAsia"/>
                <w:color w:val="auto"/>
                <w:kern w:val="2"/>
                <w:sz w:val="24"/>
                <w:szCs w:val="24"/>
                <w:vertAlign w:val="baseline"/>
                <w:lang w:val="en-US" w:eastAsia="zh-CN" w:bidi="ar-SA"/>
                <w:highlight w:val="none"/>
              </w:rPr>
              <w:t>生活污水可行性分析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vertAlign w:val="baseline"/>
                <w:lang w:val="en-US" w:eastAsia="zh-CN" w:bidi="ar-SA"/>
                <w:highlight w:val="none"/>
              </w:rPr>
              <w:t>参</w:t>
            </w:r>
            <w:r>
              <w:rPr>
                <w:rFonts w:ascii="Times New Roman" w:eastAsia="宋体" w:cs="Times New Roman" w:hAnsi="Times New Roman" w:hint="eastAsia"/>
                <w:color w:val="auto"/>
                <w:kern w:val="2"/>
                <w:sz w:val="24"/>
                <w:szCs w:val="24"/>
                <w:lang w:val="en-US" w:eastAsia="zh-CN" w:bidi="ar-SA"/>
                <w:highlight w:val="none"/>
              </w:rPr>
              <w:t>照</w:t>
            </w:r>
            <w:r>
              <w:rPr>
                <w:rFonts w:hint="eastAsia"/>
                <w:color w:val="auto"/>
                <w:sz w:val="24"/>
                <w:lang w:eastAsia="zh-CN"/>
                <w:highlight w:val="none"/>
              </w:rPr>
              <w:t>《排污许可证申请与核发技术规范 总则》（HJ942-2018）《排污许可证申请与核发技术规范 工业固体废物和危险废物治理》（HJ 1033-2019）</w:t>
            </w:r>
            <w:r>
              <w:rPr>
                <w:rFonts w:ascii="Times New Roman" w:eastAsia="宋体" w:cs="Times New Roman" w:hAnsi="Times New Roman" w:hint="eastAsia"/>
                <w:color w:val="auto"/>
                <w:kern w:val="2"/>
                <w:sz w:val="24"/>
                <w:szCs w:val="24"/>
                <w:lang w:val="en-US" w:eastAsia="zh-CN" w:bidi="ar-SA"/>
                <w:highlight w:val="none"/>
              </w:rPr>
              <w:t>，项目生活污水采用的化粪池预处理，属于符合规范的可行性技术。因此，项目生活污水进行预处理是可行的。</w:t>
            </w:r>
          </w:p>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jc w:val="both"/>
              <w:textAlignment w:val="auto"/>
              <w:rPr>
                <w:rFonts w:ascii="Times New Roman" w:eastAsia="宋体" w:cs="Times New Roman" w:hAnsi="Times New Roman" w:hint="eastAsia"/>
                <w:color w:val="auto"/>
                <w:kern w:val="2"/>
                <w:sz w:val="24"/>
                <w:szCs w:val="24"/>
                <w:vertAlign w:val="baseline"/>
                <w:lang w:val="en-US" w:eastAsia="zh-CN" w:bidi="ar-SA"/>
                <w:highlight w:val="none"/>
              </w:rPr>
            </w:pPr>
            <w:r>
              <w:rPr>
                <w:rFonts w:hint="eastAsia"/>
                <w:color w:val="auto"/>
                <w:sz w:val="24"/>
                <w:lang w:val="en-US" w:eastAsia="zh-CN"/>
                <w:highlight w:val="none"/>
              </w:rPr>
              <w:t>（3</w:t>
            </w:r>
            <w:r>
              <w:rPr>
                <w:rFonts w:hint="eastAsia"/>
                <w:color w:val="auto"/>
                <w:sz w:val="24"/>
                <w:lang w:eastAsia="zh-CN"/>
                <w:highlight w:val="none"/>
              </w:rPr>
              <w:t>）</w:t>
            </w:r>
            <w:r>
              <w:rPr>
                <w:rFonts w:cs="Times New Roman" w:hint="eastAsia"/>
                <w:color w:val="auto"/>
                <w:kern w:val="2"/>
                <w:sz w:val="24"/>
                <w:szCs w:val="24"/>
                <w:vertAlign w:val="baseline"/>
                <w:lang w:val="en-US" w:eastAsia="zh-CN" w:bidi="ar-SA"/>
                <w:highlight w:val="none"/>
              </w:rPr>
              <w:t>依托</w:t>
            </w:r>
            <w:r>
              <w:rPr>
                <w:rFonts w:ascii="Times New Roman" w:eastAsia="宋体" w:cs="Times New Roman" w:hAnsi="Times New Roman" w:hint="eastAsia"/>
                <w:color w:val="auto"/>
                <w:kern w:val="2"/>
                <w:sz w:val="24"/>
                <w:szCs w:val="24"/>
                <w:vertAlign w:val="baseline"/>
                <w:lang w:val="en-US" w:eastAsia="zh-CN" w:bidi="ar-SA"/>
                <w:highlight w:val="none"/>
              </w:rPr>
              <w:t>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auto"/>
                <w:lang w:val="en-US" w:eastAsia="zh-CN"/>
              </w:rPr>
            </w:pPr>
            <w:r>
              <w:rPr>
                <w:rFonts w:cs="Times New Roman" w:hint="eastAsia"/>
                <w:color w:val="auto"/>
                <w:kern w:val="2"/>
                <w:sz w:val="24"/>
                <w:szCs w:val="24"/>
                <w:lang w:val="en-US" w:eastAsia="zh-CN" w:bidi="ar-SA"/>
                <w:highlight w:val="none"/>
              </w:rPr>
              <w:t>本项目为废铅蓄电池中转项目，贮存过程不产生废水。</w:t>
            </w:r>
            <w:r>
              <w:rPr>
                <w:rFonts w:cs="Times New Roman" w:hint="eastAsia"/>
                <w:color w:val="auto"/>
                <w:kern w:val="0"/>
                <w:sz w:val="24"/>
                <w:lang w:eastAsia="zh-CN"/>
                <w:highlight w:val="none"/>
              </w:rPr>
              <w:t>本项目碱液喷淋装置碱液循环使用，定期更换，废碱液交由有资质单位处置；生活污水依托河北泽豪环保新材料科技有限公司化粪池处理后，定期清掏，不外排</w:t>
            </w:r>
            <w:r>
              <w:rPr>
                <w:rFonts w:ascii="Times New Roman" w:eastAsia="宋体" w:cs="Times New Roman" w:hAnsi="Times New Roman" w:hint="eastAsia"/>
                <w:color w:val="auto"/>
                <w:kern w:val="2"/>
                <w:sz w:val="24"/>
                <w:szCs w:val="24"/>
                <w:lang w:val="en-US" w:eastAsia="zh-CN" w:bidi="ar-SA"/>
                <w:highlight w:val="none"/>
              </w:rPr>
              <w:t>。</w:t>
            </w:r>
            <w:r>
              <w:rPr>
                <w:rFonts w:cs="Times New Roman" w:hint="eastAsia"/>
                <w:color w:val="auto"/>
                <w:kern w:val="2"/>
                <w:sz w:val="24"/>
                <w:szCs w:val="24"/>
                <w:lang w:val="en-US" w:eastAsia="zh-CN" w:bidi="ar-SA"/>
                <w:highlight w:val="none"/>
              </w:rPr>
              <w:t>经调查，河北泽豪环保新材料科技有限公司无生产废水，仅涉及生活污水，厂区内设有化粪池，定期由专业机构进行清掏，厂区内无废水排放口。本项目租赁泽豪2间闲置的办公室，不新设盥洗、厕所等设施，本项目劳动定员仅6人，生活污水产生量为0.35m</w:t>
            </w:r>
            <w:r>
              <w:rPr>
                <w:rFonts w:cs="Times New Roman" w:hint="eastAsia"/>
                <w:color w:val="auto"/>
                <w:kern w:val="2"/>
                <w:sz w:val="24"/>
                <w:szCs w:val="24"/>
                <w:vertAlign w:val="superscript"/>
                <w:lang w:val="en-US" w:eastAsia="zh-CN" w:bidi="ar-SA"/>
                <w:highlight w:val="none"/>
              </w:rPr>
              <w:t>3</w:t>
            </w:r>
            <w:r>
              <w:rPr>
                <w:rFonts w:cs="Times New Roman" w:hint="eastAsia"/>
                <w:color w:val="auto"/>
                <w:kern w:val="2"/>
                <w:sz w:val="24"/>
                <w:szCs w:val="24"/>
                <w:lang w:val="en-US" w:eastAsia="zh-CN" w:bidi="ar-SA"/>
                <w:highlight w:val="none"/>
              </w:rPr>
              <w:t>/d，水量较少，水质相近，且因此依托河北泽豪环保新材料科技有限公司化粪池可行。</w:t>
            </w:r>
          </w:p>
          <w:p>
            <w:pPr>
              <w:keepNext w:val="0"/>
              <w:keepLines w:val="0"/>
              <w:pageBreakBefore w:val="0"/>
              <w:widowControl w:val="0"/>
              <w:kinsoku/>
              <w:wordWrap/>
              <w:overflowPunct/>
              <w:topLinePunct w:val="0"/>
              <w:autoSpaceDE/>
              <w:autoSpaceDN/>
              <w:bidi w:val="0"/>
              <w:spacing w:line="500" w:lineRule="exact"/>
              <w:ind w:firstLineChars="200" w:firstLine="480"/>
              <w:textAlignment w:val="auto"/>
              <w:rPr>
                <w:color w:val="auto"/>
                <w:sz w:val="24"/>
                <w:highlight w:val="none"/>
              </w:rPr>
            </w:pPr>
            <w:r>
              <w:rPr>
                <w:rFonts w:hint="eastAsia"/>
                <w:color w:val="auto"/>
                <w:sz w:val="24"/>
                <w:highlight w:val="none"/>
              </w:rPr>
              <w:t>综上，</w:t>
            </w:r>
            <w:r>
              <w:rPr>
                <w:color w:val="auto"/>
                <w:sz w:val="24"/>
                <w:highlight w:val="none"/>
              </w:rPr>
              <w:t>项目废水</w:t>
            </w:r>
            <w:r>
              <w:rPr>
                <w:rFonts w:hint="eastAsia"/>
                <w:color w:val="auto"/>
                <w:sz w:val="24"/>
                <w:highlight w:val="none"/>
              </w:rPr>
              <w:t>不直接</w:t>
            </w:r>
            <w:r>
              <w:rPr>
                <w:color w:val="auto"/>
                <w:sz w:val="24"/>
                <w:highlight w:val="none"/>
              </w:rPr>
              <w:t>排入地表水体，对地表水环境基本无影响。</w:t>
            </w:r>
          </w:p>
          <w:p>
            <w:pPr>
              <w:keepNext w:val="0"/>
              <w:keepLines w:val="0"/>
              <w:pageBreakBefore w:val="0"/>
              <w:widowControl w:val="0"/>
              <w:numPr>
                <w:ilvl w:val="0"/>
                <w:numId w:val="4"/>
              </w:numPr>
              <w:kinsoku/>
              <w:wordWrap/>
              <w:overflowPunct/>
              <w:topLinePunct w:val="0"/>
              <w:autoSpaceDE/>
              <w:autoSpaceDN/>
              <w:bidi w:val="0"/>
              <w:spacing w:line="460" w:lineRule="exact"/>
              <w:ind w:left="0" w:firstLineChars="200" w:firstLine="480"/>
              <w:textAlignment w:val="auto"/>
              <w:rPr>
                <w:rFonts w:hint="eastAsia"/>
                <w:b/>
                <w:bCs/>
                <w:color w:val="auto"/>
                <w:kern w:val="0"/>
                <w:sz w:val="24"/>
                <w:highlight w:val="none"/>
              </w:rPr>
            </w:pPr>
            <w:r>
              <w:rPr>
                <w:rFonts w:hint="eastAsia"/>
                <w:b/>
                <w:bCs/>
                <w:color w:val="auto"/>
                <w:kern w:val="0"/>
                <w:sz w:val="24"/>
                <w:highlight w:val="none"/>
              </w:rPr>
              <w:t>噪声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（1）主要噪声源源强及控制措施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宋体" w:cs="宋体" w:hAnsi="宋体" w:hint="eastAsia"/>
                <w:color w:val="auto"/>
                <w:sz w:val="24"/>
                <w:highlight w:val="none"/>
              </w:rPr>
            </w:pPr>
            <w:r>
              <w:rPr>
                <w:rFonts w:ascii="宋体" w:cs="宋体" w:hAnsi="宋体" w:hint="eastAsia"/>
                <w:color w:val="auto"/>
                <w:sz w:val="24"/>
                <w:highlight w:val="none"/>
              </w:rPr>
              <w:t>本项目噪声主要来源于</w:t>
            </w:r>
            <w:r>
              <w:rPr>
                <w:rFonts w:ascii="宋体" w:cs="宋体" w:hAnsi="宋体" w:hint="eastAsia"/>
                <w:color w:val="auto"/>
                <w:sz w:val="24"/>
                <w:lang w:eastAsia="zh-CN"/>
                <w:highlight w:val="none"/>
              </w:rPr>
              <w:t>碱液喷淋装置风机、循环泵</w:t>
            </w:r>
            <w:r>
              <w:rPr>
                <w:rFonts w:ascii="宋体" w:cs="宋体" w:hAnsi="宋体" w:hint="eastAsia"/>
                <w:color w:val="auto"/>
                <w:sz w:val="24"/>
                <w:highlight w:val="none"/>
              </w:rPr>
              <w:t>设备噪声。噪声源强如下。</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5</w:t>
            </w:r>
            <w:r>
              <w:rPr>
                <w:rFonts w:ascii="Times New Roman" w:eastAsia="宋体" w:cs="Times New Roman" w:hAnsi="Times New Roman" w:hint="eastAsia"/>
                <w:b/>
                <w:bCs w:val="0"/>
                <w:color w:val="auto"/>
                <w:kern w:val="0"/>
                <w:sz w:val="24"/>
                <w:szCs w:val="22"/>
                <w:lang w:val="en-GB" w:eastAsia="zh-CN"/>
                <w:highlight w:val="none"/>
              </w:rPr>
              <w:t xml:space="preserve">   工业企业噪声源强调查清单（室内声源）</w:t>
            </w:r>
          </w:p>
          <w:tbl>
            <w:tblPr>
              <w:jc w:val="center"/>
              <w:tblW w:w="4996" w:type="pct"/>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ayout w:type="fixed"/>
              <w:tblCellMar>
                <w:top w:w="0" w:type="dxa"/>
                <w:left w:w="108" w:type="dxa"/>
                <w:bottom w:w="0" w:type="dxa"/>
                <w:right w:w="108" w:type="dxa"/>
              </w:tblCellMar>
              <w:tblLook w:val="0600" w:firstRow="0" w:lastRow="0" w:firstColumn="0" w:lastColumn="0" w:noHBand="1" w:noVBand="1"/>
            </w:tblPr>
            <w:tblGrid>
              <w:gridCol w:w="423"/>
              <w:gridCol w:w="423"/>
              <w:gridCol w:w="423"/>
              <w:gridCol w:w="646"/>
              <w:gridCol w:w="839"/>
              <w:gridCol w:w="689"/>
              <w:gridCol w:w="687"/>
              <w:gridCol w:w="687"/>
              <w:gridCol w:w="532"/>
              <w:gridCol w:w="578"/>
              <w:gridCol w:w="837"/>
              <w:gridCol w:w="425"/>
              <w:gridCol w:w="800"/>
              <w:gridCol w:w="921"/>
            </w:tblGrid>
            <w:tr>
              <w:trPr>
                <w:trHeight w:val="267"/>
              </w:trPr>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序号</w:t>
                  </w:r>
                </w:p>
              </w:tc>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建筑物名称</w:t>
                  </w:r>
                </w:p>
              </w:tc>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声源名称</w:t>
                  </w:r>
                </w:p>
              </w:tc>
              <w:tc>
                <w:tcPr>
                  <w:tcW w:w="362"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数量（台）</w:t>
                  </w:r>
                </w:p>
              </w:tc>
              <w:tc>
                <w:tcPr>
                  <w:tcW w:w="470"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声源源强</w:t>
                  </w:r>
                </w:p>
              </w:tc>
              <w:tc>
                <w:tcPr>
                  <w:tcW w:w="38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声源</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控制措施</w:t>
                  </w:r>
                </w:p>
              </w:tc>
              <w:tc>
                <w:tcPr>
                  <w:tcW w:w="1068" w:type="pct"/>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空间相对</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位置m</w:t>
                  </w:r>
                </w:p>
              </w:tc>
              <w:tc>
                <w:tcPr>
                  <w:tcW w:w="324"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距离室内边界距离</w:t>
                  </w:r>
                </w:p>
              </w:tc>
              <w:tc>
                <w:tcPr>
                  <w:tcW w:w="469"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室内边界声级</w:t>
                  </w:r>
                </w:p>
              </w:tc>
              <w:tc>
                <w:tcPr>
                  <w:tcW w:w="23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运行时段</w:t>
                  </w:r>
                </w:p>
              </w:tc>
              <w:tc>
                <w:tcPr>
                  <w:tcW w:w="44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建筑物插入损失</w:t>
                  </w:r>
                </w:p>
              </w:tc>
              <w:tc>
                <w:tcPr>
                  <w:tcW w:w="51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建筑外噪声（1m处）</w:t>
                  </w:r>
                </w:p>
              </w:tc>
            </w:tr>
            <w:tr>
              <w:trPr>
                <w:trHeight w:val="267"/>
              </w:trPr>
              <w:tc>
                <w:tcPr>
                  <w:tcW w:w="237" w:type="pct"/>
                  <w:vMerge/>
                  <w:vAlign w:val="center"/>
                </w:tcPr>
                <w:p/>
              </w:tc>
              <w:tc>
                <w:tcPr>
                  <w:tcW w:w="237" w:type="pct"/>
                  <w:vMerge/>
                  <w:vAlign w:val="center"/>
                </w:tcPr>
                <w:p/>
              </w:tc>
              <w:tc>
                <w:tcPr>
                  <w:tcW w:w="237" w:type="pct"/>
                  <w:vMerge/>
                  <w:vAlign w:val="center"/>
                </w:tcPr>
                <w:p/>
              </w:tc>
              <w:tc>
                <w:tcPr>
                  <w:tcW w:w="362" w:type="pct"/>
                  <w:vMerge/>
                  <w:vAlign w:val="center"/>
                </w:tcPr>
                <w:p/>
              </w:tc>
              <w:tc>
                <w:tcPr>
                  <w:tcW w:w="470" w:type="pct"/>
                  <w:vMerge/>
                  <w:vAlign w:val="center"/>
                </w:tcPr>
                <w:p/>
              </w:tc>
              <w:tc>
                <w:tcPr>
                  <w:tcW w:w="386" w:type="pct"/>
                  <w:vMerge/>
                  <w:vAlign w:val="center"/>
                </w:tcP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X</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Y</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Z</w:t>
                  </w:r>
                </w:p>
              </w:tc>
              <w:tc>
                <w:tcPr>
                  <w:tcW w:w="324" w:type="pct"/>
                  <w:vMerge/>
                  <w:vAlign w:val="center"/>
                </w:tcPr>
                <w:p/>
              </w:tc>
              <w:tc>
                <w:tcPr>
                  <w:tcW w:w="469" w:type="pct"/>
                  <w:vMerge/>
                  <w:vAlign w:val="center"/>
                </w:tcPr>
                <w:p/>
              </w:tc>
              <w:tc>
                <w:tcPr>
                  <w:tcW w:w="238" w:type="pct"/>
                  <w:vMerge/>
                  <w:vAlign w:val="center"/>
                </w:tcPr>
                <w:p/>
              </w:tc>
              <w:tc>
                <w:tcPr>
                  <w:tcW w:w="448" w:type="pct"/>
                  <w:vMerge/>
                  <w:vAlign w:val="center"/>
                </w:tcPr>
                <w:p/>
              </w:tc>
              <w:tc>
                <w:tcPr>
                  <w:tcW w:w="516" w:type="pct"/>
                  <w:vMerge/>
                  <w:vAlign w:val="center"/>
                </w:tcPr>
                <w:p/>
              </w:tc>
            </w:tr>
            <w:tr>
              <w:trPr>
                <w:trHeight w:val="1110"/>
              </w:trPr>
              <w:tc>
                <w:tcPr>
                  <w:tcW w:w="237"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库房</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风机</w:t>
                  </w:r>
                </w:p>
              </w:tc>
              <w:tc>
                <w:tcPr>
                  <w:tcW w:w="36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80</w:t>
                  </w:r>
                  <w:r>
                    <w:rPr>
                      <w:rFonts w:ascii="Times New Roman" w:eastAsia="宋体" w:cs="Times New Roman" w:hAnsi="Times New Roman" w:hint="eastAsia"/>
                      <w:bCs/>
                      <w:color w:val="auto"/>
                      <w:kern w:val="0"/>
                      <w:sz w:val="21"/>
                      <w:szCs w:val="21"/>
                      <w:lang w:val="en-US" w:eastAsia="zh-CN" w:bidi="ar-SA"/>
                      <w:highlight w:val="none"/>
                    </w:rPr>
                    <w:t>dB（A）</w:t>
                  </w:r>
                </w:p>
              </w:tc>
              <w:tc>
                <w:tcPr>
                  <w:tcW w:w="386"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基础减振厂房隔声</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10.68</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49.36</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0.2</w:t>
                  </w:r>
                </w:p>
              </w:tc>
              <w:tc>
                <w:tcPr>
                  <w:tcW w:w="32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w:t>
                  </w:r>
                  <w:r>
                    <w:rPr>
                      <w:rFonts w:ascii="Times New Roman" w:eastAsia="宋体" w:cs="Times New Roman" w:hAnsi="Times New Roman" w:hint="eastAsia"/>
                      <w:bCs/>
                      <w:color w:val="auto"/>
                      <w:kern w:val="0"/>
                      <w:sz w:val="21"/>
                      <w:szCs w:val="21"/>
                      <w:lang w:val="en-US" w:eastAsia="zh-CN" w:bidi="ar-SA"/>
                      <w:highlight w:val="none"/>
                    </w:rPr>
                    <w:t>m</w:t>
                  </w:r>
                </w:p>
              </w:tc>
              <w:tc>
                <w:tcPr>
                  <w:tcW w:w="46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58.02</w:t>
                  </w:r>
                  <w:r>
                    <w:rPr>
                      <w:rFonts w:ascii="Times New Roman" w:eastAsia="宋体" w:cs="Times New Roman" w:hAnsi="Times New Roman" w:hint="eastAsia"/>
                      <w:bCs/>
                      <w:color w:val="auto"/>
                      <w:kern w:val="0"/>
                      <w:sz w:val="21"/>
                      <w:szCs w:val="21"/>
                      <w:lang w:val="en-US" w:eastAsia="zh-CN" w:bidi="ar-SA"/>
                      <w:highlight w:val="none"/>
                    </w:rPr>
                    <w:t>dB（A）</w:t>
                  </w:r>
                </w:p>
              </w:tc>
              <w:tc>
                <w:tcPr>
                  <w:tcW w:w="238"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间歇</w:t>
                  </w:r>
                </w:p>
              </w:tc>
              <w:tc>
                <w:tcPr>
                  <w:tcW w:w="44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21dB（A）</w:t>
                  </w:r>
                </w:p>
              </w:tc>
              <w:tc>
                <w:tcPr>
                  <w:tcW w:w="516"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37.02</w:t>
                  </w:r>
                  <w:r>
                    <w:rPr>
                      <w:rFonts w:ascii="Times New Roman" w:eastAsia="宋体" w:cs="Times New Roman" w:hAnsi="Times New Roman" w:hint="eastAsia"/>
                      <w:bCs/>
                      <w:color w:val="auto"/>
                      <w:kern w:val="0"/>
                      <w:sz w:val="21"/>
                      <w:szCs w:val="21"/>
                      <w:lang w:val="en-US" w:eastAsia="zh-CN" w:bidi="ar-SA"/>
                      <w:highlight w:val="none"/>
                    </w:rPr>
                    <w:t>dB（A）</w:t>
                  </w:r>
                </w:p>
              </w:tc>
            </w:tr>
            <w:tr>
              <w:trPr>
                <w:trHeight w:val="1453"/>
              </w:trPr>
              <w:tc>
                <w:tcPr>
                  <w:tcW w:w="237" w:type="pct"/>
                  <w:vMerge/>
                  <w:vAlign w:val="center"/>
                </w:tcP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库房</w:t>
                  </w:r>
                </w:p>
              </w:tc>
              <w:tc>
                <w:tcPr>
                  <w:tcW w:w="237"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循环泵</w:t>
                  </w:r>
                </w:p>
              </w:tc>
              <w:tc>
                <w:tcPr>
                  <w:tcW w:w="36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47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80</w:t>
                  </w:r>
                  <w:r>
                    <w:rPr>
                      <w:rFonts w:ascii="Times New Roman" w:eastAsia="宋体" w:cs="Times New Roman" w:hAnsi="Times New Roman" w:hint="eastAsia"/>
                      <w:bCs/>
                      <w:color w:val="auto"/>
                      <w:kern w:val="0"/>
                      <w:sz w:val="21"/>
                      <w:szCs w:val="21"/>
                      <w:lang w:val="en-US" w:eastAsia="zh-CN" w:bidi="ar-SA"/>
                      <w:highlight w:val="none"/>
                    </w:rPr>
                    <w:t>dB（A）</w:t>
                  </w:r>
                </w:p>
              </w:tc>
              <w:tc>
                <w:tcPr>
                  <w:tcW w:w="386" w:type="pct"/>
                  <w:vMerge/>
                  <w:vAlign w:val="center"/>
                </w:tcP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8.42</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53.27</w:t>
                  </w:r>
                </w:p>
              </w:tc>
              <w:tc>
                <w:tcPr>
                  <w:tcW w:w="29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0.2</w:t>
                  </w:r>
                </w:p>
              </w:tc>
              <w:tc>
                <w:tcPr>
                  <w:tcW w:w="32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w:t>
                  </w:r>
                  <w:r>
                    <w:rPr>
                      <w:rFonts w:ascii="Times New Roman" w:eastAsia="宋体" w:cs="Times New Roman" w:hAnsi="Times New Roman" w:hint="eastAsia"/>
                      <w:bCs/>
                      <w:color w:val="auto"/>
                      <w:kern w:val="0"/>
                      <w:sz w:val="21"/>
                      <w:szCs w:val="21"/>
                      <w:lang w:val="en-US" w:eastAsia="zh-CN" w:bidi="ar-SA"/>
                      <w:highlight w:val="none"/>
                    </w:rPr>
                    <w:t>m</w:t>
                  </w:r>
                </w:p>
              </w:tc>
              <w:tc>
                <w:tcPr>
                  <w:tcW w:w="469"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56.14</w:t>
                  </w:r>
                  <w:r>
                    <w:rPr>
                      <w:rFonts w:ascii="Times New Roman" w:eastAsia="宋体" w:cs="Times New Roman" w:hAnsi="Times New Roman" w:hint="eastAsia"/>
                      <w:bCs/>
                      <w:color w:val="auto"/>
                      <w:kern w:val="0"/>
                      <w:sz w:val="21"/>
                      <w:szCs w:val="21"/>
                      <w:lang w:val="en-US" w:eastAsia="zh-CN" w:bidi="ar-SA"/>
                      <w:highlight w:val="none"/>
                    </w:rPr>
                    <w:t>dB（A）</w:t>
                  </w:r>
                </w:p>
              </w:tc>
              <w:tc>
                <w:tcPr>
                  <w:tcW w:w="238" w:type="pct"/>
                  <w:vMerge/>
                  <w:vAlign w:val="center"/>
                </w:tcPr>
                <w:p/>
              </w:tc>
              <w:tc>
                <w:tcPr>
                  <w:tcW w:w="448"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21dB（A）</w:t>
                  </w:r>
                </w:p>
              </w:tc>
              <w:tc>
                <w:tcPr>
                  <w:tcW w:w="516"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35.14</w:t>
                  </w:r>
                  <w:r>
                    <w:rPr>
                      <w:rFonts w:ascii="Times New Roman" w:eastAsia="宋体" w:cs="Times New Roman" w:hAnsi="Times New Roman" w:hint="eastAsia"/>
                      <w:bCs/>
                      <w:color w:val="auto"/>
                      <w:kern w:val="0"/>
                      <w:sz w:val="21"/>
                      <w:szCs w:val="21"/>
                      <w:lang w:val="en-US" w:eastAsia="zh-CN" w:bidi="ar-SA"/>
                      <w:highlight w:val="none"/>
                    </w:rPr>
                    <w:t>dB（A）</w:t>
                  </w:r>
                </w:p>
              </w:tc>
            </w:tr>
          </w:tbl>
          <w:p>
            <w:pPr>
              <w:keepNext w:val="0"/>
              <w:keepLines w:val="0"/>
              <w:pageBreakBefore w:val="0"/>
              <w:widowControl w:val="0"/>
              <w:kinsoku/>
              <w:wordWrap/>
              <w:overflowPunct/>
              <w:topLinePunct w:val="0"/>
              <w:autoSpaceDE/>
              <w:autoSpaceDN/>
              <w:bidi w:val="0"/>
              <w:adjustRightInd/>
              <w:snapToGrid/>
              <w:spacing w:line="360" w:lineRule="exact"/>
              <w:ind w:firstLineChars="200" w:firstLine="420"/>
              <w:jc w:val="left"/>
              <w:textAlignment w:val="auto"/>
              <w:rPr>
                <w:rFonts w:ascii="Times New Roman" w:eastAsia="宋体" w:cs="Times New Roman" w:hAnsi="Times New Roman"/>
                <w:b/>
                <w:bCs/>
                <w:color w:val="auto"/>
                <w:sz w:val="21"/>
                <w:szCs w:val="21"/>
                <w:highlight w:val="none"/>
              </w:rPr>
            </w:pPr>
            <w:r>
              <w:rPr>
                <w:rFonts w:ascii="Times New Roman" w:eastAsia="宋体" w:cs="Times New Roman" w:hAnsi="Times New Roman" w:hint="eastAsia"/>
                <w:b/>
                <w:bCs/>
                <w:color w:val="auto"/>
                <w:sz w:val="21"/>
                <w:szCs w:val="21"/>
                <w:lang w:eastAsia="zh-CN"/>
                <w:highlight w:val="none"/>
              </w:rPr>
              <w:t>注：上表坐标以</w:t>
            </w:r>
            <w:r>
              <w:rPr>
                <w:rFonts w:cs="Times New Roman" w:hint="eastAsia"/>
                <w:b/>
                <w:bCs/>
                <w:color w:val="auto"/>
                <w:sz w:val="21"/>
                <w:szCs w:val="21"/>
                <w:lang w:eastAsia="zh-CN"/>
                <w:highlight w:val="none"/>
              </w:rPr>
              <w:t>库房西南角</w:t>
            </w:r>
            <w:r>
              <w:rPr>
                <w:rFonts w:ascii="Times New Roman" w:eastAsia="宋体" w:cs="Times New Roman" w:hAnsi="Times New Roman" w:hint="eastAsia"/>
                <w:b/>
                <w:bCs/>
                <w:color w:val="auto"/>
                <w:sz w:val="21"/>
                <w:szCs w:val="21"/>
                <w:lang w:eastAsia="zh-CN"/>
                <w:highlight w:val="none"/>
              </w:rPr>
              <w:t>为原点建立坐标系</w:t>
            </w:r>
            <w:r>
              <w:rPr>
                <w:rFonts w:ascii="Times New Roman" w:eastAsia="宋体" w:cs="Times New Roman" w:hAnsi="Times New Roman"/>
                <w:b/>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项目选用低噪声设备，采取安装基础减振、厂房隔声等措施对噪声污染进行控制。</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（2）预测范围、点位、因子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①噪声预测范围为：厂界外1m；</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②预测点位：以厂界作为预测点，其中在西、北、东、南厂界各设1个点位，共4个预测点位。</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③厂界噪声预测因子：等效连续A声级。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（2）预测模式及参数选取</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①单个室外点声源在预测点产生的声级计算基本公式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已知声源的倍频带声功率级</w:t>
            </w:r>
            <w:r>
              <w:rPr>
                <w:rFonts w:hint="eastAsia"/>
                <w:color w:val="auto"/>
                <w:sz w:val="24"/>
                <w:lang w:val="fr-FR" w:eastAsia="zh-CN"/>
                <w:highlight w:val="none"/>
              </w:rPr>
              <w:t>（</w:t>
            </w:r>
            <w:r>
              <w:rPr>
                <w:rFonts w:hint="eastAsia"/>
                <w:color w:val="auto"/>
                <w:sz w:val="24"/>
                <w:lang w:val="fr-FR"/>
                <w:highlight w:val="none"/>
              </w:rPr>
              <w:t>从63Hz到8000Hz标称频带中心频率的8个倍频带</w:t>
            </w:r>
            <w:r>
              <w:rPr>
                <w:rFonts w:hint="eastAsia"/>
                <w:color w:val="auto"/>
                <w:sz w:val="24"/>
                <w:lang w:val="fr-FR" w:eastAsia="zh-CN"/>
                <w:highlight w:val="none"/>
              </w:rPr>
              <w:t>）</w:t>
            </w:r>
            <w:r>
              <w:rPr>
                <w:rFonts w:hint="eastAsia"/>
                <w:color w:val="auto"/>
                <w:sz w:val="24"/>
                <w:lang w:val="fr-FR"/>
                <w:highlight w:val="none"/>
              </w:rPr>
              <w:t>，预测点位置的倍频带声压级</w:t>
            </w:r>
            <w:r>
              <w:rPr>
                <w:rFonts w:hint="eastAsia"/>
                <w:color w:val="auto"/>
                <w:sz w:val="24"/>
                <w:highlight w:val="none"/>
              </w:rPr>
              <w:drawing>
                <wp:inline distT="0" distB="0" distL="114300" distR="114300">
                  <wp:extent cx="387985" cy="250190"/>
                  <wp:effectExtent l="0" t="0" r="1" b="0"/>
                  <wp:docPr id="160" name="图片 1" descr="C:\Users\user\AppData\Local\Temp\ksohtml4296\wps17.jpg"/>
                  <wp:cNvGraphicFramePr>
                    <a:graphicFrameLocks noChangeAspect="1"/>
                  </wp:cNvGraphicFramePr>
                  <a:graphic>
                    <a:graphicData uri="http://schemas.openxmlformats.org/drawingml/2006/picture">
                      <pic:pic>
                        <pic:nvPicPr>
                          <pic:cNvPr id="126" name="图片 1 126"/>
                          <pic:cNvPicPr/>
                        </pic:nvPicPr>
                        <pic:blipFill>
                          <a:blip r:embed="rId6"/>
                          <a:stretch>
                            <a:fillRect/>
                          </a:stretch>
                        </pic:blipFill>
                        <pic:spPr>
                          <a:xfrm rot="0">
                            <a:off x="0" y="0"/>
                            <a:ext cx="387985" cy="250190"/>
                          </a:xfrm>
                          <a:prstGeom prst="rect"/>
                          <a:noFill/>
                          <a:ln cmpd="sng" cap="flat">
                            <a:noFill/>
                            <a:prstDash val="solid"/>
                            <a:round/>
                          </a:ln>
                        </pic:spPr>
                      </pic:pic>
                    </a:graphicData>
                  </a:graphic>
                </wp:inline>
              </w:drawing>
            </w:r>
            <w:r>
              <w:rPr>
                <w:rFonts w:hint="eastAsia"/>
                <w:color w:val="auto"/>
                <w:sz w:val="24"/>
                <w:lang w:val="fr-FR"/>
                <w:highlight w:val="none"/>
              </w:rPr>
              <w:t>可按下式计算：</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1337310" cy="250190"/>
                  <wp:effectExtent l="0" t="0" r="1" b="0"/>
                  <wp:docPr id="161" name="图片 2" descr="C:\Users\user\AppData\Local\Temp\ksohtml4296\wps18.jpg"/>
                  <wp:cNvGraphicFramePr>
                    <a:graphicFrameLocks noChangeAspect="1"/>
                  </wp:cNvGraphicFramePr>
                  <a:graphic>
                    <a:graphicData uri="http://schemas.openxmlformats.org/drawingml/2006/picture">
                      <pic:pic>
                        <pic:nvPicPr>
                          <pic:cNvPr id="128" name="图片 2 128"/>
                          <pic:cNvPicPr/>
                        </pic:nvPicPr>
                        <pic:blipFill>
                          <a:blip r:embed="rId7"/>
                          <a:stretch>
                            <a:fillRect/>
                          </a:stretch>
                        </pic:blipFill>
                        <pic:spPr>
                          <a:xfrm rot="0">
                            <a:off x="0" y="0"/>
                            <a:ext cx="1337310"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2105025" cy="250190"/>
                  <wp:effectExtent l="0" t="0" r="0" b="0"/>
                  <wp:docPr id="162" name="图片 3" descr="C:\Users\user\AppData\Local\Temp\ksohtml4296\wps19.jpg"/>
                  <wp:cNvGraphicFramePr>
                    <a:graphicFrameLocks noChangeAspect="1"/>
                  </wp:cNvGraphicFramePr>
                  <a:graphic>
                    <a:graphicData uri="http://schemas.openxmlformats.org/drawingml/2006/picture">
                      <pic:pic>
                        <pic:nvPicPr>
                          <pic:cNvPr id="130" name="图片 3 130"/>
                          <pic:cNvPicPr/>
                        </pic:nvPicPr>
                        <pic:blipFill>
                          <a:blip r:embed="rId8"/>
                          <a:stretch>
                            <a:fillRect/>
                          </a:stretch>
                        </pic:blipFill>
                        <pic:spPr>
                          <a:xfrm rot="0">
                            <a:off x="0" y="0"/>
                            <a:ext cx="2105025"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396875" cy="250190"/>
                  <wp:effectExtent l="0" t="0" r="0" b="0"/>
                  <wp:docPr id="163" name="图片 4" descr="C:\Users\user\AppData\Local\Temp\ksohtml4296\wps20.jpg"/>
                  <wp:cNvGraphicFramePr>
                    <a:graphicFrameLocks noChangeAspect="1"/>
                  </wp:cNvGraphicFramePr>
                  <a:graphic>
                    <a:graphicData uri="http://schemas.openxmlformats.org/drawingml/2006/picture">
                      <pic:pic>
                        <pic:nvPicPr>
                          <pic:cNvPr id="132" name="图片 4 132"/>
                          <pic:cNvPicPr/>
                        </pic:nvPicPr>
                        <pic:blipFill>
                          <a:blip r:embed="rId9"/>
                          <a:stretch>
                            <a:fillRect/>
                          </a:stretch>
                        </pic:blipFill>
                        <pic:spPr>
                          <a:xfrm rot="0">
                            <a:off x="0" y="0"/>
                            <a:ext cx="396875" cy="250190"/>
                          </a:xfrm>
                          <a:prstGeom prst="rect"/>
                          <a:noFill/>
                          <a:ln cmpd="sng" cap="flat">
                            <a:noFill/>
                            <a:prstDash val="solid"/>
                            <a:round/>
                          </a:ln>
                        </pic:spPr>
                      </pic:pic>
                    </a:graphicData>
                  </a:graphic>
                </wp:inline>
              </w:drawing>
            </w:r>
            <w:r>
              <w:rPr>
                <w:rFonts w:hint="eastAsia"/>
                <w:color w:val="auto"/>
                <w:sz w:val="24"/>
                <w:highlight w:val="none"/>
              </w:rPr>
              <w:t>——距离声源r处的倍频带声压级，dB；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24154"/>
                  <wp:effectExtent l="0" t="0" r="1" b="0"/>
                  <wp:docPr id="164" name="图片 5" descr="C:\Users\user\AppData\Local\Temp\ksohtml4296\wps21.jpg"/>
                  <wp:cNvGraphicFramePr>
                    <a:graphicFrameLocks noChangeAspect="1"/>
                  </wp:cNvGraphicFramePr>
                  <a:graphic>
                    <a:graphicData uri="http://schemas.openxmlformats.org/drawingml/2006/picture">
                      <pic:pic>
                        <pic:nvPicPr>
                          <pic:cNvPr id="134" name="图片 5 134"/>
                          <pic:cNvPicPr/>
                        </pic:nvPicPr>
                        <pic:blipFill>
                          <a:blip r:embed="rId10"/>
                          <a:stretch>
                            <a:fillRect/>
                          </a:stretch>
                        </pic:blipFill>
                        <pic:spPr>
                          <a:xfrm rot="0">
                            <a:off x="0" y="0"/>
                            <a:ext cx="207010" cy="224154"/>
                          </a:xfrm>
                          <a:prstGeom prst="rect"/>
                          <a:noFill/>
                          <a:ln cmpd="sng" cap="flat">
                            <a:noFill/>
                            <a:prstDash val="solid"/>
                            <a:round/>
                          </a:ln>
                        </pic:spPr>
                      </pic:pic>
                    </a:graphicData>
                  </a:graphic>
                </wp:inline>
              </w:drawing>
            </w:r>
            <w:r>
              <w:rPr>
                <w:rFonts w:hint="eastAsia"/>
                <w:color w:val="auto"/>
                <w:sz w:val="24"/>
                <w:highlight w:val="none"/>
              </w:rPr>
              <w:t>——倍频带声功率级，dB；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50190"/>
                  <wp:effectExtent l="0" t="0" r="1" b="0"/>
                  <wp:docPr id="165" name="图片 6" descr="C:\Users\user\AppData\Local\Temp\ksohtml4296\wps22.jpg"/>
                  <wp:cNvGraphicFramePr>
                    <a:graphicFrameLocks noChangeAspect="1"/>
                  </wp:cNvGraphicFramePr>
                  <a:graphic>
                    <a:graphicData uri="http://schemas.openxmlformats.org/drawingml/2006/picture">
                      <pic:pic>
                        <pic:nvPicPr>
                          <pic:cNvPr id="136" name="图片 6 136"/>
                          <pic:cNvPicPr/>
                        </pic:nvPicPr>
                        <pic:blipFill>
                          <a:blip r:embed="rId11"/>
                          <a:stretch>
                            <a:fillRect/>
                          </a:stretch>
                        </pic:blipFill>
                        <pic:spPr>
                          <a:xfrm rot="0">
                            <a:off x="0" y="0"/>
                            <a:ext cx="207010" cy="250190"/>
                          </a:xfrm>
                          <a:prstGeom prst="rect"/>
                          <a:noFill/>
                          <a:ln cmpd="sng" cap="flat">
                            <a:noFill/>
                            <a:prstDash val="solid"/>
                            <a:round/>
                          </a:ln>
                        </pic:spPr>
                      </pic:pic>
                    </a:graphicData>
                  </a:graphic>
                </wp:inline>
              </w:drawing>
            </w:r>
            <w:r>
              <w:rPr>
                <w:rFonts w:hint="eastAsia"/>
                <w:color w:val="auto"/>
                <w:sz w:val="24"/>
                <w:highlight w:val="none"/>
              </w:rPr>
              <w:t>——指向性校正，dB；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172720"/>
                  <wp:effectExtent l="0" t="0" r="1" b="0"/>
                  <wp:docPr id="166" name="图片 7" descr="C:\Users\user\AppData\Local\Temp\ksohtml4296\wps23.jpg"/>
                  <wp:cNvGraphicFramePr>
                    <a:graphicFrameLocks noChangeAspect="1"/>
                  </wp:cNvGraphicFramePr>
                  <a:graphic>
                    <a:graphicData uri="http://schemas.openxmlformats.org/drawingml/2006/picture">
                      <pic:pic>
                        <pic:nvPicPr>
                          <pic:cNvPr id="138" name="图片 7 138"/>
                          <pic:cNvPicPr/>
                        </pic:nvPicPr>
                        <pic:blipFill>
                          <a:blip r:embed="rId12"/>
                          <a:stretch>
                            <a:fillRect/>
                          </a:stretch>
                        </pic:blipFill>
                        <pic:spPr>
                          <a:xfrm rot="0">
                            <a:off x="0" y="0"/>
                            <a:ext cx="155575" cy="172720"/>
                          </a:xfrm>
                          <a:prstGeom prst="rect"/>
                          <a:noFill/>
                          <a:ln cmpd="sng" cap="flat">
                            <a:noFill/>
                            <a:prstDash val="solid"/>
                            <a:round/>
                          </a:ln>
                        </pic:spPr>
                      </pic:pic>
                    </a:graphicData>
                  </a:graphic>
                </wp:inline>
              </w:drawing>
            </w:r>
            <w:r>
              <w:rPr>
                <w:rFonts w:hint="eastAsia"/>
                <w:color w:val="auto"/>
                <w:sz w:val="24"/>
                <w:highlight w:val="none"/>
              </w:rPr>
              <w:t>——倍频带衰减，dB；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67334" cy="224154"/>
                  <wp:effectExtent l="0" t="0" r="1" b="0"/>
                  <wp:docPr id="167" name="图片 8" descr="C:\Users\user\AppData\Local\Temp\ksohtml4296\wps24.jpg"/>
                  <wp:cNvGraphicFramePr>
                    <a:graphicFrameLocks noChangeAspect="1"/>
                  </wp:cNvGraphicFramePr>
                  <a:graphic>
                    <a:graphicData uri="http://schemas.openxmlformats.org/drawingml/2006/picture">
                      <pic:pic>
                        <pic:nvPicPr>
                          <pic:cNvPr id="140" name="图片 8 140"/>
                          <pic:cNvPicPr/>
                        </pic:nvPicPr>
                        <pic:blipFill>
                          <a:blip r:embed="rId13"/>
                          <a:stretch>
                            <a:fillRect/>
                          </a:stretch>
                        </pic:blipFill>
                        <pic:spPr>
                          <a:xfrm rot="0">
                            <a:off x="0" y="0"/>
                            <a:ext cx="267334" cy="224154"/>
                          </a:xfrm>
                          <a:prstGeom prst="rect"/>
                          <a:noFill/>
                          <a:ln cmpd="sng" cap="flat">
                            <a:noFill/>
                            <a:prstDash val="solid"/>
                            <a:round/>
                          </a:ln>
                        </pic:spPr>
                      </pic:pic>
                    </a:graphicData>
                  </a:graphic>
                </wp:inline>
              </w:drawing>
            </w:r>
            <w:r>
              <w:rPr>
                <w:rFonts w:hint="eastAsia"/>
                <w:color w:val="auto"/>
                <w:sz w:val="24"/>
                <w:highlight w:val="none"/>
              </w:rPr>
              <w:t>——几何发散引起的倍频带衰减，dB；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50190" cy="267334"/>
                  <wp:effectExtent l="0" t="0" r="0" b="1"/>
                  <wp:docPr id="168" name="图片 9" descr="C:\Users\user\AppData\Local\Temp\ksohtml4296\wps25.jpg"/>
                  <wp:cNvGraphicFramePr>
                    <a:graphicFrameLocks noChangeAspect="1"/>
                  </wp:cNvGraphicFramePr>
                  <a:graphic>
                    <a:graphicData uri="http://schemas.openxmlformats.org/drawingml/2006/picture">
                      <pic:pic>
                        <pic:nvPicPr>
                          <pic:cNvPr id="142" name="图片 9 142"/>
                          <pic:cNvPicPr/>
                        </pic:nvPicPr>
                        <pic:blipFill>
                          <a:blip r:embed="rId14"/>
                          <a:stretch>
                            <a:fillRect/>
                          </a:stretch>
                        </pic:blipFill>
                        <pic:spPr>
                          <a:xfrm rot="0">
                            <a:off x="0" y="0"/>
                            <a:ext cx="250190" cy="267334"/>
                          </a:xfrm>
                          <a:prstGeom prst="rect"/>
                          <a:noFill/>
                          <a:ln cmpd="sng" cap="flat">
                            <a:noFill/>
                            <a:prstDash val="solid"/>
                            <a:round/>
                          </a:ln>
                        </pic:spPr>
                      </pic:pic>
                    </a:graphicData>
                  </a:graphic>
                </wp:inline>
              </w:drawing>
            </w:r>
            <w:r>
              <w:rPr>
                <w:rFonts w:hint="eastAsia"/>
                <w:color w:val="auto"/>
                <w:sz w:val="24"/>
                <w:highlight w:val="none"/>
              </w:rPr>
              <w:t>——地面效应引起的倍频带衰减，dB；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24154"/>
                  <wp:effectExtent l="0" t="0" r="1" b="0"/>
                  <wp:docPr id="169" name="图片 10" descr="C:\Users\user\AppData\Local\Temp\ksohtml4296\wps26.jpg"/>
                  <wp:cNvGraphicFramePr>
                    <a:graphicFrameLocks noChangeAspect="1"/>
                  </wp:cNvGraphicFramePr>
                  <a:graphic>
                    <a:graphicData uri="http://schemas.openxmlformats.org/drawingml/2006/picture">
                      <pic:pic>
                        <pic:nvPicPr>
                          <pic:cNvPr id="144" name="图片 10 144"/>
                          <pic:cNvPicPr/>
                        </pic:nvPicPr>
                        <pic:blipFill>
                          <a:blip r:embed="rId15"/>
                          <a:stretch>
                            <a:fillRect/>
                          </a:stretch>
                        </pic:blipFill>
                        <pic:spPr>
                          <a:xfrm rot="0">
                            <a:off x="0" y="0"/>
                            <a:ext cx="284479" cy="224154"/>
                          </a:xfrm>
                          <a:prstGeom prst="rect"/>
                          <a:noFill/>
                          <a:ln cmpd="sng" cap="flat">
                            <a:noFill/>
                            <a:prstDash val="solid"/>
                            <a:round/>
                          </a:ln>
                        </pic:spPr>
                      </pic:pic>
                    </a:graphicData>
                  </a:graphic>
                </wp:inline>
              </w:drawing>
            </w:r>
            <w:r>
              <w:rPr>
                <w:rFonts w:hint="eastAsia"/>
                <w:color w:val="auto"/>
                <w:sz w:val="24"/>
                <w:highlight w:val="none"/>
              </w:rPr>
              <w:t>——大气吸收引起的倍频带衰减，dB；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24154"/>
                  <wp:effectExtent l="0" t="0" r="1" b="0"/>
                  <wp:docPr id="170" name="图片 11" descr="C:\Users\user\AppData\Local\Temp\ksohtml4296\wps27.jpg"/>
                  <wp:cNvGraphicFramePr>
                    <a:graphicFrameLocks noChangeAspect="1"/>
                  </wp:cNvGraphicFramePr>
                  <a:graphic>
                    <a:graphicData uri="http://schemas.openxmlformats.org/drawingml/2006/picture">
                      <pic:pic>
                        <pic:nvPicPr>
                          <pic:cNvPr id="146" name="图片 11 146"/>
                          <pic:cNvPicPr/>
                        </pic:nvPicPr>
                        <pic:blipFill>
                          <a:blip r:embed="rId16"/>
                          <a:stretch>
                            <a:fillRect/>
                          </a:stretch>
                        </pic:blipFill>
                        <pic:spPr>
                          <a:xfrm rot="0">
                            <a:off x="0" y="0"/>
                            <a:ext cx="284479" cy="224154"/>
                          </a:xfrm>
                          <a:prstGeom prst="rect"/>
                          <a:noFill/>
                          <a:ln cmpd="sng" cap="flat">
                            <a:noFill/>
                            <a:prstDash val="solid"/>
                            <a:round/>
                          </a:ln>
                        </pic:spPr>
                      </pic:pic>
                    </a:graphicData>
                  </a:graphic>
                </wp:inline>
              </w:drawing>
            </w:r>
            <w:r>
              <w:rPr>
                <w:rFonts w:hint="eastAsia"/>
                <w:color w:val="auto"/>
                <w:sz w:val="24"/>
                <w:highlight w:val="none"/>
              </w:rPr>
              <w:t>——声屏障引起的倍频带衰减，dB；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327660" cy="224154"/>
                  <wp:effectExtent l="0" t="0" r="0" b="0"/>
                  <wp:docPr id="171" name="图片 12" descr="C:\Users\user\AppData\Local\Temp\ksohtml4296\wps28.jpg"/>
                  <wp:cNvGraphicFramePr>
                    <a:graphicFrameLocks noChangeAspect="1"/>
                  </wp:cNvGraphicFramePr>
                  <a:graphic>
                    <a:graphicData uri="http://schemas.openxmlformats.org/drawingml/2006/picture">
                      <pic:pic>
                        <pic:nvPicPr>
                          <pic:cNvPr id="148" name="图片 12 148"/>
                          <pic:cNvPicPr/>
                        </pic:nvPicPr>
                        <pic:blipFill>
                          <a:blip r:embed="rId17"/>
                          <a:stretch>
                            <a:fillRect/>
                          </a:stretch>
                        </pic:blipFill>
                        <pic:spPr>
                          <a:xfrm rot="0">
                            <a:off x="0" y="0"/>
                            <a:ext cx="327660" cy="224154"/>
                          </a:xfrm>
                          <a:prstGeom prst="rect"/>
                          <a:noFill/>
                          <a:ln cmpd="sng" cap="flat">
                            <a:noFill/>
                            <a:prstDash val="solid"/>
                            <a:round/>
                          </a:ln>
                        </pic:spPr>
                      </pic:pic>
                    </a:graphicData>
                  </a:graphic>
                </wp:inline>
              </w:drawing>
            </w:r>
            <w:r>
              <w:rPr>
                <w:rFonts w:hint="eastAsia"/>
                <w:color w:val="auto"/>
                <w:sz w:val="24"/>
                <w:highlight w:val="none"/>
              </w:rPr>
              <w:t>——其它多方面效应引起的倍频带衰减，dB。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②室内点声源对厂界噪声预测点贡献值预测模式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室内声源首先换算为等效室外声源，再按各类声源模式计算。</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A、首先计算出某个室内声源靠近围护结构处的倍频带声压级：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716405" cy="396875"/>
                  <wp:effectExtent l="0" t="0" r="0" b="0"/>
                  <wp:docPr id="172" name="图片 13" descr="C:\Users\user\AppData\Local\Temp\ksohtml4296\wps29.jpg"/>
                  <wp:cNvGraphicFramePr>
                    <a:graphicFrameLocks noChangeAspect="1"/>
                  </wp:cNvGraphicFramePr>
                  <a:graphic>
                    <a:graphicData uri="http://schemas.openxmlformats.org/drawingml/2006/picture">
                      <pic:pic>
                        <pic:nvPicPr>
                          <pic:cNvPr id="150" name="图片 13 150"/>
                          <pic:cNvPicPr/>
                        </pic:nvPicPr>
                        <pic:blipFill>
                          <a:blip r:embed="rId18"/>
                          <a:stretch>
                            <a:fillRect/>
                          </a:stretch>
                        </pic:blipFill>
                        <pic:spPr>
                          <a:xfrm rot="0">
                            <a:off x="0" y="0"/>
                            <a:ext cx="1716405" cy="396875"/>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224154" cy="250190"/>
                  <wp:effectExtent l="0" t="0" r="0" b="0"/>
                  <wp:docPr id="173" name="图片 14" descr="C:\Users\user\AppData\Local\Temp\ksohtml4296\wps30.jpg"/>
                  <wp:cNvGraphicFramePr>
                    <a:graphicFrameLocks noChangeAspect="1"/>
                  </wp:cNvGraphicFramePr>
                  <a:graphic>
                    <a:graphicData uri="http://schemas.openxmlformats.org/drawingml/2006/picture">
                      <pic:pic>
                        <pic:nvPicPr>
                          <pic:cNvPr id="152" name="图片 14 152"/>
                          <pic:cNvPicPr/>
                        </pic:nvPicPr>
                        <pic:blipFill>
                          <a:blip r:embed="rId19"/>
                          <a:stretch>
                            <a:fillRect/>
                          </a:stretch>
                        </pic:blipFill>
                        <pic:spPr>
                          <a:xfrm rot="0">
                            <a:off x="0" y="0"/>
                            <a:ext cx="224154" cy="250190"/>
                          </a:xfrm>
                          <a:prstGeom prst="rect"/>
                          <a:noFill/>
                          <a:ln cmpd="sng" cap="flat">
                            <a:noFill/>
                            <a:prstDash val="solid"/>
                            <a:round/>
                          </a:ln>
                        </pic:spPr>
                      </pic:pic>
                    </a:graphicData>
                  </a:graphic>
                </wp:inline>
              </w:drawing>
            </w:r>
            <w:r>
              <w:rPr>
                <w:rFonts w:hint="eastAsia"/>
                <w:color w:val="auto"/>
                <w:sz w:val="24"/>
                <w:highlight w:val="none"/>
              </w:rPr>
              <w:t>——室内声源在靠近围护结构处产生的倍频带声压级，dB；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07010" cy="224154"/>
                  <wp:effectExtent l="0" t="0" r="1" b="0"/>
                  <wp:docPr id="174" name="图片 15" descr="C:\Users\user\AppData\Local\Temp\ksohtml4296\wps31.jpg"/>
                  <wp:cNvGraphicFramePr>
                    <a:graphicFrameLocks noChangeAspect="1"/>
                  </wp:cNvGraphicFramePr>
                  <a:graphic>
                    <a:graphicData uri="http://schemas.openxmlformats.org/drawingml/2006/picture">
                      <pic:pic>
                        <pic:nvPicPr>
                          <pic:cNvPr id="153" name="图片 15 153"/>
                          <pic:cNvPicPr/>
                        </pic:nvPicPr>
                        <pic:blipFill>
                          <a:blip r:embed="rId20"/>
                          <a:stretch>
                            <a:fillRect/>
                          </a:stretch>
                        </pic:blipFill>
                        <pic:spPr>
                          <a:xfrm rot="0">
                            <a:off x="0" y="0"/>
                            <a:ext cx="207010" cy="224154"/>
                          </a:xfrm>
                          <a:prstGeom prst="rect"/>
                          <a:noFill/>
                          <a:ln cmpd="sng" cap="flat">
                            <a:noFill/>
                            <a:prstDash val="solid"/>
                            <a:round/>
                          </a:ln>
                        </pic:spPr>
                      </pic:pic>
                    </a:graphicData>
                  </a:graphic>
                </wp:inline>
              </w:drawing>
            </w:r>
            <w:r>
              <w:rPr>
                <w:rFonts w:hint="eastAsia"/>
                <w:color w:val="auto"/>
                <w:sz w:val="24"/>
                <w:highlight w:val="none"/>
              </w:rPr>
              <w:t>——声源的倍频带声功率级，dB；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20650" cy="120650"/>
                  <wp:effectExtent l="0" t="0" r="0" b="0"/>
                  <wp:docPr id="175" name="图片 16" descr="C:\Users\user\AppData\Local\Temp\ksohtml4296\wps32.jpg"/>
                  <wp:cNvGraphicFramePr>
                    <a:graphicFrameLocks noChangeAspect="1"/>
                  </wp:cNvGraphicFramePr>
                  <a:graphic>
                    <a:graphicData uri="http://schemas.openxmlformats.org/drawingml/2006/picture">
                      <pic:pic>
                        <pic:nvPicPr>
                          <pic:cNvPr id="155" name="图片 16 155"/>
                          <pic:cNvPicPr/>
                        </pic:nvPicPr>
                        <pic:blipFill>
                          <a:blip r:embed="rId21"/>
                          <a:stretch>
                            <a:fillRect/>
                          </a:stretch>
                        </pic:blipFill>
                        <pic:spPr>
                          <a:xfrm rot="0">
                            <a:off x="0" y="0"/>
                            <a:ext cx="120650" cy="120650"/>
                          </a:xfrm>
                          <a:prstGeom prst="rect"/>
                          <a:noFill/>
                          <a:ln cmpd="sng" cap="flat">
                            <a:noFill/>
                            <a:prstDash val="solid"/>
                            <a:round/>
                          </a:ln>
                        </pic:spPr>
                      </pic:pic>
                    </a:graphicData>
                  </a:graphic>
                </wp:inline>
              </w:drawing>
            </w:r>
            <w:r>
              <w:rPr>
                <w:rFonts w:hint="eastAsia"/>
                <w:color w:val="auto"/>
                <w:sz w:val="24"/>
                <w:highlight w:val="none"/>
              </w:rPr>
              <w:t>——声源到靠近围护结构某点处的距离，m；</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207010"/>
                  <wp:effectExtent l="0" t="0" r="1" b="1"/>
                  <wp:docPr id="176" name="图片 17" descr="C:\Users\user\AppData\Local\Temp\ksohtml4296\wps33.jpg"/>
                  <wp:cNvGraphicFramePr>
                    <a:graphicFrameLocks noChangeAspect="1"/>
                  </wp:cNvGraphicFramePr>
                  <a:graphic>
                    <a:graphicData uri="http://schemas.openxmlformats.org/drawingml/2006/picture">
                      <pic:pic>
                        <pic:nvPicPr>
                          <pic:cNvPr id="157" name="图片 17 157"/>
                          <pic:cNvPicPr/>
                        </pic:nvPicPr>
                        <pic:blipFill>
                          <a:blip r:embed="rId22"/>
                          <a:stretch>
                            <a:fillRect/>
                          </a:stretch>
                        </pic:blipFill>
                        <pic:spPr>
                          <a:xfrm rot="0">
                            <a:off x="0" y="0"/>
                            <a:ext cx="155575" cy="207010"/>
                          </a:xfrm>
                          <a:prstGeom prst="rect"/>
                          <a:noFill/>
                          <a:ln cmpd="sng" cap="flat">
                            <a:noFill/>
                            <a:prstDash val="solid"/>
                            <a:round/>
                          </a:ln>
                        </pic:spPr>
                      </pic:pic>
                    </a:graphicData>
                  </a:graphic>
                </wp:inline>
              </w:drawing>
            </w:r>
            <w:r>
              <w:rPr>
                <w:rFonts w:hint="eastAsia"/>
                <w:color w:val="auto"/>
                <w:sz w:val="24"/>
                <w:highlight w:val="none"/>
              </w:rPr>
              <w:t>——指向性因子；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55575" cy="172720"/>
                  <wp:effectExtent l="0" t="0" r="1" b="1"/>
                  <wp:docPr id="177" name="图片 18" descr="C:\Users\user\AppData\Local\Temp\ksohtml4296\wps34.jpg"/>
                  <wp:cNvGraphicFramePr>
                    <a:graphicFrameLocks noChangeAspect="1"/>
                  </wp:cNvGraphicFramePr>
                  <a:graphic>
                    <a:graphicData uri="http://schemas.openxmlformats.org/drawingml/2006/picture">
                      <pic:pic>
                        <pic:nvPicPr>
                          <pic:cNvPr id="159" name="图片 18 159"/>
                          <pic:cNvPicPr/>
                        </pic:nvPicPr>
                        <pic:blipFill>
                          <a:blip r:embed="rId23"/>
                          <a:stretch>
                            <a:fillRect/>
                          </a:stretch>
                        </pic:blipFill>
                        <pic:spPr>
                          <a:xfrm rot="0">
                            <a:off x="0" y="0"/>
                            <a:ext cx="155575" cy="172720"/>
                          </a:xfrm>
                          <a:prstGeom prst="rect"/>
                          <a:noFill/>
                          <a:ln cmpd="sng" cap="flat">
                            <a:noFill/>
                            <a:prstDash val="solid"/>
                            <a:round/>
                          </a:ln>
                        </pic:spPr>
                      </pic:pic>
                    </a:graphicData>
                  </a:graphic>
                </wp:inline>
              </w:drawing>
            </w:r>
            <w:r>
              <w:rPr>
                <w:rFonts w:hint="eastAsia"/>
                <w:color w:val="auto"/>
                <w:sz w:val="24"/>
                <w:highlight w:val="none"/>
              </w:rPr>
              <w:t>——房间常数，</w:t>
            </w:r>
            <w:r>
              <w:rPr>
                <w:rFonts w:hint="eastAsia"/>
                <w:color w:val="auto"/>
                <w:sz w:val="24"/>
                <w:highlight w:val="none"/>
              </w:rPr>
              <w:drawing>
                <wp:inline distT="0" distB="0" distL="114300" distR="114300">
                  <wp:extent cx="974725" cy="207010"/>
                  <wp:effectExtent l="0" t="0" r="1" b="1"/>
                  <wp:docPr id="178" name="图片 19" descr="C:\Users\user\AppData\Local\Temp\ksohtml4296\wps35.jpg"/>
                  <wp:cNvGraphicFramePr>
                    <a:graphicFrameLocks noChangeAspect="1"/>
                  </wp:cNvGraphicFramePr>
                  <a:graphic>
                    <a:graphicData uri="http://schemas.openxmlformats.org/drawingml/2006/picture">
                      <pic:pic>
                        <pic:nvPicPr>
                          <pic:cNvPr id="161" name="图片 19 161"/>
                          <pic:cNvPicPr/>
                        </pic:nvPicPr>
                        <pic:blipFill>
                          <a:blip r:embed="rId24"/>
                          <a:stretch>
                            <a:fillRect/>
                          </a:stretch>
                        </pic:blipFill>
                        <pic:spPr>
                          <a:xfrm rot="0">
                            <a:off x="0" y="0"/>
                            <a:ext cx="974725" cy="207010"/>
                          </a:xfrm>
                          <a:prstGeom prst="rect"/>
                          <a:noFill/>
                          <a:ln cmpd="sng" cap="flat">
                            <a:noFill/>
                            <a:prstDash val="solid"/>
                            <a:round/>
                          </a:ln>
                        </pic:spPr>
                      </pic:pic>
                    </a:graphicData>
                  </a:graphic>
                </wp:inline>
              </w:drawing>
            </w:r>
            <w:r>
              <w:rPr>
                <w:rFonts w:hint="eastAsia"/>
                <w:color w:val="auto"/>
                <w:sz w:val="24"/>
                <w:highlight w:val="none"/>
              </w:rPr>
              <w:t>，</w:t>
            </w:r>
            <w:r>
              <w:rPr>
                <w:rFonts w:hint="eastAsia"/>
                <w:color w:val="auto"/>
                <w:sz w:val="24"/>
                <w:highlight w:val="none"/>
              </w:rPr>
              <w:drawing>
                <wp:inline distT="0" distB="0" distL="114300" distR="114300">
                  <wp:extent cx="146685" cy="180975"/>
                  <wp:effectExtent l="0" t="0" r="1" b="0"/>
                  <wp:docPr id="179" name="图片 20" descr="C:\Users\user\AppData\Local\Temp\ksohtml4296\wps36.jpg"/>
                  <wp:cNvGraphicFramePr>
                    <a:graphicFrameLocks noChangeAspect="1"/>
                  </wp:cNvGraphicFramePr>
                  <a:graphic>
                    <a:graphicData uri="http://schemas.openxmlformats.org/drawingml/2006/picture">
                      <pic:pic>
                        <pic:nvPicPr>
                          <pic:cNvPr id="163" name="图片 20 163"/>
                          <pic:cNvPicPr/>
                        </pic:nvPicPr>
                        <pic:blipFill>
                          <a:blip r:embed="rId25"/>
                          <a:stretch>
                            <a:fillRect/>
                          </a:stretch>
                        </pic:blipFill>
                        <pic:spPr>
                          <a:xfrm rot="0">
                            <a:off x="0" y="0"/>
                            <a:ext cx="146685" cy="180975"/>
                          </a:xfrm>
                          <a:prstGeom prst="rect"/>
                          <a:noFill/>
                          <a:ln cmpd="sng" cap="flat">
                            <a:noFill/>
                            <a:prstDash val="solid"/>
                            <a:round/>
                          </a:ln>
                        </pic:spPr>
                      </pic:pic>
                    </a:graphicData>
                  </a:graphic>
                </wp:inline>
              </w:drawing>
            </w:r>
            <w:r>
              <w:rPr>
                <w:rFonts w:hint="eastAsia"/>
                <w:color w:val="auto"/>
                <w:sz w:val="24"/>
                <w:highlight w:val="none"/>
              </w:rPr>
              <w:t>为房间内表面面积，m</w:t>
            </w:r>
            <w:r>
              <w:rPr>
                <w:rFonts w:hint="eastAsia"/>
                <w:color w:val="auto"/>
                <w:sz w:val="24"/>
                <w:vertAlign w:val="superscript"/>
                <w:highlight w:val="none"/>
              </w:rPr>
              <w:t>2</w:t>
            </w:r>
            <w:r>
              <w:rPr>
                <w:rFonts w:hint="eastAsia"/>
                <w:color w:val="auto"/>
                <w:sz w:val="24"/>
                <w:highlight w:val="none"/>
              </w:rPr>
              <w:t>，</w:t>
            </w:r>
            <w:r>
              <w:rPr>
                <w:rFonts w:hint="eastAsia"/>
                <w:color w:val="auto"/>
                <w:sz w:val="24"/>
                <w:highlight w:val="none"/>
              </w:rPr>
              <w:drawing>
                <wp:inline distT="0" distB="0" distL="114300" distR="114300">
                  <wp:extent cx="155575" cy="146685"/>
                  <wp:effectExtent l="0" t="0" r="1" b="1"/>
                  <wp:docPr id="180" name="图片 21" descr="C:\Users\user\AppData\Local\Temp\ksohtml4296\wps37.jpg"/>
                  <wp:cNvGraphicFramePr>
                    <a:graphicFrameLocks noChangeAspect="1"/>
                  </wp:cNvGraphicFramePr>
                  <a:graphic>
                    <a:graphicData uri="http://schemas.openxmlformats.org/drawingml/2006/picture">
                      <pic:pic>
                        <pic:nvPicPr>
                          <pic:cNvPr id="165" name="图片 21 165"/>
                          <pic:cNvPicPr/>
                        </pic:nvPicPr>
                        <pic:blipFill>
                          <a:blip r:embed="rId26"/>
                          <a:stretch>
                            <a:fillRect/>
                          </a:stretch>
                        </pic:blipFill>
                        <pic:spPr>
                          <a:xfrm rot="0">
                            <a:off x="0" y="0"/>
                            <a:ext cx="155575" cy="146685"/>
                          </a:xfrm>
                          <a:prstGeom prst="rect"/>
                          <a:noFill/>
                          <a:ln cmpd="sng" cap="flat">
                            <a:noFill/>
                            <a:prstDash val="solid"/>
                            <a:round/>
                          </a:ln>
                        </pic:spPr>
                      </pic:pic>
                    </a:graphicData>
                  </a:graphic>
                </wp:inline>
              </w:drawing>
            </w:r>
            <w:r>
              <w:rPr>
                <w:rFonts w:hint="eastAsia"/>
                <w:color w:val="auto"/>
                <w:sz w:val="24"/>
                <w:highlight w:val="none"/>
              </w:rPr>
              <w:t>为平均吸声系数。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B、计算出所有室内声源在靠近围护结构处产生的</w:t>
            </w:r>
            <w:r>
              <w:rPr>
                <w:rFonts w:hint="eastAsia"/>
                <w:color w:val="auto"/>
                <w:sz w:val="24"/>
                <w:highlight w:val="none"/>
              </w:rPr>
              <w:drawing>
                <wp:inline distT="0" distB="0" distL="114300" distR="114300">
                  <wp:extent cx="86360" cy="172720"/>
                  <wp:effectExtent l="0" t="0" r="0" b="1"/>
                  <wp:docPr id="181" name="图片 22" descr="C:\Users\user\AppData\Local\Temp\ksohtml4296\wps38.jpg"/>
                  <wp:cNvGraphicFramePr>
                    <a:graphicFrameLocks noChangeAspect="1"/>
                  </wp:cNvGraphicFramePr>
                  <a:graphic>
                    <a:graphicData uri="http://schemas.openxmlformats.org/drawingml/2006/picture">
                      <pic:pic>
                        <pic:nvPicPr>
                          <pic:cNvPr id="167" name="图片 22 167"/>
                          <pic:cNvPicPr/>
                        </pic:nvPicPr>
                        <pic:blipFill>
                          <a:blip r:embed="rId27"/>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倍频带叠加声压级：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655445" cy="448309"/>
                  <wp:effectExtent l="0" t="0" r="0" b="1"/>
                  <wp:docPr id="182" name="图片 23" descr="C:\Users\user\AppData\Local\Temp\ksohtml4296\wps39.jpg"/>
                  <wp:cNvGraphicFramePr>
                    <a:graphicFrameLocks noChangeAspect="1"/>
                  </wp:cNvGraphicFramePr>
                  <a:graphic>
                    <a:graphicData uri="http://schemas.openxmlformats.org/drawingml/2006/picture">
                      <pic:pic>
                        <pic:nvPicPr>
                          <pic:cNvPr id="169" name="图片 23 169"/>
                          <pic:cNvPicPr/>
                        </pic:nvPicPr>
                        <pic:blipFill>
                          <a:blip r:embed="rId28"/>
                          <a:stretch>
                            <a:fillRect/>
                          </a:stretch>
                        </pic:blipFill>
                        <pic:spPr>
                          <a:xfrm rot="0">
                            <a:off x="0" y="0"/>
                            <a:ext cx="1655445" cy="44830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466090" cy="250190"/>
                  <wp:effectExtent l="0" t="0" r="1" b="0"/>
                  <wp:docPr id="183" name="图片 24" descr="C:\Users\user\AppData\Local\Temp\ksohtml4296\wps40.jpg"/>
                  <wp:cNvGraphicFramePr>
                    <a:graphicFrameLocks noChangeAspect="1"/>
                  </wp:cNvGraphicFramePr>
                  <a:graphic>
                    <a:graphicData uri="http://schemas.openxmlformats.org/drawingml/2006/picture">
                      <pic:pic>
                        <pic:nvPicPr>
                          <pic:cNvPr id="171" name="图片 24 171"/>
                          <pic:cNvPicPr/>
                        </pic:nvPicPr>
                        <pic:blipFill>
                          <a:blip r:embed="rId29"/>
                          <a:stretch>
                            <a:fillRect/>
                          </a:stretch>
                        </pic:blipFill>
                        <pic:spPr>
                          <a:xfrm rot="0">
                            <a:off x="0" y="0"/>
                            <a:ext cx="466090" cy="250190"/>
                          </a:xfrm>
                          <a:prstGeom prst="rect"/>
                          <a:noFill/>
                          <a:ln cmpd="sng" cap="flat">
                            <a:noFill/>
                            <a:prstDash val="solid"/>
                            <a:round/>
                          </a:ln>
                        </pic:spPr>
                      </pic:pic>
                    </a:graphicData>
                  </a:graphic>
                </wp:inline>
              </w:drawing>
            </w:r>
            <w:r>
              <w:rPr>
                <w:rFonts w:hint="eastAsia"/>
                <w:color w:val="auto"/>
                <w:sz w:val="24"/>
                <w:highlight w:val="none"/>
              </w:rPr>
              <w:t>——靠近围护结构处室内N个声源</w:t>
            </w:r>
            <w:r>
              <w:rPr>
                <w:rFonts w:hint="eastAsia"/>
                <w:color w:val="auto"/>
                <w:sz w:val="24"/>
                <w:highlight w:val="none"/>
              </w:rPr>
              <w:drawing>
                <wp:inline distT="0" distB="0" distL="114300" distR="114300">
                  <wp:extent cx="86360" cy="172720"/>
                  <wp:effectExtent l="0" t="0" r="0" b="1"/>
                  <wp:docPr id="184" name="图片 25" descr="C:\Users\user\AppData\Local\Temp\ksohtml4296\wps41.jpg"/>
                  <wp:cNvGraphicFramePr>
                    <a:graphicFrameLocks noChangeAspect="1"/>
                  </wp:cNvGraphicFramePr>
                  <a:graphic>
                    <a:graphicData uri="http://schemas.openxmlformats.org/drawingml/2006/picture">
                      <pic:pic>
                        <pic:nvPicPr>
                          <pic:cNvPr id="172" name="图片 25 172"/>
                          <pic:cNvPicPr/>
                        </pic:nvPicPr>
                        <pic:blipFill>
                          <a:blip r:embed="rId30"/>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倍频带的叠加声压级，dB；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84479" cy="250190"/>
                  <wp:effectExtent l="0" t="0" r="1" b="0"/>
                  <wp:docPr id="185" name="图片 26" descr="C:\Users\user\AppData\Local\Temp\ksohtml4296\wps42.jpg"/>
                  <wp:cNvGraphicFramePr>
                    <a:graphicFrameLocks noChangeAspect="1"/>
                  </wp:cNvGraphicFramePr>
                  <a:graphic>
                    <a:graphicData uri="http://schemas.openxmlformats.org/drawingml/2006/picture">
                      <pic:pic>
                        <pic:nvPicPr>
                          <pic:cNvPr id="174" name="图片 26 174"/>
                          <pic:cNvPicPr/>
                        </pic:nvPicPr>
                        <pic:blipFill>
                          <a:blip r:embed="rId31"/>
                          <a:stretch>
                            <a:fillRect/>
                          </a:stretch>
                        </pic:blipFill>
                        <pic:spPr>
                          <a:xfrm rot="0">
                            <a:off x="0" y="0"/>
                            <a:ext cx="284479" cy="250190"/>
                          </a:xfrm>
                          <a:prstGeom prst="rect"/>
                          <a:noFill/>
                          <a:ln cmpd="sng" cap="flat">
                            <a:noFill/>
                            <a:prstDash val="solid"/>
                            <a:round/>
                          </a:ln>
                        </pic:spPr>
                      </pic:pic>
                    </a:graphicData>
                  </a:graphic>
                </wp:inline>
              </w:drawing>
            </w:r>
            <w:r>
              <w:rPr>
                <w:rFonts w:hint="eastAsia"/>
                <w:color w:val="auto"/>
                <w:sz w:val="24"/>
                <w:highlight w:val="none"/>
              </w:rPr>
              <w:t>——室内</w:t>
            </w:r>
            <w:r>
              <w:rPr>
                <w:rFonts w:hint="eastAsia"/>
                <w:color w:val="auto"/>
                <w:sz w:val="24"/>
                <w:highlight w:val="none"/>
              </w:rPr>
              <w:drawing>
                <wp:inline distT="0" distB="0" distL="114300" distR="114300">
                  <wp:extent cx="120650" cy="189865"/>
                  <wp:effectExtent l="0" t="0" r="0" b="0"/>
                  <wp:docPr id="186" name="图片 27" descr="C:\Users\user\AppData\Local\Temp\ksohtml4296\wps43.jpg"/>
                  <wp:cNvGraphicFramePr>
                    <a:graphicFrameLocks noChangeAspect="1"/>
                  </wp:cNvGraphicFramePr>
                  <a:graphic>
                    <a:graphicData uri="http://schemas.openxmlformats.org/drawingml/2006/picture">
                      <pic:pic>
                        <pic:nvPicPr>
                          <pic:cNvPr id="176" name="图片 27 176"/>
                          <pic:cNvPicPr/>
                        </pic:nvPicPr>
                        <pic:blipFill>
                          <a:blip r:embed="rId32"/>
                          <a:stretch>
                            <a:fillRect/>
                          </a:stretch>
                        </pic:blipFill>
                        <pic:spPr>
                          <a:xfrm rot="0">
                            <a:off x="0" y="0"/>
                            <a:ext cx="120650" cy="189865"/>
                          </a:xfrm>
                          <a:prstGeom prst="rect"/>
                          <a:noFill/>
                          <a:ln cmpd="sng" cap="flat">
                            <a:noFill/>
                            <a:prstDash val="solid"/>
                            <a:round/>
                          </a:ln>
                        </pic:spPr>
                      </pic:pic>
                    </a:graphicData>
                  </a:graphic>
                </wp:inline>
              </w:drawing>
            </w:r>
            <w:r>
              <w:rPr>
                <w:rFonts w:hint="eastAsia"/>
                <w:color w:val="auto"/>
                <w:sz w:val="24"/>
                <w:highlight w:val="none"/>
              </w:rPr>
              <w:t>声源</w:t>
            </w:r>
            <w:r>
              <w:rPr>
                <w:rFonts w:hint="eastAsia"/>
                <w:color w:val="auto"/>
                <w:sz w:val="24"/>
                <w:highlight w:val="none"/>
              </w:rPr>
              <w:drawing>
                <wp:inline distT="0" distB="0" distL="114300" distR="114300">
                  <wp:extent cx="86360" cy="172720"/>
                  <wp:effectExtent l="0" t="0" r="0" b="1"/>
                  <wp:docPr id="187" name="图片 28" descr="C:\Users\user\AppData\Local\Temp\ksohtml4296\wps44.jpg"/>
                  <wp:cNvGraphicFramePr>
                    <a:graphicFrameLocks noChangeAspect="1"/>
                  </wp:cNvGraphicFramePr>
                  <a:graphic>
                    <a:graphicData uri="http://schemas.openxmlformats.org/drawingml/2006/picture">
                      <pic:pic>
                        <pic:nvPicPr>
                          <pic:cNvPr id="177" name="图片 28 177"/>
                          <pic:cNvPicPr/>
                        </pic:nvPicPr>
                        <pic:blipFill>
                          <a:blip r:embed="rId33"/>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180975" cy="180975"/>
                  <wp:effectExtent l="0" t="0" r="0" b="0"/>
                  <wp:docPr id="188" name="图片 29" descr="C:\Users\user\AppData\Local\Temp\ksohtml4296\wps45.jpg"/>
                  <wp:cNvGraphicFramePr>
                    <a:graphicFrameLocks noChangeAspect="1"/>
                  </wp:cNvGraphicFramePr>
                  <a:graphic>
                    <a:graphicData uri="http://schemas.openxmlformats.org/drawingml/2006/picture">
                      <pic:pic>
                        <pic:nvPicPr>
                          <pic:cNvPr id="179" name="图片 29 179"/>
                          <pic:cNvPicPr/>
                        </pic:nvPicPr>
                        <pic:blipFill>
                          <a:blip r:embed="rId34"/>
                          <a:stretch>
                            <a:fillRect/>
                          </a:stretch>
                        </pic:blipFill>
                        <pic:spPr>
                          <a:xfrm rot="0">
                            <a:off x="0" y="0"/>
                            <a:ext cx="180975" cy="180975"/>
                          </a:xfrm>
                          <a:prstGeom prst="rect"/>
                          <a:noFill/>
                          <a:ln cmpd="sng" cap="flat">
                            <a:noFill/>
                            <a:prstDash val="solid"/>
                            <a:round/>
                          </a:ln>
                        </pic:spPr>
                      </pic:pic>
                    </a:graphicData>
                  </a:graphic>
                </wp:inline>
              </w:drawing>
            </w:r>
            <w:r>
              <w:rPr>
                <w:rFonts w:hint="eastAsia"/>
                <w:color w:val="auto"/>
                <w:sz w:val="24"/>
                <w:highlight w:val="none"/>
              </w:rPr>
              <w:t>——室内声源总数。</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C、计算出室外靠近围护结构处的声压级：</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highlight w:val="none"/>
              </w:rPr>
            </w:pPr>
            <w:r>
              <w:rPr>
                <w:rFonts w:hint="eastAsia"/>
                <w:color w:val="auto"/>
                <w:sz w:val="24"/>
                <w:highlight w:val="none"/>
              </w:rPr>
              <w:drawing>
                <wp:inline distT="0" distB="0" distL="114300" distR="114300">
                  <wp:extent cx="1777365" cy="250190"/>
                  <wp:effectExtent l="0" t="0" r="0" b="0"/>
                  <wp:docPr id="189" name="图片 30" descr="C:\Users\user\AppData\Local\Temp\ksohtml4296\wps46.jpg"/>
                  <wp:cNvGraphicFramePr>
                    <a:graphicFrameLocks noChangeAspect="1"/>
                  </wp:cNvGraphicFramePr>
                  <a:graphic>
                    <a:graphicData uri="http://schemas.openxmlformats.org/drawingml/2006/picture">
                      <pic:pic>
                        <pic:nvPicPr>
                          <pic:cNvPr id="181" name="图片 30 181"/>
                          <pic:cNvPicPr/>
                        </pic:nvPicPr>
                        <pic:blipFill>
                          <a:blip r:embed="rId35"/>
                          <a:stretch>
                            <a:fillRect/>
                          </a:stretch>
                        </pic:blipFill>
                        <pic:spPr>
                          <a:xfrm rot="0">
                            <a:off x="0" y="0"/>
                            <a:ext cx="1777365"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式中：</w:t>
            </w:r>
            <w:r>
              <w:rPr>
                <w:rFonts w:hint="eastAsia"/>
                <w:color w:val="auto"/>
                <w:sz w:val="24"/>
                <w:highlight w:val="none"/>
              </w:rPr>
              <w:drawing>
                <wp:inline distT="0" distB="0" distL="114300" distR="114300">
                  <wp:extent cx="509270" cy="250190"/>
                  <wp:effectExtent l="0" t="0" r="0" b="0"/>
                  <wp:docPr id="190" name="图片 31" descr="C:\Users\user\AppData\Local\Temp\ksohtml4296\wps47.jpg"/>
                  <wp:cNvGraphicFramePr>
                    <a:graphicFrameLocks noChangeAspect="1"/>
                  </wp:cNvGraphicFramePr>
                  <a:graphic>
                    <a:graphicData uri="http://schemas.openxmlformats.org/drawingml/2006/picture">
                      <pic:pic>
                        <pic:nvPicPr>
                          <pic:cNvPr id="183" name="图片 31 183"/>
                          <pic:cNvPicPr/>
                        </pic:nvPicPr>
                        <pic:blipFill>
                          <a:blip r:embed="rId36"/>
                          <a:stretch>
                            <a:fillRect/>
                          </a:stretch>
                        </pic:blipFill>
                        <pic:spPr>
                          <a:xfrm rot="0">
                            <a:off x="0" y="0"/>
                            <a:ext cx="509270" cy="250190"/>
                          </a:xfrm>
                          <a:prstGeom prst="rect"/>
                          <a:noFill/>
                          <a:ln cmpd="sng" cap="flat">
                            <a:noFill/>
                            <a:prstDash val="solid"/>
                            <a:round/>
                          </a:ln>
                        </pic:spPr>
                      </pic:pic>
                    </a:graphicData>
                  </a:graphic>
                </wp:inline>
              </w:drawing>
            </w:r>
            <w:r>
              <w:rPr>
                <w:rFonts w:hint="eastAsia"/>
                <w:color w:val="auto"/>
                <w:sz w:val="24"/>
                <w:highlight w:val="none"/>
              </w:rPr>
              <w:t>——靠近围护结构处室外N个声源</w:t>
            </w:r>
            <w:r>
              <w:rPr>
                <w:rFonts w:hint="eastAsia"/>
                <w:color w:val="auto"/>
                <w:sz w:val="24"/>
                <w:highlight w:val="none"/>
              </w:rPr>
              <w:drawing>
                <wp:inline distT="0" distB="0" distL="114300" distR="114300">
                  <wp:extent cx="86360" cy="172720"/>
                  <wp:effectExtent l="0" t="0" r="0" b="1"/>
                  <wp:docPr id="191" name="图片 32" descr="C:\Users\user\AppData\Local\Temp\ksohtml4296\wps48.jpg"/>
                  <wp:cNvGraphicFramePr>
                    <a:graphicFrameLocks noChangeAspect="1"/>
                  </wp:cNvGraphicFramePr>
                  <a:graphic>
                    <a:graphicData uri="http://schemas.openxmlformats.org/drawingml/2006/picture">
                      <pic:pic>
                        <pic:nvPicPr>
                          <pic:cNvPr id="184" name="图片 32 184"/>
                          <pic:cNvPicPr/>
                        </pic:nvPicPr>
                        <pic:blipFill>
                          <a:blip r:embed="rId37"/>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倍频带的叠加声压级，dB；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drawing>
                <wp:inline distT="0" distB="0" distL="114300" distR="114300">
                  <wp:extent cx="250190" cy="250190"/>
                  <wp:effectExtent l="0" t="0" r="0" b="0"/>
                  <wp:docPr id="192" name="图片 33" descr="C:\Users\user\AppData\Local\Temp\ksohtml4296\wps49.jpg"/>
                  <wp:cNvGraphicFramePr>
                    <a:graphicFrameLocks noChangeAspect="1"/>
                  </wp:cNvGraphicFramePr>
                  <a:graphic>
                    <a:graphicData uri="http://schemas.openxmlformats.org/drawingml/2006/picture">
                      <pic:pic>
                        <pic:nvPicPr>
                          <pic:cNvPr id="186" name="图片 33 186"/>
                          <pic:cNvPicPr/>
                        </pic:nvPicPr>
                        <pic:blipFill>
                          <a:blip r:embed="rId38"/>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highlight w:val="none"/>
              </w:rPr>
              <w:t>——围护结构</w:t>
            </w:r>
            <w:r>
              <w:rPr>
                <w:rFonts w:hint="eastAsia"/>
                <w:color w:val="auto"/>
                <w:sz w:val="24"/>
                <w:highlight w:val="none"/>
              </w:rPr>
              <w:drawing>
                <wp:inline distT="0" distB="0" distL="114300" distR="114300">
                  <wp:extent cx="86360" cy="172720"/>
                  <wp:effectExtent l="0" t="0" r="0" b="1"/>
                  <wp:docPr id="193" name="图片 34" descr="C:\Users\user\AppData\Local\Temp\ksohtml4296\wps50.jpg"/>
                  <wp:cNvGraphicFramePr>
                    <a:graphicFrameLocks noChangeAspect="1"/>
                  </wp:cNvGraphicFramePr>
                  <a:graphic>
                    <a:graphicData uri="http://schemas.openxmlformats.org/drawingml/2006/picture">
                      <pic:pic>
                        <pic:nvPicPr>
                          <pic:cNvPr id="187" name="图片 34 187"/>
                          <pic:cNvPicPr/>
                        </pic:nvPicPr>
                        <pic:blipFill>
                          <a:blip r:embed="rId39"/>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highlight w:val="none"/>
              </w:rPr>
              <w:t>倍频带的隔声量，dB；</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D、将室外声源的声压级和透过面积换算成等效的室外声源，计算出中心位置位于透声面积</w:t>
            </w:r>
            <w:r>
              <w:rPr>
                <w:rFonts w:hint="eastAsia"/>
                <w:color w:val="auto"/>
                <w:sz w:val="24"/>
                <w:lang w:eastAsia="zh-CN"/>
                <w:highlight w:val="none"/>
              </w:rPr>
              <w:t>（</w:t>
            </w:r>
            <w:r>
              <w:rPr>
                <w:rFonts w:hint="eastAsia"/>
                <w:color w:val="auto"/>
                <w:sz w:val="24"/>
                <w:highlight w:val="none"/>
              </w:rPr>
              <w:t>S</w:t>
            </w:r>
            <w:r>
              <w:rPr>
                <w:rFonts w:hint="eastAsia"/>
                <w:color w:val="auto"/>
                <w:sz w:val="24"/>
                <w:lang w:eastAsia="zh-CN"/>
                <w:highlight w:val="none"/>
              </w:rPr>
              <w:t>）</w:t>
            </w:r>
            <w:r>
              <w:rPr>
                <w:rFonts w:hint="eastAsia"/>
                <w:color w:val="auto"/>
                <w:sz w:val="24"/>
                <w:highlight w:val="none"/>
              </w:rPr>
              <w:t>处的等效声源的倍频带声功率级。</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color w:val="auto"/>
                <w:sz w:val="24"/>
                <w:highlight w:val="none"/>
              </w:rPr>
            </w:pPr>
            <w:r>
              <w:rPr>
                <w:rFonts w:hint="eastAsia"/>
                <w:color w:val="auto"/>
                <w:sz w:val="24"/>
                <w:highlight w:val="none"/>
              </w:rPr>
              <w:drawing>
                <wp:inline distT="0" distB="0" distL="114300" distR="114300">
                  <wp:extent cx="1345564" cy="250190"/>
                  <wp:effectExtent l="0" t="0" r="0" b="0"/>
                  <wp:docPr id="194" name="图片 35" descr="C:\Users\user\AppData\Local\Temp\ksohtml4296\wps51.jpg"/>
                  <wp:cNvGraphicFramePr>
                    <a:graphicFrameLocks noChangeAspect="1"/>
                  </wp:cNvGraphicFramePr>
                  <a:graphic>
                    <a:graphicData uri="http://schemas.openxmlformats.org/drawingml/2006/picture">
                      <pic:pic>
                        <pic:nvPicPr>
                          <pic:cNvPr id="189" name="图片 35 189"/>
                          <pic:cNvPicPr/>
                        </pic:nvPicPr>
                        <pic:blipFill>
                          <a:blip r:embed="rId40"/>
                          <a:stretch>
                            <a:fillRect/>
                          </a:stretch>
                        </pic:blipFill>
                        <pic:spPr>
                          <a:xfrm rot="0">
                            <a:off x="0" y="0"/>
                            <a:ext cx="1345564" cy="250190"/>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E、等效室外声源的位置为围护结构的位置，其倍频带声功率级为</w:t>
            </w:r>
            <w:r>
              <w:rPr>
                <w:rFonts w:hint="eastAsia"/>
                <w:color w:val="auto"/>
                <w:sz w:val="24"/>
                <w:highlight w:val="none"/>
              </w:rPr>
              <w:drawing>
                <wp:inline distT="0" distB="0" distL="114300" distR="114300">
                  <wp:extent cx="207010" cy="250190"/>
                  <wp:effectExtent l="0" t="0" r="1" b="0"/>
                  <wp:docPr id="195" name="图片 36" descr="C:\Users\user\AppData\Local\Temp\ksohtml4296\wps52.jpg"/>
                  <wp:cNvGraphicFramePr>
                    <a:graphicFrameLocks noChangeAspect="1"/>
                  </wp:cNvGraphicFramePr>
                  <a:graphic>
                    <a:graphicData uri="http://schemas.openxmlformats.org/drawingml/2006/picture">
                      <pic:pic>
                        <pic:nvPicPr>
                          <pic:cNvPr id="191" name="图片 36 191"/>
                          <pic:cNvPicPr/>
                        </pic:nvPicPr>
                        <pic:blipFill>
                          <a:blip r:embed="rId41"/>
                          <a:stretch>
                            <a:fillRect/>
                          </a:stretch>
                        </pic:blipFill>
                        <pic:spPr>
                          <a:xfrm rot="0">
                            <a:off x="0" y="0"/>
                            <a:ext cx="207010" cy="250190"/>
                          </a:xfrm>
                          <a:prstGeom prst="rect"/>
                          <a:noFill/>
                          <a:ln cmpd="sng" cap="flat">
                            <a:noFill/>
                            <a:prstDash val="solid"/>
                            <a:round/>
                          </a:ln>
                        </pic:spPr>
                      </pic:pic>
                    </a:graphicData>
                  </a:graphic>
                </wp:inline>
              </w:drawing>
            </w:r>
            <w:r>
              <w:rPr>
                <w:rFonts w:hint="eastAsia"/>
                <w:color w:val="auto"/>
                <w:sz w:val="24"/>
                <w:highlight w:val="none"/>
              </w:rPr>
              <w:t>，根据厂房结构</w:t>
            </w:r>
            <w:r>
              <w:rPr>
                <w:rFonts w:hint="eastAsia"/>
                <w:color w:val="auto"/>
                <w:sz w:val="24"/>
                <w:lang w:eastAsia="zh-CN"/>
                <w:highlight w:val="none"/>
              </w:rPr>
              <w:t>（</w:t>
            </w:r>
            <w:r>
              <w:rPr>
                <w:rFonts w:hint="eastAsia"/>
                <w:color w:val="auto"/>
                <w:sz w:val="24"/>
                <w:highlight w:val="none"/>
              </w:rPr>
              <w:t>门、窗</w:t>
            </w:r>
            <w:r>
              <w:rPr>
                <w:rFonts w:hint="eastAsia"/>
                <w:color w:val="auto"/>
                <w:sz w:val="24"/>
                <w:lang w:eastAsia="zh-CN"/>
                <w:highlight w:val="none"/>
              </w:rPr>
              <w:t>）</w:t>
            </w:r>
            <w:r>
              <w:rPr>
                <w:rFonts w:hint="eastAsia"/>
                <w:color w:val="auto"/>
                <w:sz w:val="24"/>
                <w:highlight w:val="none"/>
              </w:rPr>
              <w:t>和预测点的位置关系，分别按照面声源、线声源和点声源的衰减模式，计算预测点处的声级。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假设窗户的宽度为a，高度为b，窗户个数为n；预测点距墙中心的距离为</w:t>
            </w:r>
            <w:r>
              <w:rPr>
                <w:rFonts w:hint="eastAsia"/>
                <w:color w:val="auto"/>
                <w:sz w:val="24"/>
                <w:highlight w:val="none"/>
              </w:rPr>
              <w:drawing>
                <wp:inline distT="0" distB="0" distL="114300" distR="114300">
                  <wp:extent cx="120650" cy="120650"/>
                  <wp:effectExtent l="0" t="0" r="0" b="0"/>
                  <wp:docPr id="196" name="图片 37" descr="C:\Users\user\AppData\Local\Temp\ksohtml4296\wps53.jpg"/>
                  <wp:cNvGraphicFramePr>
                    <a:graphicFrameLocks noChangeAspect="1"/>
                  </wp:cNvGraphicFramePr>
                  <a:graphic>
                    <a:graphicData uri="http://schemas.openxmlformats.org/drawingml/2006/picture">
                      <pic:pic>
                        <pic:nvPicPr>
                          <pic:cNvPr id="192" name="图片 37 192"/>
                          <pic:cNvPicPr/>
                        </pic:nvPicPr>
                        <pic:blipFill>
                          <a:blip r:embed="rId42"/>
                          <a:stretch>
                            <a:fillRect/>
                          </a:stretch>
                        </pic:blipFill>
                        <pic:spPr>
                          <a:xfrm rot="0">
                            <a:off x="0" y="0"/>
                            <a:ext cx="120650" cy="120650"/>
                          </a:xfrm>
                          <a:prstGeom prst="rect"/>
                          <a:noFill/>
                          <a:ln cmpd="sng" cap="flat">
                            <a:noFill/>
                            <a:prstDash val="solid"/>
                            <a:round/>
                          </a:ln>
                        </pic:spPr>
                      </pic:pic>
                    </a:graphicData>
                  </a:graphic>
                </wp:inline>
              </w:drawing>
            </w:r>
            <w:r>
              <w:rPr>
                <w:rFonts w:hint="eastAsia"/>
                <w:color w:val="auto"/>
                <w:sz w:val="24"/>
                <w:highlight w:val="none"/>
              </w:rPr>
              <w:t>。预测点的声级按照下述公式进行预测：</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396875" cy="396875"/>
                  <wp:effectExtent l="0" t="0" r="0" b="0"/>
                  <wp:docPr id="197" name="图片 38" descr="C:\Users\user\AppData\Local\Temp\ksohtml4296\wps54.jpg"/>
                  <wp:cNvGraphicFramePr>
                    <a:graphicFrameLocks noChangeAspect="1"/>
                  </wp:cNvGraphicFramePr>
                  <a:graphic>
                    <a:graphicData uri="http://schemas.openxmlformats.org/drawingml/2006/picture">
                      <pic:pic>
                        <pic:nvPicPr>
                          <pic:cNvPr id="194" name="图片 38 194"/>
                          <pic:cNvPicPr/>
                        </pic:nvPicPr>
                        <pic:blipFill>
                          <a:blip r:embed="rId43"/>
                          <a:stretch>
                            <a:fillRect/>
                          </a:stretch>
                        </pic:blipFill>
                        <pic:spPr>
                          <a:xfrm rot="0">
                            <a:off x="0" y="0"/>
                            <a:ext cx="396875"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690245" cy="224154"/>
                  <wp:effectExtent l="0" t="0" r="0" b="0"/>
                  <wp:docPr id="198" name="图片 39" descr="C:\Users\user\AppData\Local\Temp\ksohtml4296\wps55.jpg"/>
                  <wp:cNvGraphicFramePr>
                    <a:graphicFrameLocks noChangeAspect="1"/>
                  </wp:cNvGraphicFramePr>
                  <a:graphic>
                    <a:graphicData uri="http://schemas.openxmlformats.org/drawingml/2006/picture">
                      <pic:pic>
                        <pic:nvPicPr>
                          <pic:cNvPr id="196" name="图片 39 196"/>
                          <pic:cNvPicPr/>
                        </pic:nvPicPr>
                        <pic:blipFill>
                          <a:blip r:embed="rId44"/>
                          <a:stretch>
                            <a:fillRect/>
                          </a:stretch>
                        </pic:blipFill>
                        <pic:spPr>
                          <a:xfrm rot="0">
                            <a:off x="0" y="0"/>
                            <a:ext cx="690245" cy="224154"/>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即按面声源处理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733425" cy="396875"/>
                  <wp:effectExtent l="0" t="0" r="0" b="0"/>
                  <wp:docPr id="199" name="图片 40" descr="C:\Users\user\AppData\Local\Temp\ksohtml4296\wps56.jpg"/>
                  <wp:cNvGraphicFramePr>
                    <a:graphicFrameLocks noChangeAspect="1"/>
                  </wp:cNvGraphicFramePr>
                  <a:graphic>
                    <a:graphicData uri="http://schemas.openxmlformats.org/drawingml/2006/picture">
                      <pic:pic>
                        <pic:nvPicPr>
                          <pic:cNvPr id="198" name="图片 40 198"/>
                          <pic:cNvPicPr/>
                        </pic:nvPicPr>
                        <pic:blipFill>
                          <a:blip r:embed="rId45"/>
                          <a:stretch>
                            <a:fillRect/>
                          </a:stretch>
                        </pic:blipFill>
                        <pic:spPr>
                          <a:xfrm rot="0">
                            <a:off x="0" y="0"/>
                            <a:ext cx="733425"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1251585" cy="396875"/>
                  <wp:effectExtent l="0" t="0" r="1" b="0"/>
                  <wp:docPr id="200" name="图片 41" descr="C:\Users\user\AppData\Local\Temp\ksohtml4296\wps57.jpg"/>
                  <wp:cNvGraphicFramePr>
                    <a:graphicFrameLocks noChangeAspect="1"/>
                  </wp:cNvGraphicFramePr>
                  <a:graphic>
                    <a:graphicData uri="http://schemas.openxmlformats.org/drawingml/2006/picture">
                      <pic:pic>
                        <pic:nvPicPr>
                          <pic:cNvPr id="200" name="图片 41 200"/>
                          <pic:cNvPicPr/>
                        </pic:nvPicPr>
                        <pic:blipFill>
                          <a:blip r:embed="rId46"/>
                          <a:stretch>
                            <a:fillRect/>
                          </a:stretch>
                        </pic:blipFill>
                        <pic:spPr>
                          <a:xfrm rot="0">
                            <a:off x="0" y="0"/>
                            <a:ext cx="1251585" cy="396875"/>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即按线声源处理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textAlignment w:val="auto"/>
              <w:rPr>
                <w:rFonts w:hint="eastAsia"/>
                <w:color w:val="auto"/>
                <w:sz w:val="24"/>
                <w:highlight w:val="none"/>
              </w:rPr>
            </w:pPr>
            <w:r>
              <w:rPr>
                <w:rFonts w:hint="eastAsia"/>
                <w:color w:val="auto"/>
                <w:sz w:val="24"/>
                <w:highlight w:val="none"/>
              </w:rPr>
              <w:t>当</w:t>
            </w:r>
            <w:r>
              <w:rPr>
                <w:rFonts w:hint="eastAsia"/>
                <w:color w:val="auto"/>
                <w:sz w:val="24"/>
                <w:highlight w:val="none"/>
              </w:rPr>
              <w:drawing>
                <wp:inline distT="0" distB="0" distL="114300" distR="114300">
                  <wp:extent cx="466090" cy="396875"/>
                  <wp:effectExtent l="0" t="0" r="1" b="0"/>
                  <wp:docPr id="201" name="图片 42" descr="C:\Users\user\AppData\Local\Temp\ksohtml4296\wps58.jpg"/>
                  <wp:cNvGraphicFramePr>
                    <a:graphicFrameLocks noChangeAspect="1"/>
                  </wp:cNvGraphicFramePr>
                  <a:graphic>
                    <a:graphicData uri="http://schemas.openxmlformats.org/drawingml/2006/picture">
                      <pic:pic>
                        <pic:nvPicPr>
                          <pic:cNvPr id="202" name="图片 42 202"/>
                          <pic:cNvPicPr/>
                        </pic:nvPicPr>
                        <pic:blipFill>
                          <a:blip r:embed="rId47"/>
                          <a:stretch>
                            <a:fillRect/>
                          </a:stretch>
                        </pic:blipFill>
                        <pic:spPr>
                          <a:xfrm rot="0">
                            <a:off x="0" y="0"/>
                            <a:ext cx="466090" cy="396875"/>
                          </a:xfrm>
                          <a:prstGeom prst="rect"/>
                          <a:noFill/>
                          <a:ln cmpd="sng" cap="flat">
                            <a:noFill/>
                            <a:prstDash val="solid"/>
                            <a:round/>
                          </a:ln>
                        </pic:spPr>
                      </pic:pic>
                    </a:graphicData>
                  </a:graphic>
                </wp:inline>
              </w:drawing>
            </w:r>
            <w:r>
              <w:rPr>
                <w:rFonts w:hint="eastAsia"/>
                <w:color w:val="auto"/>
                <w:sz w:val="24"/>
                <w:highlight w:val="none"/>
              </w:rPr>
              <w:t>时，</w:t>
            </w:r>
            <w:r>
              <w:rPr>
                <w:rFonts w:hint="eastAsia"/>
                <w:color w:val="auto"/>
                <w:sz w:val="24"/>
                <w:highlight w:val="none"/>
              </w:rPr>
              <w:drawing>
                <wp:inline distT="0" distB="0" distL="114300" distR="114300">
                  <wp:extent cx="1345564" cy="396875"/>
                  <wp:effectExtent l="0" t="0" r="1" b="0"/>
                  <wp:docPr id="202" name="图片 43" descr="C:\Users\user\AppData\Local\Temp\ksohtml4296\wps59.jpg"/>
                  <wp:cNvGraphicFramePr>
                    <a:graphicFrameLocks noChangeAspect="1"/>
                  </wp:cNvGraphicFramePr>
                  <a:graphic>
                    <a:graphicData uri="http://schemas.openxmlformats.org/drawingml/2006/picture">
                      <pic:pic>
                        <pic:nvPicPr>
                          <pic:cNvPr id="204" name="图片 43 204"/>
                          <pic:cNvPicPr/>
                        </pic:nvPicPr>
                        <pic:blipFill>
                          <a:blip r:embed="rId48"/>
                          <a:stretch>
                            <a:fillRect/>
                          </a:stretch>
                        </pic:blipFill>
                        <pic:spPr>
                          <a:xfrm rot="0">
                            <a:off x="0" y="0"/>
                            <a:ext cx="1345564" cy="396875"/>
                          </a:xfrm>
                          <a:prstGeom prst="rect"/>
                          <a:noFill/>
                          <a:ln cmpd="sng" cap="flat">
                            <a:noFill/>
                            <a:prstDash val="solid"/>
                            <a:round/>
                          </a:ln>
                        </pic:spPr>
                      </pic:pic>
                    </a:graphicData>
                  </a:graphic>
                </wp:inline>
              </w:drawing>
            </w:r>
            <w:r>
              <w:rPr>
                <w:rFonts w:hint="eastAsia"/>
                <w:color w:val="auto"/>
                <w:sz w:val="24"/>
                <w:lang w:eastAsia="zh-CN"/>
                <w:highlight w:val="none"/>
              </w:rPr>
              <w:t>（</w:t>
            </w:r>
            <w:r>
              <w:rPr>
                <w:rFonts w:hint="eastAsia"/>
                <w:color w:val="auto"/>
                <w:sz w:val="24"/>
                <w:highlight w:val="none"/>
              </w:rPr>
              <w:t>即按点声源处理</w:t>
            </w:r>
            <w:r>
              <w:rPr>
                <w:rFonts w:hint="eastAsia"/>
                <w:color w:val="auto"/>
                <w:sz w:val="24"/>
                <w:lang w:eastAsia="zh-CN"/>
                <w:highlight w:val="none"/>
              </w:rPr>
              <w:t>）</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highlight w:val="none"/>
              </w:rPr>
              <w:t>F、</w:t>
            </w:r>
            <w:r>
              <w:rPr>
                <w:rFonts w:hint="eastAsia"/>
                <w:color w:val="auto"/>
                <w:sz w:val="24"/>
                <w:lang w:val="fr-FR"/>
                <w:highlight w:val="none"/>
              </w:rPr>
              <w:t>计算总声压级</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fldChar w:fldCharType="begin"/>
            </w:r>
            <w:r>
              <w:rPr>
                <w:rFonts w:hint="eastAsia"/>
                <w:color w:val="auto"/>
                <w:sz w:val="24"/>
                <w:lang w:val="fr-FR"/>
                <w:highlight w:val="none"/>
              </w:rPr>
              <w:instrText xml:space="preserve"> = 1 \* ROMAN \* MERGEFORMAT </w:instrText>
            </w:r>
            <w:r>
              <w:rPr>
                <w:rFonts w:hint="eastAsia"/>
                <w:color w:val="auto"/>
                <w:sz w:val="24"/>
                <w:lang w:val="fr-FR"/>
                <w:highlight w:val="none"/>
              </w:rPr>
              <w:fldChar w:fldCharType="separate"/>
            </w:r>
            <w:r>
              <w:rPr>
                <w:rFonts w:hint="eastAsia"/>
                <w:color w:val="auto"/>
                <w:sz w:val="24"/>
                <w:highlight w:val="none"/>
              </w:rPr>
              <w:t>I</w:t>
            </w:r>
            <w:r>
              <w:rPr>
                <w:rFonts w:hint="eastAsia"/>
                <w:color w:val="auto"/>
                <w:sz w:val="24"/>
                <w:lang w:val="fr-FR"/>
                <w:highlight w:val="none"/>
              </w:rPr>
              <w:fldChar w:fldCharType="end"/>
            </w:r>
            <w:r>
              <w:rPr>
                <w:rFonts w:hint="eastAsia"/>
                <w:color w:val="auto"/>
                <w:sz w:val="24"/>
                <w:lang w:val="fr-FR"/>
                <w:highlight w:val="none"/>
              </w:rPr>
              <w:t>计算各室外噪声源和各含噪声源厂房对各预测点噪声贡献值</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设第</w:t>
            </w:r>
            <w:r>
              <w:rPr>
                <w:rFonts w:hint="eastAsia"/>
                <w:color w:val="auto"/>
                <w:sz w:val="24"/>
                <w:highlight w:val="none"/>
              </w:rPr>
              <w:drawing>
                <wp:inline distT="0" distB="0" distL="114300" distR="114300">
                  <wp:extent cx="86360" cy="172720"/>
                  <wp:effectExtent l="0" t="0" r="0" b="0"/>
                  <wp:docPr id="203" name="图片 44" descr="C:\Users\user\AppData\Local\Temp\ksohtml4296\wps60.jpg"/>
                  <wp:cNvGraphicFramePr>
                    <a:graphicFrameLocks noChangeAspect="1"/>
                  </wp:cNvGraphicFramePr>
                  <a:graphic>
                    <a:graphicData uri="http://schemas.openxmlformats.org/drawingml/2006/picture">
                      <pic:pic>
                        <pic:nvPicPr>
                          <pic:cNvPr id="205" name="图片 44 205"/>
                          <pic:cNvPicPr/>
                        </pic:nvPicPr>
                        <pic:blipFill>
                          <a:blip r:embed="rId49"/>
                          <a:stretch>
                            <a:fillRect/>
                          </a:stretch>
                        </pic:blipFill>
                        <pic:spPr>
                          <a:xfrm rot="0">
                            <a:off x="0" y="0"/>
                            <a:ext cx="86360" cy="172720"/>
                          </a:xfrm>
                          <a:prstGeom prst="rect"/>
                          <a:noFill/>
                          <a:ln cmpd="sng" cap="flat">
                            <a:noFill/>
                            <a:prstDash val="solid"/>
                            <a:round/>
                          </a:ln>
                        </pic:spPr>
                      </pic:pic>
                    </a:graphicData>
                  </a:graphic>
                </wp:inline>
              </w:drawing>
            </w:r>
            <w:r>
              <w:rPr>
                <w:rFonts w:hint="eastAsia"/>
                <w:color w:val="auto"/>
                <w:sz w:val="24"/>
                <w:lang w:val="fr-FR"/>
                <w:highlight w:val="none"/>
              </w:rPr>
              <w:t>个室外声源在预测点产生的A声级为</w:t>
            </w:r>
            <w:r>
              <w:rPr>
                <w:rFonts w:hint="eastAsia"/>
                <w:color w:val="auto"/>
                <w:sz w:val="24"/>
                <w:highlight w:val="none"/>
              </w:rPr>
              <w:drawing>
                <wp:inline distT="0" distB="0" distL="114300" distR="114300">
                  <wp:extent cx="250190" cy="250190"/>
                  <wp:effectExtent l="0" t="0" r="0" b="0"/>
                  <wp:docPr id="204" name="图片 45" descr="C:\Users\user\AppData\Local\Temp\ksohtml4296\wps61.jpg"/>
                  <wp:cNvGraphicFramePr>
                    <a:graphicFrameLocks noChangeAspect="1"/>
                  </wp:cNvGraphicFramePr>
                  <a:graphic>
                    <a:graphicData uri="http://schemas.openxmlformats.org/drawingml/2006/picture">
                      <pic:pic>
                        <pic:nvPicPr>
                          <pic:cNvPr id="207" name="图片 45 207"/>
                          <pic:cNvPicPr/>
                        </pic:nvPicPr>
                        <pic:blipFill>
                          <a:blip r:embed="rId50"/>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lang w:val="fr-FR"/>
                <w:highlight w:val="none"/>
              </w:rPr>
              <w:t>，在T时间内该声源工作时间为</w:t>
            </w:r>
            <w:r>
              <w:rPr>
                <w:rFonts w:hint="eastAsia"/>
                <w:color w:val="auto"/>
                <w:sz w:val="24"/>
                <w:highlight w:val="none"/>
              </w:rPr>
              <w:drawing>
                <wp:inline distT="0" distB="0" distL="114300" distR="114300">
                  <wp:extent cx="120650" cy="250190"/>
                  <wp:effectExtent l="0" t="0" r="0" b="0"/>
                  <wp:docPr id="205" name="图片 46" descr="C:\Users\user\AppData\Local\Temp\ksohtml4296\wps62.jpg"/>
                  <wp:cNvGraphicFramePr>
                    <a:graphicFrameLocks noChangeAspect="1"/>
                  </wp:cNvGraphicFramePr>
                  <a:graphic>
                    <a:graphicData uri="http://schemas.openxmlformats.org/drawingml/2006/picture">
                      <pic:pic>
                        <pic:nvPicPr>
                          <pic:cNvPr id="209" name="图片 46 209"/>
                          <pic:cNvPicPr/>
                        </pic:nvPicPr>
                        <pic:blipFill>
                          <a:blip r:embed="rId51"/>
                          <a:stretch>
                            <a:fillRect/>
                          </a:stretch>
                        </pic:blipFill>
                        <pic:spPr>
                          <a:xfrm rot="0">
                            <a:off x="0" y="0"/>
                            <a:ext cx="120650" cy="250190"/>
                          </a:xfrm>
                          <a:prstGeom prst="rect"/>
                          <a:noFill/>
                          <a:ln cmpd="sng" cap="flat">
                            <a:noFill/>
                            <a:prstDash val="solid"/>
                            <a:round/>
                          </a:ln>
                        </pic:spPr>
                      </pic:pic>
                    </a:graphicData>
                  </a:graphic>
                </wp:inline>
              </w:drawing>
            </w:r>
            <w:r>
              <w:rPr>
                <w:rFonts w:hint="eastAsia"/>
                <w:color w:val="auto"/>
                <w:sz w:val="24"/>
                <w:lang w:val="fr-FR"/>
                <w:highlight w:val="none"/>
              </w:rPr>
              <w:t>；第</w:t>
            </w:r>
            <w:r>
              <w:rPr>
                <w:rFonts w:hint="eastAsia"/>
                <w:color w:val="auto"/>
                <w:sz w:val="24"/>
                <w:highlight w:val="none"/>
              </w:rPr>
              <w:drawing>
                <wp:inline distT="0" distB="0" distL="114300" distR="114300">
                  <wp:extent cx="120650" cy="189865"/>
                  <wp:effectExtent l="0" t="0" r="0" b="0"/>
                  <wp:docPr id="206" name="图片 47" descr="C:\Users\user\AppData\Local\Temp\ksohtml4296\wps63.jpg"/>
                  <wp:cNvGraphicFramePr>
                    <a:graphicFrameLocks noChangeAspect="1"/>
                  </wp:cNvGraphicFramePr>
                  <a:graphic>
                    <a:graphicData uri="http://schemas.openxmlformats.org/drawingml/2006/picture">
                      <pic:pic>
                        <pic:nvPicPr>
                          <pic:cNvPr id="210" name="图片 47 210"/>
                          <pic:cNvPicPr/>
                        </pic:nvPicPr>
                        <pic:blipFill>
                          <a:blip r:embed="rId52"/>
                          <a:stretch>
                            <a:fillRect/>
                          </a:stretch>
                        </pic:blipFill>
                        <pic:spPr>
                          <a:xfrm rot="0">
                            <a:off x="0" y="0"/>
                            <a:ext cx="120650" cy="189865"/>
                          </a:xfrm>
                          <a:prstGeom prst="rect"/>
                          <a:noFill/>
                          <a:ln cmpd="sng" cap="flat">
                            <a:noFill/>
                            <a:prstDash val="solid"/>
                            <a:round/>
                          </a:ln>
                        </pic:spPr>
                      </pic:pic>
                    </a:graphicData>
                  </a:graphic>
                </wp:inline>
              </w:drawing>
            </w:r>
            <w:r>
              <w:rPr>
                <w:rFonts w:hint="eastAsia"/>
                <w:color w:val="auto"/>
                <w:sz w:val="24"/>
                <w:lang w:val="fr-FR"/>
                <w:highlight w:val="none"/>
              </w:rPr>
              <w:t>个等效室外声源在预测点产生的A声级为</w:t>
            </w:r>
            <w:r>
              <w:rPr>
                <w:rFonts w:hint="eastAsia"/>
                <w:color w:val="auto"/>
                <w:sz w:val="24"/>
                <w:highlight w:val="none"/>
              </w:rPr>
              <w:drawing>
                <wp:inline distT="0" distB="0" distL="114300" distR="114300">
                  <wp:extent cx="250190" cy="250190"/>
                  <wp:effectExtent l="0" t="0" r="0" b="0"/>
                  <wp:docPr id="207" name="图片 48" descr="C:\Users\user\AppData\Local\Temp\ksohtml4296\wps64.jpg"/>
                  <wp:cNvGraphicFramePr>
                    <a:graphicFrameLocks noChangeAspect="1"/>
                  </wp:cNvGraphicFramePr>
                  <a:graphic>
                    <a:graphicData uri="http://schemas.openxmlformats.org/drawingml/2006/picture">
                      <pic:pic>
                        <pic:nvPicPr>
                          <pic:cNvPr id="212" name="图片 48 212"/>
                          <pic:cNvPicPr/>
                        </pic:nvPicPr>
                        <pic:blipFill>
                          <a:blip r:embed="rId53"/>
                          <a:stretch>
                            <a:fillRect/>
                          </a:stretch>
                        </pic:blipFill>
                        <pic:spPr>
                          <a:xfrm rot="0">
                            <a:off x="0" y="0"/>
                            <a:ext cx="250190" cy="250190"/>
                          </a:xfrm>
                          <a:prstGeom prst="rect"/>
                          <a:noFill/>
                          <a:ln cmpd="sng" cap="flat">
                            <a:noFill/>
                            <a:prstDash val="solid"/>
                            <a:round/>
                          </a:ln>
                        </pic:spPr>
                      </pic:pic>
                    </a:graphicData>
                  </a:graphic>
                </wp:inline>
              </w:drawing>
            </w:r>
            <w:r>
              <w:rPr>
                <w:rFonts w:hint="eastAsia"/>
                <w:color w:val="auto"/>
                <w:sz w:val="24"/>
                <w:lang w:val="fr-FR"/>
                <w:highlight w:val="none"/>
              </w:rPr>
              <w:t>，在T时间内该声源工作时间为</w:t>
            </w:r>
            <w:r>
              <w:rPr>
                <w:rFonts w:hint="eastAsia"/>
                <w:color w:val="auto"/>
                <w:sz w:val="24"/>
                <w:highlight w:val="none"/>
              </w:rPr>
              <w:drawing>
                <wp:inline distT="0" distB="0" distL="114300" distR="114300">
                  <wp:extent cx="146685" cy="250190"/>
                  <wp:effectExtent l="0" t="0" r="0" b="0"/>
                  <wp:docPr id="208" name="图片 49" descr="C:\Users\user\AppData\Local\Temp\ksohtml4296\wps65.jpg"/>
                  <wp:cNvGraphicFramePr>
                    <a:graphicFrameLocks noChangeAspect="1"/>
                  </wp:cNvGraphicFramePr>
                  <a:graphic>
                    <a:graphicData uri="http://schemas.openxmlformats.org/drawingml/2006/picture">
                      <pic:pic>
                        <pic:nvPicPr>
                          <pic:cNvPr id="214" name="图片 49 214"/>
                          <pic:cNvPicPr/>
                        </pic:nvPicPr>
                        <pic:blipFill>
                          <a:blip r:embed="rId54"/>
                          <a:stretch>
                            <a:fillRect/>
                          </a:stretch>
                        </pic:blipFill>
                        <pic:spPr>
                          <a:xfrm rot="0">
                            <a:off x="0" y="0"/>
                            <a:ext cx="146685" cy="250190"/>
                          </a:xfrm>
                          <a:prstGeom prst="rect"/>
                          <a:noFill/>
                          <a:ln cmpd="sng" cap="flat">
                            <a:noFill/>
                            <a:prstDash val="solid"/>
                            <a:round/>
                          </a:ln>
                        </pic:spPr>
                      </pic:pic>
                    </a:graphicData>
                  </a:graphic>
                </wp:inline>
              </w:drawing>
            </w:r>
            <w:r>
              <w:rPr>
                <w:rFonts w:hint="eastAsia"/>
                <w:color w:val="auto"/>
                <w:sz w:val="24"/>
                <w:lang w:val="fr-FR"/>
                <w:highlight w:val="none"/>
              </w:rPr>
              <w:t>，则搬迁改造项目声源对预测点产生的贡献值</w:t>
            </w:r>
            <w:r>
              <w:rPr>
                <w:rFonts w:hint="eastAsia"/>
                <w:color w:val="auto"/>
                <w:sz w:val="24"/>
                <w:lang w:val="fr-FR" w:eastAsia="zh-CN"/>
                <w:highlight w:val="none"/>
              </w:rPr>
              <w:t>（</w:t>
            </w:r>
            <w:r>
              <w:rPr>
                <w:rFonts w:hint="eastAsia"/>
                <w:color w:val="auto"/>
                <w:sz w:val="24"/>
                <w:highlight w:val="none"/>
              </w:rPr>
              <w:drawing>
                <wp:inline distT="0" distB="0" distL="114300" distR="114300">
                  <wp:extent cx="284479" cy="250190"/>
                  <wp:effectExtent l="0" t="0" r="1" b="0"/>
                  <wp:docPr id="209" name="图片 50" descr="C:\Users\user\AppData\Local\Temp\ksohtml4296\wps66.jpg"/>
                  <wp:cNvGraphicFramePr>
                    <a:graphicFrameLocks noChangeAspect="1"/>
                  </wp:cNvGraphicFramePr>
                  <a:graphic>
                    <a:graphicData uri="http://schemas.openxmlformats.org/drawingml/2006/picture">
                      <pic:pic>
                        <pic:nvPicPr>
                          <pic:cNvPr id="216" name="图片 50 216"/>
                          <pic:cNvPicPr/>
                        </pic:nvPicPr>
                        <pic:blipFill>
                          <a:blip r:embed="rId55"/>
                          <a:stretch>
                            <a:fillRect/>
                          </a:stretch>
                        </pic:blipFill>
                        <pic:spPr>
                          <a:xfrm rot="0">
                            <a:off x="0" y="0"/>
                            <a:ext cx="284479" cy="250190"/>
                          </a:xfrm>
                          <a:prstGeom prst="rect"/>
                          <a:noFill/>
                          <a:ln cmpd="sng" cap="flat">
                            <a:noFill/>
                            <a:prstDash val="solid"/>
                            <a:round/>
                          </a:ln>
                        </pic:spPr>
                      </pic:pic>
                    </a:graphicData>
                  </a:graphic>
                </wp:inline>
              </w:drawing>
            </w:r>
            <w:r>
              <w:rPr>
                <w:rFonts w:hint="eastAsia"/>
                <w:color w:val="auto"/>
                <w:sz w:val="24"/>
                <w:lang w:val="fr-FR" w:eastAsia="zh-CN"/>
                <w:highlight w:val="none"/>
              </w:rPr>
              <w:t>）</w:t>
            </w:r>
            <w:r>
              <w:rPr>
                <w:rFonts w:hint="eastAsia"/>
                <w:color w:val="auto"/>
                <w:sz w:val="24"/>
                <w:lang w:val="fr-FR"/>
                <w:highlight w:val="none"/>
              </w:rPr>
              <w:t>为:</w:t>
            </w:r>
          </w:p>
          <w:p>
            <w:pPr>
              <w:keepNext w:val="0"/>
              <w:keepLines w:val="0"/>
              <w:pageBreakBefore w:val="0"/>
              <w:widowControl w:val="0"/>
              <w:kinsoku/>
              <w:wordWrap/>
              <w:overflowPunct/>
              <w:topLinePunct w:val="0"/>
              <w:autoSpaceDE/>
              <w:autoSpaceDN/>
              <w:bidi w:val="0"/>
              <w:adjustRightInd/>
              <w:snapToGrid/>
              <w:spacing w:line="240" w:lineRule="auto"/>
              <w:ind w:firstLineChars="200" w:firstLine="480"/>
              <w:jc w:val="center"/>
              <w:textAlignment w:val="auto"/>
              <w:rPr>
                <w:rFonts w:hint="eastAsia"/>
                <w:color w:val="auto"/>
                <w:sz w:val="24"/>
                <w:highlight w:val="none"/>
              </w:rPr>
            </w:pPr>
            <w:r>
              <w:rPr>
                <w:rFonts w:hint="eastAsia"/>
                <w:color w:val="auto"/>
                <w:sz w:val="24"/>
                <w:highlight w:val="none"/>
              </w:rPr>
              <w:drawing>
                <wp:inline distT="0" distB="0" distL="114300" distR="114300">
                  <wp:extent cx="2526664" cy="448309"/>
                  <wp:effectExtent l="0" t="0" r="0" b="1"/>
                  <wp:docPr id="210" name="图片 51" descr="C:\Users\user\AppData\Local\Temp\ksohtml4296\wps67.jpg"/>
                  <wp:cNvGraphicFramePr>
                    <a:graphicFrameLocks noChangeAspect="1"/>
                  </wp:cNvGraphicFramePr>
                  <a:graphic>
                    <a:graphicData uri="http://schemas.openxmlformats.org/drawingml/2006/picture">
                      <pic:pic>
                        <pic:nvPicPr>
                          <pic:cNvPr id="218" name="图片 51 218"/>
                          <pic:cNvPicPr/>
                        </pic:nvPicPr>
                        <pic:blipFill>
                          <a:blip r:embed="rId56"/>
                          <a:stretch>
                            <a:fillRect/>
                          </a:stretch>
                        </pic:blipFill>
                        <pic:spPr>
                          <a:xfrm rot="0">
                            <a:off x="0" y="0"/>
                            <a:ext cx="2526664" cy="44830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fldChar w:fldCharType="begin"/>
            </w:r>
            <w:r>
              <w:rPr>
                <w:rFonts w:hint="eastAsia"/>
                <w:color w:val="auto"/>
                <w:sz w:val="24"/>
                <w:lang w:val="fr-FR"/>
                <w:highlight w:val="none"/>
              </w:rPr>
              <w:instrText xml:space="preserve"> = 2 \* ROMAN \* MERGEFORMAT </w:instrText>
            </w:r>
            <w:r>
              <w:rPr>
                <w:rFonts w:hint="eastAsia"/>
                <w:color w:val="auto"/>
                <w:sz w:val="24"/>
                <w:lang w:val="fr-FR"/>
                <w:highlight w:val="none"/>
              </w:rPr>
              <w:fldChar w:fldCharType="separate"/>
            </w:r>
            <w:r>
              <w:rPr>
                <w:rFonts w:hint="eastAsia"/>
                <w:color w:val="auto"/>
                <w:sz w:val="24"/>
                <w:highlight w:val="none"/>
              </w:rPr>
              <w:t>II</w:t>
            </w:r>
            <w:r>
              <w:rPr>
                <w:rFonts w:hint="eastAsia"/>
                <w:color w:val="auto"/>
                <w:sz w:val="24"/>
                <w:lang w:val="fr-FR"/>
                <w:highlight w:val="none"/>
              </w:rPr>
              <w:fldChar w:fldCharType="end"/>
            </w:r>
            <w:r>
              <w:rPr>
                <w:rFonts w:hint="eastAsia"/>
                <w:color w:val="auto"/>
                <w:sz w:val="24"/>
                <w:lang w:val="fr-FR"/>
                <w:highlight w:val="none"/>
              </w:rPr>
              <w:t>预测点的噪声预测值</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center"/>
              <w:textAlignment w:val="auto"/>
              <w:rPr>
                <w:rFonts w:hint="eastAsia"/>
                <w:color w:val="auto"/>
                <w:sz w:val="24"/>
                <w:lang w:val="fr-FR"/>
                <w:highlight w:val="none"/>
              </w:rPr>
            </w:pPr>
            <w:r>
              <w:rPr>
                <w:rFonts w:hint="eastAsia"/>
                <w:color w:val="auto"/>
                <w:sz w:val="24"/>
                <w:highlight w:val="none"/>
              </w:rPr>
              <w:drawing>
                <wp:inline distT="0" distB="0" distL="114300" distR="114300">
                  <wp:extent cx="1794510" cy="267334"/>
                  <wp:effectExtent l="0" t="0" r="1" b="1"/>
                  <wp:docPr id="211" name="图片 52" descr="C:\Users\user\AppData\Local\Temp\ksohtml4296\wps68.jpg"/>
                  <wp:cNvGraphicFramePr>
                    <a:graphicFrameLocks noChangeAspect="1"/>
                  </wp:cNvGraphicFramePr>
                  <a:graphic>
                    <a:graphicData uri="http://schemas.openxmlformats.org/drawingml/2006/picture">
                      <pic:pic>
                        <pic:nvPicPr>
                          <pic:cNvPr id="220" name="图片 52 220"/>
                          <pic:cNvPicPr/>
                        </pic:nvPicPr>
                        <pic:blipFill>
                          <a:blip r:embed="rId57"/>
                          <a:stretch>
                            <a:fillRect/>
                          </a:stretch>
                        </pic:blipFill>
                        <pic:spPr>
                          <a:xfrm rot="0">
                            <a:off x="0" y="0"/>
                            <a:ext cx="1794510" cy="267334"/>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lang w:val="fr-FR"/>
                <w:highlight w:val="none"/>
              </w:rPr>
            </w:pPr>
            <w:r>
              <w:rPr>
                <w:rFonts w:hint="eastAsia"/>
                <w:color w:val="auto"/>
                <w:sz w:val="24"/>
                <w:lang w:val="fr-FR"/>
                <w:highlight w:val="none"/>
              </w:rPr>
              <w:t>式中：</w:t>
            </w:r>
            <w:r>
              <w:rPr>
                <w:rFonts w:hint="eastAsia"/>
                <w:color w:val="auto"/>
                <w:sz w:val="24"/>
                <w:highlight w:val="none"/>
              </w:rPr>
              <w:drawing>
                <wp:inline distT="0" distB="0" distL="114300" distR="114300">
                  <wp:extent cx="267334" cy="250190"/>
                  <wp:effectExtent l="0" t="0" r="1" b="0"/>
                  <wp:docPr id="212" name="图片 53" descr="C:\Users\user\AppData\Local\Temp\ksohtml4296\wps69.jpg"/>
                  <wp:cNvGraphicFramePr>
                    <a:graphicFrameLocks noChangeAspect="1"/>
                  </wp:cNvGraphicFramePr>
                  <a:graphic>
                    <a:graphicData uri="http://schemas.openxmlformats.org/drawingml/2006/picture">
                      <pic:pic>
                        <pic:nvPicPr>
                          <pic:cNvPr id="222" name="图片 53 222"/>
                          <pic:cNvPicPr/>
                        </pic:nvPicPr>
                        <pic:blipFill>
                          <a:blip r:embed="rId58"/>
                          <a:stretch>
                            <a:fillRect/>
                          </a:stretch>
                        </pic:blipFill>
                        <pic:spPr>
                          <a:xfrm rot="0">
                            <a:off x="0" y="0"/>
                            <a:ext cx="267334" cy="250190"/>
                          </a:xfrm>
                          <a:prstGeom prst="rect"/>
                          <a:noFill/>
                          <a:ln cmpd="sng" cap="flat">
                            <a:noFill/>
                            <a:prstDash val="solid"/>
                            <a:round/>
                          </a:ln>
                        </pic:spPr>
                      </pic:pic>
                    </a:graphicData>
                  </a:graphic>
                </wp:inline>
              </w:drawing>
            </w:r>
            <w:r>
              <w:rPr>
                <w:rFonts w:hint="eastAsia"/>
                <w:color w:val="auto"/>
                <w:sz w:val="24"/>
                <w:lang w:val="fr-FR"/>
                <w:highlight w:val="none"/>
              </w:rPr>
              <w:t>——建设项目声源在预测点的等效声级贡献值，dB</w:t>
            </w:r>
            <w:r>
              <w:rPr>
                <w:rFonts w:hint="eastAsia"/>
                <w:color w:val="auto"/>
                <w:sz w:val="24"/>
                <w:lang w:val="fr-FR" w:eastAsia="zh-CN"/>
                <w:highlight w:val="none"/>
              </w:rPr>
              <w:t>（</w:t>
            </w:r>
            <w:r>
              <w:rPr>
                <w:rFonts w:hint="eastAsia"/>
                <w:color w:val="auto"/>
                <w:sz w:val="24"/>
                <w:lang w:val="fr-FR"/>
                <w:highlight w:val="none"/>
              </w:rPr>
              <w:t>A</w:t>
            </w:r>
            <w:r>
              <w:rPr>
                <w:rFonts w:hint="eastAsia"/>
                <w:color w:val="auto"/>
                <w:sz w:val="24"/>
                <w:lang w:val="fr-FR" w:eastAsia="zh-CN"/>
                <w:highlight w:val="none"/>
              </w:rPr>
              <w:t>）</w:t>
            </w:r>
            <w:r>
              <w:rPr>
                <w:rFonts w:hint="eastAsia"/>
                <w:color w:val="auto"/>
                <w:sz w:val="24"/>
                <w:lang w:val="fr-FR"/>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500" w:firstLine="1200"/>
              <w:textAlignment w:val="auto"/>
              <w:rPr>
                <w:rFonts w:hint="eastAsia"/>
                <w:color w:val="auto"/>
                <w:sz w:val="24"/>
                <w:lang w:val="fr-FR"/>
                <w:highlight w:val="none"/>
              </w:rPr>
            </w:pPr>
            <w:r>
              <w:rPr>
                <w:rFonts w:hint="eastAsia"/>
                <w:color w:val="auto"/>
                <w:sz w:val="24"/>
                <w:highlight w:val="none"/>
              </w:rPr>
              <w:drawing>
                <wp:inline distT="0" distB="0" distL="114300" distR="114300">
                  <wp:extent cx="267334" cy="250190"/>
                  <wp:effectExtent l="0" t="0" r="1" b="0"/>
                  <wp:docPr id="213" name="图片 54" descr="C:\Users\user\AppData\Local\Temp\ksohtml4296\wps70.jpg"/>
                  <wp:cNvGraphicFramePr>
                    <a:graphicFrameLocks noChangeAspect="1"/>
                  </wp:cNvGraphicFramePr>
                  <a:graphic>
                    <a:graphicData uri="http://schemas.openxmlformats.org/drawingml/2006/picture">
                      <pic:pic>
                        <pic:nvPicPr>
                          <pic:cNvPr id="224" name="图片 54 224"/>
                          <pic:cNvPicPr/>
                        </pic:nvPicPr>
                        <pic:blipFill>
                          <a:blip r:embed="rId59"/>
                          <a:stretch>
                            <a:fillRect/>
                          </a:stretch>
                        </pic:blipFill>
                        <pic:spPr>
                          <a:xfrm rot="0">
                            <a:off x="0" y="0"/>
                            <a:ext cx="267334" cy="250190"/>
                          </a:xfrm>
                          <a:prstGeom prst="rect"/>
                          <a:noFill/>
                          <a:ln cmpd="sng" cap="flat">
                            <a:noFill/>
                            <a:prstDash val="solid"/>
                            <a:round/>
                          </a:ln>
                        </pic:spPr>
                      </pic:pic>
                    </a:graphicData>
                  </a:graphic>
                </wp:inline>
              </w:drawing>
            </w:r>
            <w:r>
              <w:rPr>
                <w:rFonts w:hint="eastAsia"/>
                <w:color w:val="auto"/>
                <w:sz w:val="24"/>
                <w:lang w:val="fr-FR"/>
                <w:highlight w:val="none"/>
              </w:rPr>
              <w:t>——预测点的背景值，dB</w:t>
            </w:r>
            <w:r>
              <w:rPr>
                <w:rFonts w:hint="eastAsia"/>
                <w:color w:val="auto"/>
                <w:sz w:val="24"/>
                <w:lang w:val="fr-FR" w:eastAsia="zh-CN"/>
                <w:highlight w:val="none"/>
              </w:rPr>
              <w:t>（</w:t>
            </w:r>
            <w:r>
              <w:rPr>
                <w:rFonts w:hint="eastAsia"/>
                <w:color w:val="auto"/>
                <w:sz w:val="24"/>
                <w:lang w:val="fr-FR"/>
                <w:highlight w:val="none"/>
              </w:rPr>
              <w:t>A</w:t>
            </w:r>
            <w:r>
              <w:rPr>
                <w:rFonts w:hint="eastAsia"/>
                <w:color w:val="auto"/>
                <w:sz w:val="24"/>
                <w:lang w:val="fr-FR" w:eastAsia="zh-CN"/>
                <w:highlight w:val="none"/>
              </w:rPr>
              <w:t>）</w:t>
            </w:r>
            <w:r>
              <w:rPr>
                <w:rFonts w:hint="eastAsia"/>
                <w:color w:val="auto"/>
                <w:sz w:val="24"/>
                <w:lang w:val="fr-FR"/>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（3）预测结果</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rPr>
            </w:pPr>
            <w:r>
              <w:rPr>
                <w:rFonts w:hint="eastAsia"/>
                <w:color w:val="auto"/>
                <w:sz w:val="24"/>
                <w:highlight w:val="none"/>
              </w:rPr>
              <w:t>本项目采用《环境影响评价技术导则  声环境》（HJ2.4-2021）中推荐的模式进行预测，</w:t>
            </w:r>
            <w:r>
              <w:rPr>
                <w:rFonts w:hint="eastAsia"/>
                <w:color w:val="auto"/>
                <w:sz w:val="24"/>
                <w:lang w:eastAsia="zh-CN"/>
                <w:highlight w:val="none"/>
              </w:rPr>
              <w:t>考虑到本项目租赁区域较为分散，但产噪设备仅位于大库房内，小库房和办公室不涉及固定声源，因此，本项目对大库房边界进行预测，同时对整个厂区边界进行预测，</w:t>
            </w:r>
            <w:r>
              <w:rPr>
                <w:rFonts w:hint="eastAsia"/>
                <w:color w:val="auto"/>
                <w:sz w:val="24"/>
                <w:highlight w:val="none"/>
              </w:rPr>
              <w:t>预测结果见下表。</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6</w:t>
            </w:r>
            <w:r>
              <w:rPr>
                <w:rFonts w:ascii="Times New Roman" w:eastAsia="宋体" w:cs="Times New Roman" w:hAnsi="Times New Roman" w:hint="eastAsia"/>
                <w:b/>
                <w:bCs w:val="0"/>
                <w:color w:val="auto"/>
                <w:kern w:val="0"/>
                <w:sz w:val="24"/>
                <w:szCs w:val="22"/>
                <w:lang w:val="en-GB" w:eastAsia="zh-CN"/>
                <w:highlight w:val="none"/>
              </w:rPr>
              <w:t xml:space="preserve">   噪声预测结果 dB</w:t>
            </w:r>
            <w:r>
              <w:rPr>
                <w:rFonts w:cs="Times New Roman" w:hint="eastAsia"/>
                <w:b/>
                <w:bCs w:val="0"/>
                <w:color w:val="auto"/>
                <w:kern w:val="0"/>
                <w:sz w:val="24"/>
                <w:szCs w:val="22"/>
                <w:lang w:val="en-GB" w:eastAsia="zh-CN"/>
                <w:highlight w:val="none"/>
              </w:rPr>
              <w:t>（</w:t>
            </w:r>
            <w:r>
              <w:rPr>
                <w:rFonts w:ascii="Times New Roman" w:eastAsia="宋体" w:cs="Times New Roman" w:hAnsi="Times New Roman" w:hint="eastAsia"/>
                <w:b/>
                <w:bCs w:val="0"/>
                <w:color w:val="auto"/>
                <w:kern w:val="0"/>
                <w:sz w:val="24"/>
                <w:szCs w:val="22"/>
                <w:lang w:val="en-GB" w:eastAsia="zh-CN"/>
                <w:highlight w:val="none"/>
              </w:rPr>
              <w:t>A</w:t>
            </w:r>
            <w:r>
              <w:rPr>
                <w:rFonts w:cs="Times New Roman" w:hint="eastAsia"/>
                <w:b/>
                <w:bCs w:val="0"/>
                <w:color w:val="auto"/>
                <w:kern w:val="0"/>
                <w:sz w:val="24"/>
                <w:szCs w:val="22"/>
                <w:lang w:val="en-GB" w:eastAsia="zh-CN"/>
                <w:highlight w:val="none"/>
              </w:rPr>
              <w:t>）</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16"/>
              <w:gridCol w:w="216"/>
              <w:gridCol w:w="216"/>
              <w:gridCol w:w="216"/>
              <w:gridCol w:w="216"/>
              <w:gridCol w:w="7629"/>
              <w:gridCol w:w="216"/>
            </w:tblGrid>
            <w:tr>
              <w:trPr>
                <w:trHeight w:hRule="exact" w:val="420"/>
              </w:trPr>
              <w:tc>
                <w:tcPr>
                  <w:tcW w:w="384"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序号</w:t>
                  </w:r>
                </w:p>
              </w:tc>
              <w:tc>
                <w:tcPr>
                  <w:tcW w:w="953"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预测点位</w:t>
                  </w:r>
                </w:p>
              </w:tc>
              <w:tc>
                <w:tcPr>
                  <w:tcW w:w="872"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噪声贡献值/dB</w:t>
                  </w:r>
                  <w:r>
                    <w:rPr>
                      <w:rFonts w:cs="Times New Roman" w:hint="eastAsia"/>
                      <w:bCs/>
                      <w:color w:val="auto"/>
                      <w:kern w:val="0"/>
                      <w:sz w:val="21"/>
                      <w:szCs w:val="21"/>
                      <w:lang w:val="en-US" w:eastAsia="zh-CN" w:bidi="ar-SA"/>
                      <w:highlight w:val="none"/>
                    </w:rPr>
                    <w:t>（</w:t>
                  </w:r>
                  <w:r>
                    <w:rPr>
                      <w:rFonts w:ascii="Times New Roman" w:eastAsia="宋体" w:cs="Times New Roman" w:hAnsi="Times New Roman"/>
                      <w:bCs/>
                      <w:color w:val="auto"/>
                      <w:kern w:val="0"/>
                      <w:sz w:val="21"/>
                      <w:szCs w:val="21"/>
                      <w:lang w:val="en-US" w:eastAsia="zh-CN" w:bidi="ar-SA"/>
                      <w:highlight w:val="none"/>
                    </w:rPr>
                    <w:t>A</w:t>
                  </w:r>
                  <w:r>
                    <w:rPr>
                      <w:rFonts w:cs="Times New Roman" w:hint="eastAsia"/>
                      <w:bCs/>
                      <w:color w:val="auto"/>
                      <w:kern w:val="0"/>
                      <w:sz w:val="21"/>
                      <w:szCs w:val="21"/>
                      <w:lang w:val="en-US" w:eastAsia="zh-CN" w:bidi="ar-SA"/>
                      <w:highlight w:val="none"/>
                    </w:rPr>
                    <w:t>）</w:t>
                  </w:r>
                </w:p>
              </w:tc>
              <w:tc>
                <w:tcPr>
                  <w:tcW w:w="1271" w:type="pct"/>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标准值/dB</w:t>
                  </w:r>
                  <w:r>
                    <w:rPr>
                      <w:rFonts w:cs="Times New Roman" w:hint="eastAsia"/>
                      <w:bCs/>
                      <w:color w:val="auto"/>
                      <w:kern w:val="0"/>
                      <w:sz w:val="21"/>
                      <w:szCs w:val="21"/>
                      <w:lang w:val="en-US" w:eastAsia="zh-CN" w:bidi="ar-SA"/>
                      <w:highlight w:val="none"/>
                    </w:rPr>
                    <w:t>（</w:t>
                  </w:r>
                  <w:r>
                    <w:rPr>
                      <w:rFonts w:ascii="Times New Roman" w:eastAsia="宋体" w:cs="Times New Roman" w:hAnsi="Times New Roman"/>
                      <w:bCs/>
                      <w:color w:val="auto"/>
                      <w:kern w:val="0"/>
                      <w:sz w:val="21"/>
                      <w:szCs w:val="21"/>
                      <w:lang w:val="en-US" w:eastAsia="zh-CN" w:bidi="ar-SA"/>
                      <w:highlight w:val="none"/>
                    </w:rPr>
                    <w:t>A</w:t>
                  </w:r>
                  <w:r>
                    <w:rPr>
                      <w:rFonts w:cs="Times New Roman" w:hint="eastAsia"/>
                      <w:bCs/>
                      <w:color w:val="auto"/>
                      <w:kern w:val="0"/>
                      <w:sz w:val="21"/>
                      <w:szCs w:val="21"/>
                      <w:lang w:val="en-US" w:eastAsia="zh-CN" w:bidi="ar-SA"/>
                      <w:highlight w:val="none"/>
                    </w:rPr>
                    <w:t>）</w:t>
                  </w:r>
                </w:p>
              </w:tc>
              <w:tc>
                <w:tcPr>
                  <w:tcW w:w="1518" w:type="pct"/>
                  <w:gridSpan w:val="2"/>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超标和达标情况</w:t>
                  </w:r>
                </w:p>
              </w:tc>
            </w:tr>
            <w:tr>
              <w:tc>
                <w:tcPr>
                  <w:tcW w:w="384" w:type="pct"/>
                  <w:vMerge/>
                  <w:vAlign w:val="center"/>
                </w:tcPr>
                <w:p/>
              </w:tc>
              <w:tc>
                <w:tcPr>
                  <w:tcW w:w="953" w:type="pct"/>
                  <w:vMerge/>
                  <w:vAlign w:val="center"/>
                </w:tcPr>
                <w:p/>
              </w:tc>
              <w:tc>
                <w:tcPr>
                  <w:tcW w:w="872" w:type="pct"/>
                  <w:vMerge/>
                  <w:vAlign w:val="center"/>
                </w:tcP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昼间</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夜间</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昼间</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夜间</w:t>
                  </w:r>
                </w:p>
              </w:tc>
            </w:tr>
            <w:t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大库房东边界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38.15</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2</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大库房南边界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32.14</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322"/>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3</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大库房西边界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35.89</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4</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大库房北边界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33.50</w:t>
                  </w:r>
                </w:p>
              </w:tc>
              <w:tc>
                <w:tcPr>
                  <w:tcW w:w="611"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66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76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5</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东厂界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32.16</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6</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南厂界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30.67</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7</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西厂界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29.07</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r>
              <w:trPr>
                <w:trHeight w:val="263"/>
              </w:trPr>
              <w:tc>
                <w:tcPr>
                  <w:tcW w:w="384"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w:t>
                  </w:r>
                </w:p>
              </w:tc>
              <w:tc>
                <w:tcPr>
                  <w:tcW w:w="953"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北厂界</w:t>
                  </w:r>
                </w:p>
              </w:tc>
              <w:tc>
                <w:tcPr>
                  <w:tcW w:w="872"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21.24</w:t>
                  </w:r>
                </w:p>
              </w:tc>
              <w:tc>
                <w:tcPr>
                  <w:tcW w:w="273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65</w:t>
                  </w:r>
                </w:p>
              </w:tc>
              <w:tc>
                <w:tcPr>
                  <w:tcW w:w="295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55</w:t>
                  </w:r>
                </w:p>
              </w:tc>
              <w:tc>
                <w:tcPr>
                  <w:tcW w:w="3410"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c>
                <w:tcPr>
                  <w:tcW w:w="3375" w:type="pc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达标</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由表预测结果可知，项目厂界贡献值为</w:t>
            </w:r>
            <w:r>
              <w:rPr>
                <w:rFonts w:hint="eastAsia"/>
                <w:color w:val="auto"/>
                <w:sz w:val="24"/>
                <w:lang w:val="en-US" w:eastAsia="zh-CN"/>
                <w:highlight w:val="none"/>
              </w:rPr>
              <w:t>21.24</w:t>
            </w:r>
            <w:r>
              <w:rPr>
                <w:rFonts w:hint="eastAsia"/>
                <w:color w:val="auto"/>
                <w:sz w:val="24"/>
                <w:highlight w:val="none"/>
              </w:rPr>
              <w:t>~</w:t>
            </w:r>
            <w:r>
              <w:rPr>
                <w:rFonts w:hint="eastAsia"/>
                <w:color w:val="auto"/>
                <w:sz w:val="24"/>
                <w:lang w:val="en-US" w:eastAsia="zh-CN"/>
                <w:highlight w:val="none"/>
              </w:rPr>
              <w:t>38.15</w:t>
            </w:r>
            <w:r>
              <w:rPr>
                <w:rFonts w:hint="eastAsia"/>
                <w:color w:val="auto"/>
                <w:sz w:val="24"/>
                <w:highlight w:val="none"/>
              </w:rPr>
              <w:t>B</w:t>
            </w:r>
            <w:r>
              <w:rPr>
                <w:rFonts w:hint="eastAsia"/>
                <w:color w:val="auto"/>
                <w:sz w:val="24"/>
                <w:lang w:eastAsia="zh-CN"/>
                <w:highlight w:val="none"/>
              </w:rPr>
              <w:t>（</w:t>
            </w:r>
            <w:r>
              <w:rPr>
                <w:rFonts w:hint="eastAsia"/>
                <w:color w:val="auto"/>
                <w:sz w:val="24"/>
                <w:highlight w:val="none"/>
              </w:rPr>
              <w:t>A</w:t>
            </w:r>
            <w:r>
              <w:rPr>
                <w:rFonts w:hint="eastAsia"/>
                <w:color w:val="auto"/>
                <w:sz w:val="24"/>
                <w:lang w:eastAsia="zh-CN"/>
                <w:highlight w:val="none"/>
              </w:rPr>
              <w:t>）</w:t>
            </w:r>
            <w:r>
              <w:rPr>
                <w:rFonts w:hint="eastAsia"/>
                <w:color w:val="auto"/>
                <w:sz w:val="24"/>
                <w:highlight w:val="none"/>
              </w:rPr>
              <w:t>，满足《工业企业厂界环境噪声排放标准》</w:t>
            </w:r>
            <w:r>
              <w:rPr>
                <w:rFonts w:hint="eastAsia"/>
                <w:color w:val="auto"/>
                <w:sz w:val="24"/>
                <w:lang w:eastAsia="zh-CN"/>
                <w:highlight w:val="none"/>
              </w:rPr>
              <w:t>（</w:t>
            </w:r>
            <w:r>
              <w:rPr>
                <w:rFonts w:hint="eastAsia"/>
                <w:color w:val="auto"/>
                <w:sz w:val="24"/>
                <w:highlight w:val="none"/>
              </w:rPr>
              <w:t>GB12348-2008</w:t>
            </w:r>
            <w:r>
              <w:rPr>
                <w:rFonts w:hint="eastAsia"/>
                <w:color w:val="auto"/>
                <w:sz w:val="24"/>
                <w:lang w:eastAsia="zh-CN"/>
                <w:highlight w:val="none"/>
              </w:rPr>
              <w:t>）</w:t>
            </w:r>
            <w:r>
              <w:rPr>
                <w:rFonts w:hint="eastAsia"/>
                <w:color w:val="auto"/>
                <w:sz w:val="24"/>
                <w:lang w:val="en-US" w:eastAsia="zh-CN"/>
                <w:highlight w:val="none"/>
              </w:rPr>
              <w:t>3</w:t>
            </w:r>
            <w:r>
              <w:rPr>
                <w:rFonts w:hint="eastAsia"/>
                <w:color w:val="auto"/>
                <w:sz w:val="24"/>
                <w:highlight w:val="none"/>
              </w:rPr>
              <w:t>类标准要求。综上所述，此项目营运过程中产生的噪声不会对周围声环境产生明显影响。不会对区域声环境产生明显影响。</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w:t>
            </w:r>
            <w:r>
              <w:rPr>
                <w:rFonts w:hint="eastAsia"/>
                <w:color w:val="auto"/>
                <w:sz w:val="24"/>
                <w:lang w:val="en-US" w:eastAsia="zh-CN"/>
                <w:highlight w:val="none"/>
              </w:rPr>
              <w:t>4</w:t>
            </w:r>
            <w:r>
              <w:rPr>
                <w:rFonts w:hint="eastAsia"/>
                <w:color w:val="auto"/>
                <w:sz w:val="24"/>
                <w:highlight w:val="none"/>
              </w:rPr>
              <w:t>）监测计划</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本项目完成后，结合《排污单位自行监测技术指南 总则》</w:t>
            </w:r>
            <w:r>
              <w:rPr>
                <w:rFonts w:hint="eastAsia"/>
                <w:color w:val="auto"/>
                <w:sz w:val="24"/>
                <w:lang w:eastAsia="zh-CN"/>
                <w:highlight w:val="none"/>
              </w:rPr>
              <w:t>（</w:t>
            </w:r>
            <w:r>
              <w:rPr>
                <w:rFonts w:hint="eastAsia"/>
                <w:color w:val="auto"/>
                <w:sz w:val="24"/>
                <w:highlight w:val="none"/>
              </w:rPr>
              <w:t>HJ819-2017</w:t>
            </w:r>
            <w:r>
              <w:rPr>
                <w:rFonts w:hint="eastAsia"/>
                <w:color w:val="auto"/>
                <w:sz w:val="24"/>
                <w:lang w:eastAsia="zh-CN"/>
                <w:highlight w:val="none"/>
              </w:rPr>
              <w:t>）</w:t>
            </w:r>
            <w:r>
              <w:rPr>
                <w:rFonts w:hint="eastAsia"/>
                <w:color w:val="auto"/>
                <w:sz w:val="24"/>
                <w:highlight w:val="none"/>
              </w:rPr>
              <w:t>《排污单位自行监测技术指南 工业固体废物和危险废物治理》（HJ 1250-2022），监测要求如下：</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jc w:val="center"/>
              <w:textAlignment w:val="auto"/>
              <w:rPr>
                <w:rFonts w:ascii="Times New Roman" w:eastAsia="宋体" w:cs="Times New Roman" w:hAnsi="Times New Roman" w:hint="eastAsia"/>
                <w:b/>
                <w:bCs w:val="0"/>
                <w:color w:val="auto"/>
                <w:kern w:val="0"/>
                <w:sz w:val="24"/>
                <w:szCs w:val="22"/>
                <w:lang w:val="en-GB" w:eastAsia="zh-CN"/>
                <w:highlight w:val="none"/>
              </w:rPr>
            </w:pPr>
            <w:r>
              <w:rPr>
                <w:rFonts w:ascii="Times New Roman" w:eastAsia="宋体" w:cs="Times New Roman" w:hAnsi="Times New Roman" w:hint="eastAsia"/>
                <w:b/>
                <w:bCs w:val="0"/>
                <w:color w:val="auto"/>
                <w:kern w:val="0"/>
                <w:sz w:val="24"/>
                <w:szCs w:val="22"/>
                <w:lang w:val="en-GB" w:eastAsia="zh-CN"/>
                <w:highlight w:val="none"/>
              </w:rPr>
              <w:t>表</w:t>
            </w:r>
            <w:r>
              <w:rPr>
                <w:rFonts w:ascii="Times New Roman" w:eastAsia="宋体" w:cs="Times New Roman" w:hAnsi="Times New Roman" w:hint="eastAsia"/>
                <w:b/>
                <w:bCs w:val="0"/>
                <w:color w:val="auto"/>
                <w:kern w:val="0"/>
                <w:sz w:val="24"/>
                <w:szCs w:val="22"/>
                <w:lang w:val="en-US" w:eastAsia="zh-CN"/>
                <w:highlight w:val="none"/>
              </w:rPr>
              <w:t>4-</w:t>
            </w:r>
            <w:r>
              <w:rPr>
                <w:rFonts w:cs="Times New Roman" w:hint="eastAsia"/>
                <w:b/>
                <w:bCs w:val="0"/>
                <w:color w:val="auto"/>
                <w:kern w:val="0"/>
                <w:sz w:val="24"/>
                <w:szCs w:val="22"/>
                <w:lang w:val="en-US" w:eastAsia="zh-CN"/>
                <w:highlight w:val="none"/>
              </w:rPr>
              <w:t>7</w:t>
            </w:r>
            <w:r>
              <w:rPr>
                <w:rFonts w:ascii="Times New Roman" w:eastAsia="宋体" w:cs="Times New Roman" w:hAnsi="Times New Roman" w:hint="eastAsia"/>
                <w:b/>
                <w:bCs w:val="0"/>
                <w:color w:val="auto"/>
                <w:kern w:val="0"/>
                <w:sz w:val="24"/>
                <w:szCs w:val="22"/>
                <w:lang w:val="en-GB" w:eastAsia="zh-CN"/>
                <w:highlight w:val="none"/>
              </w:rPr>
              <w:t xml:space="preserve">  噪声监测计划一览表</w:t>
            </w:r>
          </w:p>
          <w:tbl>
            <w:tblPr>
              <w:jc w:val="center"/>
              <w:tblW w:w="5000"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238"/>
              <w:gridCol w:w="1827"/>
              <w:gridCol w:w="3122"/>
              <w:gridCol w:w="2740"/>
            </w:tblGrid>
            <w:tr>
              <w:trPr>
                <w:trHeight w:val="340"/>
              </w:trPr>
              <w:tc>
                <w:tcPr>
                  <w:tcW w:w="693" w:type="pct"/>
                  <w:tcBorders>
                    <w:top w:val="single" w:sz="12" w:space="0" w:color="auto"/>
                    <w:left w:val="nil"/>
                    <w:bottom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项目</w:t>
                  </w:r>
                </w:p>
              </w:tc>
              <w:tc>
                <w:tcPr>
                  <w:tcW w:w="1023" w:type="pct"/>
                  <w:tcBorders>
                    <w:top w:val="single" w:sz="12" w:space="0" w:color="auto"/>
                    <w:bottom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监测点位</w:t>
                  </w:r>
                </w:p>
              </w:tc>
              <w:tc>
                <w:tcPr>
                  <w:tcW w:w="1748" w:type="pct"/>
                  <w:tcBorders>
                    <w:top w:val="single" w:sz="12" w:space="0" w:color="auto"/>
                    <w:bottom w:val="single" w:sz="4" w:space="0" w:color="auto"/>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监测因子</w:t>
                  </w:r>
                </w:p>
              </w:tc>
              <w:tc>
                <w:tcPr>
                  <w:tcW w:w="1534" w:type="pct"/>
                  <w:tcBorders>
                    <w:top w:val="single" w:sz="12" w:space="0" w:color="auto"/>
                    <w:bottom w:val="single" w:sz="4" w:space="0" w:color="auto"/>
                    <w:righ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建议监测频次</w:t>
                  </w:r>
                </w:p>
              </w:tc>
            </w:tr>
            <w:tr>
              <w:trPr>
                <w:trHeight w:val="340"/>
              </w:trPr>
              <w:tc>
                <w:tcPr>
                  <w:tcW w:w="693" w:type="pct"/>
                  <w:vMerge w:val="restart"/>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噪声</w:t>
                  </w:r>
                </w:p>
              </w:tc>
              <w:tc>
                <w:tcPr>
                  <w:tcW w:w="1023" w:type="pct"/>
                  <w:vMerge w:val="restart"/>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厂界</w:t>
                  </w:r>
                </w:p>
              </w:tc>
              <w:tc>
                <w:tcPr>
                  <w:tcW w:w="1748" w:type="pct"/>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等效连续A声级</w:t>
                  </w:r>
                </w:p>
              </w:tc>
              <w:tc>
                <w:tcPr>
                  <w:tcW w:w="1534" w:type="pct"/>
                  <w:vMerge w:val="restart"/>
                  <w:tcBorders>
                    <w:right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bCs/>
                      <w:color w:val="auto"/>
                      <w:kern w:val="0"/>
                      <w:sz w:val="21"/>
                      <w:szCs w:val="21"/>
                      <w:lang w:val="en-US" w:eastAsia="zh-CN" w:bidi="ar-SA"/>
                      <w:highlight w:val="none"/>
                    </w:rPr>
                    <w:t>1次/季度</w:t>
                  </w:r>
                </w:p>
              </w:tc>
            </w:tr>
            <w:tr>
              <w:trPr>
                <w:trHeight w:val="340"/>
              </w:trPr>
              <w:tc>
                <w:tcPr>
                  <w:tcW w:w="693" w:type="pct"/>
                  <w:vMerge/>
                  <w:tcBorders>
                    <w:left w:val="nil"/>
                    <w:bottom w:val="single" w:sz="12" w:space="0" w:color="auto"/>
                  </w:tcBorders>
                  <w:vAlign w:val="center"/>
                </w:tcPr>
                <w:p/>
              </w:tc>
              <w:tc>
                <w:tcPr>
                  <w:tcW w:w="1023" w:type="pct"/>
                  <w:vMerge/>
                  <w:tcBorders>
                    <w:bottom w:val="single" w:sz="12" w:space="0" w:color="auto"/>
                  </w:tcBorders>
                  <w:vAlign w:val="center"/>
                </w:tcPr>
                <w:p/>
              </w:tc>
              <w:tc>
                <w:tcPr>
                  <w:tcW w:w="1748" w:type="pct"/>
                  <w:tcBorders>
                    <w:bottom w:val="single" w:sz="12" w:space="0" w:color="auto"/>
                  </w:tcBorders>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频发、偶发最大声级</w:t>
                  </w:r>
                </w:p>
              </w:tc>
              <w:tc>
                <w:tcPr>
                  <w:tcW w:w="1534" w:type="pct"/>
                  <w:vMerge/>
                  <w:tcBorders>
                    <w:bottom w:val="single" w:sz="12" w:space="0" w:color="auto"/>
                    <w:right w:val="nil"/>
                  </w:tcBorders>
                  <w:vAlign w:val="center"/>
                </w:tcPr>
                <w:p/>
              </w:tc>
            </w:tr>
          </w:tbl>
          <w:p>
            <w:pPr>
              <w:pStyle w:val="33"/>
              <w:keepNext w:val="0"/>
              <w:keepLines w:val="0"/>
              <w:pageBreakBefore w:val="0"/>
              <w:kinsoku/>
              <w:wordWrap/>
              <w:overflowPunct/>
              <w:topLinePunct w:val="0"/>
              <w:autoSpaceDE/>
              <w:autoSpaceDN/>
              <w:bidi w:val="0"/>
              <w:snapToGrid/>
              <w:spacing w:line="460" w:lineRule="exact"/>
              <w:jc w:val="both"/>
              <w:rPr>
                <w:b/>
                <w:bCs/>
                <w:color w:val="auto"/>
                <w:kern w:val="0"/>
                <w:sz w:val="24"/>
                <w:highlight w:val="none"/>
              </w:rPr>
            </w:pPr>
            <w:r>
              <w:rPr>
                <w:rFonts w:hint="eastAsia"/>
                <w:b/>
                <w:bCs/>
                <w:color w:val="auto"/>
                <w:kern w:val="0"/>
                <w:sz w:val="24"/>
                <w:highlight w:val="none"/>
              </w:rPr>
              <w:t>4、固体废物</w:t>
            </w:r>
          </w:p>
          <w:p>
            <w:pPr>
              <w:keepNext w:val="0"/>
              <w:keepLines w:val="0"/>
              <w:pageBreakBefore w:val="0"/>
              <w:kinsoku/>
              <w:wordWrap/>
              <w:overflowPunct/>
              <w:topLinePunct w:val="0"/>
              <w:autoSpaceDE/>
              <w:autoSpaceDN/>
              <w:bidi w:val="0"/>
              <w:snapToGrid/>
              <w:spacing w:line="460" w:lineRule="exact"/>
              <w:ind w:firstLineChars="200" w:firstLine="480"/>
              <w:jc w:val="both"/>
              <w:rPr>
                <w:color w:val="auto"/>
                <w:sz w:val="24"/>
                <w:highlight w:val="none"/>
              </w:rPr>
            </w:pPr>
            <w:r>
              <w:rPr>
                <w:rFonts w:hint="eastAsia"/>
                <w:color w:val="auto"/>
                <w:sz w:val="24"/>
                <w:highlight w:val="none"/>
              </w:rPr>
              <w:t>（1）固体废物产生及处置情况</w:t>
            </w:r>
          </w:p>
          <w:p>
            <w:pPr>
              <w:keepNext w:val="0"/>
              <w:keepLines w:val="0"/>
              <w:pageBreakBefore w:val="0"/>
              <w:kinsoku/>
              <w:wordWrap/>
              <w:overflowPunct/>
              <w:topLinePunct w:val="0"/>
              <w:autoSpaceDE/>
              <w:autoSpaceDN/>
              <w:bidi w:val="0"/>
              <w:snapToGrid/>
              <w:spacing w:line="460" w:lineRule="exact"/>
              <w:ind w:firstLineChars="200" w:firstLine="480"/>
              <w:jc w:val="both"/>
              <w:rPr>
                <w:rStyle w:val="56Char"/>
                <w:rFonts w:eastAsia="宋体"/>
                <w:color w:val="auto"/>
                <w:lang w:val="en-US" w:eastAsia="zh-CN"/>
                <w:highlight w:val="none"/>
              </w:rPr>
            </w:pPr>
            <w:r>
              <w:rPr>
                <w:rStyle w:val="56Char"/>
                <w:rFonts w:hint="eastAsia"/>
                <w:color w:val="auto"/>
                <w:highlight w:val="none"/>
              </w:rPr>
              <w:t>项目运营期产生的固废主要</w:t>
            </w:r>
            <w:r>
              <w:rPr>
                <w:rStyle w:val="56Char"/>
                <w:rFonts w:hint="eastAsia"/>
                <w:color w:val="auto"/>
                <w:lang w:val="en-US" w:eastAsia="zh-CN"/>
                <w:highlight w:val="none"/>
              </w:rPr>
              <w:t>为危险废物和生活垃圾。</w:t>
            </w:r>
          </w:p>
          <w:p>
            <w:pPr>
              <w:pStyle w:val="56"/>
              <w:keepNext w:val="0"/>
              <w:keepLines w:val="0"/>
              <w:pageBreakBefore w:val="0"/>
              <w:kinsoku/>
              <w:wordWrap/>
              <w:overflowPunct/>
              <w:topLinePunct w:val="0"/>
              <w:autoSpaceDE/>
              <w:autoSpaceDN/>
              <w:bidi w:val="0"/>
              <w:adjustRightInd w:val="0"/>
              <w:snapToGrid/>
              <w:spacing w:line="460" w:lineRule="exact"/>
              <w:jc w:val="both"/>
              <w:rPr>
                <w:rFonts w:eastAsia="宋体"/>
                <w:color w:val="auto"/>
                <w:lang w:val="en-US" w:eastAsia="zh-CN"/>
                <w:highlight w:val="none"/>
              </w:rPr>
            </w:pPr>
            <w:r>
              <w:rPr>
                <w:rFonts w:hint="eastAsia"/>
                <w:color w:val="auto"/>
                <w:lang w:val="en-US" w:eastAsia="zh-CN"/>
                <w:highlight w:val="none"/>
              </w:rPr>
              <w:t>①危险废物</w:t>
            </w:r>
          </w:p>
          <w:p>
            <w:pPr>
              <w:keepNext w:val="0"/>
              <w:pageBreakBefore w:val="0"/>
              <w:widowControl/>
              <w:kinsoku/>
              <w:wordWrap/>
              <w:overflowPunct/>
              <w:topLinePunct w:val="0"/>
              <w:autoSpaceDE/>
              <w:autoSpaceDN/>
              <w:bidi w:val="0"/>
              <w:spacing w:line="460" w:lineRule="exact"/>
              <w:ind w:firstLineChars="200" w:firstLine="480"/>
              <w:textAlignment w:val="center"/>
              <w:rPr>
                <w:rFonts w:hint="eastAsia"/>
                <w:color w:val="auto"/>
                <w:sz w:val="24"/>
                <w:lang w:val="zh-CN"/>
                <w:highlight w:val="none"/>
              </w:rPr>
            </w:pPr>
            <w:r>
              <w:rPr>
                <w:rFonts w:hint="eastAsia"/>
                <w:color w:val="auto"/>
                <w:sz w:val="24"/>
                <w:lang w:val="zh-CN"/>
                <w:highlight w:val="none"/>
              </w:rPr>
              <w:t>项目固体废物主要为破损电池中的废电解液、废碱液、废防护用具，全部为危险废物。</w:t>
            </w:r>
          </w:p>
          <w:p>
            <w:pPr>
              <w:keepNext w:val="0"/>
              <w:pageBreakBefore w:val="0"/>
              <w:widowControl/>
              <w:kinsoku/>
              <w:wordWrap/>
              <w:overflowPunct/>
              <w:topLinePunct w:val="0"/>
              <w:autoSpaceDE/>
              <w:autoSpaceDN/>
              <w:bidi w:val="0"/>
              <w:spacing w:line="460" w:lineRule="exact"/>
              <w:ind w:firstLineChars="200" w:firstLine="480"/>
              <w:textAlignment w:val="center"/>
              <w:rPr>
                <w:rFonts w:hint="eastAsia"/>
                <w:color w:val="auto"/>
                <w:sz w:val="24"/>
                <w:lang w:val="zh-CN"/>
                <w:highlight w:val="none"/>
              </w:rPr>
            </w:pPr>
            <w:r>
              <w:rPr>
                <w:rFonts w:ascii="Times New Roman" w:eastAsia="宋体" w:cs="Times New Roman" w:hAnsi="Times New Roman" w:hint="eastAsia"/>
                <w:bCs/>
                <w:color w:val="auto"/>
                <w:kern w:val="0"/>
                <w:sz w:val="24"/>
                <w:szCs w:val="22"/>
                <w:highlight w:val="none"/>
              </w:rPr>
              <w:t>结合企业提供的经验数据，</w:t>
            </w:r>
            <w:r>
              <w:rPr>
                <w:rFonts w:cs="Times New Roman" w:hint="eastAsia"/>
                <w:bCs/>
                <w:color w:val="auto"/>
                <w:kern w:val="0"/>
                <w:sz w:val="24"/>
                <w:szCs w:val="22"/>
                <w:lang w:eastAsia="zh-CN"/>
                <w:highlight w:val="none"/>
              </w:rPr>
              <w:t>废电池装卸及分拣过程中</w:t>
            </w:r>
            <w:r>
              <w:rPr>
                <w:rFonts w:ascii="Times New Roman" w:eastAsia="宋体" w:cs="Times New Roman" w:hAnsi="Times New Roman" w:hint="eastAsia"/>
                <w:bCs/>
                <w:color w:val="auto"/>
                <w:kern w:val="0"/>
                <w:sz w:val="24"/>
                <w:szCs w:val="22"/>
                <w:highlight w:val="none"/>
              </w:rPr>
              <w:t>破损检出率为</w:t>
            </w:r>
            <w:r>
              <w:rPr>
                <w:rFonts w:cs="Times New Roman" w:hint="eastAsia"/>
                <w:bCs/>
                <w:color w:val="auto"/>
                <w:kern w:val="0"/>
                <w:sz w:val="24"/>
                <w:szCs w:val="22"/>
                <w:lang w:val="en-US" w:eastAsia="zh-CN"/>
                <w:highlight w:val="none"/>
              </w:rPr>
              <w:t>0.5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本项目废电池最大贮存量为</w:t>
            </w:r>
            <w:r>
              <w:rPr>
                <w:rFonts w:cs="Times New Roman" w:hint="eastAsia"/>
                <w:bCs/>
                <w:color w:val="auto"/>
                <w:kern w:val="0"/>
                <w:sz w:val="24"/>
                <w:szCs w:val="22"/>
                <w:lang w:val="en-US" w:eastAsia="zh-CN"/>
                <w:highlight w:val="none"/>
              </w:rPr>
              <w:t>6000t/a，</w:t>
            </w:r>
            <w:r>
              <w:rPr>
                <w:rFonts w:ascii="Times New Roman" w:eastAsia="宋体" w:cs="Times New Roman" w:hAnsi="Times New Roman" w:hint="eastAsia"/>
                <w:bCs/>
                <w:color w:val="auto"/>
                <w:kern w:val="0"/>
                <w:sz w:val="24"/>
                <w:szCs w:val="22"/>
                <w:highlight w:val="none"/>
              </w:rPr>
              <w:t>破损电池检出量为</w:t>
            </w:r>
            <w:r>
              <w:rPr>
                <w:rFonts w:cs="Times New Roman" w:hint="eastAsia"/>
                <w:bCs/>
                <w:color w:val="auto"/>
                <w:kern w:val="0"/>
                <w:sz w:val="24"/>
                <w:szCs w:val="22"/>
                <w:lang w:val="en-US" w:eastAsia="zh-CN"/>
                <w:highlight w:val="none"/>
              </w:rPr>
              <w:t>30</w:t>
            </w:r>
            <w:r>
              <w:rPr>
                <w:rFonts w:ascii="Times New Roman" w:eastAsia="宋体" w:cs="Times New Roman" w:hAnsi="Times New Roman" w:hint="eastAsia"/>
                <w:bCs/>
                <w:color w:val="auto"/>
                <w:kern w:val="0"/>
                <w:sz w:val="24"/>
                <w:szCs w:val="22"/>
                <w:highlight w:val="none"/>
              </w:rPr>
              <w:t>t/a，</w:t>
            </w:r>
            <w:r>
              <w:rPr>
                <w:rFonts w:cs="Times New Roman" w:hint="eastAsia"/>
                <w:bCs/>
                <w:color w:val="auto"/>
                <w:kern w:val="0"/>
                <w:sz w:val="24"/>
                <w:szCs w:val="22"/>
                <w:lang w:eastAsia="zh-CN"/>
                <w:highlight w:val="none"/>
              </w:rPr>
              <w:t>根据前文表</w:t>
            </w:r>
            <w:r>
              <w:rPr>
                <w:rFonts w:cs="Times New Roman" w:hint="eastAsia"/>
                <w:bCs/>
                <w:color w:val="auto"/>
                <w:kern w:val="0"/>
                <w:sz w:val="24"/>
                <w:szCs w:val="22"/>
                <w:lang w:val="en-US" w:eastAsia="zh-CN"/>
                <w:highlight w:val="none"/>
              </w:rPr>
              <w:t>2-3</w:t>
            </w:r>
            <w:r>
              <w:rPr>
                <w:rFonts w:ascii="Times New Roman" w:eastAsia="宋体" w:cs="Times New Roman" w:hAnsi="Times New Roman" w:hint="eastAsia"/>
                <w:bCs/>
                <w:color w:val="auto"/>
                <w:kern w:val="0"/>
                <w:sz w:val="24"/>
                <w:szCs w:val="22"/>
                <w:highlight w:val="none"/>
              </w:rPr>
              <w:t>电解液</w:t>
            </w:r>
            <w:r>
              <w:rPr>
                <w:rFonts w:cs="Times New Roman" w:hint="eastAsia"/>
                <w:bCs/>
                <w:color w:val="auto"/>
                <w:kern w:val="0"/>
                <w:sz w:val="24"/>
                <w:szCs w:val="22"/>
                <w:lang w:eastAsia="zh-CN"/>
                <w:highlight w:val="none"/>
              </w:rPr>
              <w:t>占</w:t>
            </w:r>
            <w:r>
              <w:rPr>
                <w:rFonts w:ascii="Times New Roman" w:eastAsia="宋体" w:cs="Times New Roman" w:hAnsi="Times New Roman" w:hint="eastAsia"/>
                <w:bCs/>
                <w:color w:val="auto"/>
                <w:kern w:val="0"/>
                <w:sz w:val="24"/>
                <w:szCs w:val="22"/>
                <w:highlight w:val="none"/>
              </w:rPr>
              <w:t>电池重量的</w:t>
            </w:r>
            <w:r>
              <w:rPr>
                <w:rFonts w:cs="Times New Roman" w:hint="eastAsia"/>
                <w:bCs/>
                <w:color w:val="auto"/>
                <w:kern w:val="0"/>
                <w:sz w:val="24"/>
                <w:szCs w:val="22"/>
                <w:lang w:val="en-US" w:eastAsia="zh-CN"/>
                <w:highlight w:val="none"/>
              </w:rPr>
              <w:t>15</w:t>
            </w:r>
            <w:r>
              <w:rPr>
                <w:rFonts w:ascii="Times New Roman" w:eastAsia="宋体" w:cs="Times New Roman" w:hAnsi="Times New Roman" w:hint="eastAsia"/>
                <w:bCs/>
                <w:color w:val="auto"/>
                <w:kern w:val="0"/>
                <w:sz w:val="24"/>
                <w:szCs w:val="22"/>
                <w:highlight w:val="none"/>
              </w:rPr>
              <w:t>%</w:t>
            </w:r>
            <w:r>
              <w:rPr>
                <w:rFonts w:cs="Times New Roman" w:hint="eastAsia"/>
                <w:bCs/>
                <w:color w:val="auto"/>
                <w:kern w:val="0"/>
                <w:sz w:val="24"/>
                <w:szCs w:val="22"/>
                <w:lang w:eastAsia="zh-CN"/>
                <w:highlight w:val="none"/>
              </w:rPr>
              <w:t>，</w:t>
            </w:r>
            <w:r>
              <w:rPr>
                <w:rFonts w:hint="eastAsia"/>
                <w:color w:val="auto"/>
                <w:sz w:val="24"/>
                <w:lang w:val="zh-CN"/>
                <w:highlight w:val="none"/>
              </w:rPr>
              <w:t>则废电解液产生量为</w:t>
            </w:r>
            <w:r>
              <w:rPr>
                <w:rFonts w:hint="eastAsia"/>
                <w:color w:val="auto"/>
                <w:sz w:val="24"/>
                <w:lang w:val="en-US" w:eastAsia="zh-CN"/>
                <w:highlight w:val="none"/>
              </w:rPr>
              <w:t>4.5</w:t>
            </w:r>
            <w:r>
              <w:rPr>
                <w:rFonts w:hint="eastAsia"/>
                <w:color w:val="auto"/>
                <w:sz w:val="24"/>
                <w:lang w:val="zh-CN"/>
                <w:highlight w:val="none"/>
              </w:rPr>
              <w:t>t/a</w:t>
            </w:r>
            <w:r>
              <w:rPr>
                <w:rFonts w:hint="eastAsia"/>
                <w:color w:val="auto"/>
                <w:sz w:val="24"/>
                <w:lang w:val="zh-CN" w:eastAsia="zh-CN"/>
                <w:highlight w:val="none"/>
              </w:rPr>
              <w:t>。根据设计资料，碱喷淋装置循环水槽容积约为0.7m</w:t>
            </w:r>
            <w:r>
              <w:rPr>
                <w:rFonts w:hint="eastAsia"/>
                <w:color w:val="auto"/>
                <w:sz w:val="24"/>
                <w:vertAlign w:val="superscript"/>
                <w:lang w:val="zh-CN" w:eastAsia="zh-CN"/>
                <w:highlight w:val="none"/>
              </w:rPr>
              <w:t>3</w:t>
            </w:r>
            <w:r>
              <w:rPr>
                <w:rFonts w:hint="eastAsia"/>
                <w:color w:val="auto"/>
                <w:sz w:val="24"/>
                <w:lang w:val="zh-CN" w:eastAsia="zh-CN"/>
                <w:highlight w:val="none"/>
              </w:rPr>
              <w:t>，</w:t>
            </w:r>
            <w:r>
              <w:rPr>
                <w:rFonts w:hint="eastAsia"/>
                <w:color w:val="auto"/>
                <w:sz w:val="24"/>
                <w:lang w:val="zh-CN"/>
                <w:highlight w:val="none"/>
              </w:rPr>
              <w:t>碱液每年更换一次，废碱液产生量为0.</w:t>
            </w:r>
            <w:r>
              <w:rPr>
                <w:rFonts w:hint="eastAsia"/>
                <w:color w:val="auto"/>
                <w:sz w:val="24"/>
                <w:lang w:val="en-US" w:eastAsia="zh-CN"/>
                <w:highlight w:val="none"/>
              </w:rPr>
              <w:t>7</w:t>
            </w:r>
            <w:r>
              <w:rPr>
                <w:rFonts w:hint="eastAsia"/>
                <w:color w:val="auto"/>
                <w:sz w:val="24"/>
                <w:lang w:val="zh-CN"/>
                <w:highlight w:val="none"/>
              </w:rPr>
              <w:t>t/a。项目防护用具主要为工作人员使用的防护服、手套及在地面清理过程中产生的沾染电解液的废抹布等，根据建设单位提供资料，废电池分类装卸工作人员为</w:t>
            </w:r>
            <w:r>
              <w:rPr>
                <w:rFonts w:hint="eastAsia"/>
                <w:color w:val="auto"/>
                <w:sz w:val="24"/>
                <w:lang w:val="en-US" w:eastAsia="zh-CN"/>
                <w:highlight w:val="none"/>
              </w:rPr>
              <w:t>6</w:t>
            </w:r>
            <w:r>
              <w:rPr>
                <w:rFonts w:hint="eastAsia"/>
                <w:color w:val="auto"/>
                <w:sz w:val="24"/>
                <w:lang w:val="zh-CN"/>
                <w:highlight w:val="none"/>
              </w:rPr>
              <w:t>人，防护服及手套产生量以0.25kg/人</w:t>
            </w:r>
            <w:r>
              <w:rPr>
                <w:rFonts w:ascii="微软雅黑" w:eastAsia="微软雅黑" w:cs="微软雅黑" w:hAnsi="微软雅黑" w:hint="eastAsia"/>
                <w:color w:val="auto"/>
                <w:sz w:val="24"/>
                <w:lang w:val="zh-CN"/>
                <w:highlight w:val="none"/>
              </w:rPr>
              <w:t>∙</w:t>
            </w:r>
            <w:r>
              <w:rPr>
                <w:color w:val="auto"/>
                <w:sz w:val="24"/>
                <w:highlight w:val="none"/>
              </w:rPr>
              <w:t>d</w:t>
            </w:r>
            <w:r>
              <w:rPr>
                <w:rFonts w:hint="eastAsia"/>
                <w:color w:val="auto"/>
                <w:sz w:val="24"/>
                <w:lang w:val="zh-CN"/>
                <w:highlight w:val="none"/>
              </w:rPr>
              <w:t>计，废防护服及手套产生量为0.</w:t>
            </w:r>
            <w:r>
              <w:rPr>
                <w:rFonts w:hint="eastAsia"/>
                <w:color w:val="auto"/>
                <w:sz w:val="24"/>
                <w:lang w:val="en-US" w:eastAsia="zh-CN"/>
                <w:highlight w:val="none"/>
              </w:rPr>
              <w:t>45</w:t>
            </w:r>
            <w:r>
              <w:rPr>
                <w:rFonts w:hint="eastAsia"/>
                <w:color w:val="auto"/>
                <w:sz w:val="24"/>
                <w:lang w:val="zh-CN"/>
                <w:highlight w:val="none"/>
              </w:rPr>
              <w:t>t/a；废抹布产生量为0.0</w:t>
            </w:r>
            <w:r>
              <w:rPr>
                <w:rFonts w:hint="eastAsia"/>
                <w:color w:val="auto"/>
                <w:sz w:val="24"/>
                <w:lang w:val="en-US" w:eastAsia="zh-CN"/>
                <w:highlight w:val="none"/>
              </w:rPr>
              <w:t>1</w:t>
            </w:r>
            <w:r>
              <w:rPr>
                <w:rFonts w:hint="eastAsia"/>
                <w:color w:val="auto"/>
                <w:sz w:val="24"/>
                <w:lang w:val="zh-CN"/>
                <w:highlight w:val="none"/>
              </w:rPr>
              <w:t>t/a。</w:t>
            </w:r>
            <w:r>
              <w:rPr>
                <w:rFonts w:hint="eastAsia"/>
                <w:color w:val="auto"/>
                <w:sz w:val="24"/>
                <w:highlight w:val="none"/>
              </w:rPr>
              <w:t>分类</w:t>
            </w:r>
            <w:r>
              <w:rPr>
                <w:rFonts w:hint="eastAsia"/>
                <w:color w:val="auto"/>
                <w:sz w:val="24"/>
                <w:lang w:val="zh-CN"/>
                <w:highlight w:val="none"/>
              </w:rPr>
              <w:t>收集后暂存于危废暂存间，定期交由有资质的单位处理。</w:t>
            </w:r>
          </w:p>
          <w:p>
            <w:pPr>
              <w:keepNext w:val="0"/>
              <w:keepLines/>
              <w:pageBreakBefore w:val="0"/>
              <w:kinsoku/>
              <w:wordWrap/>
              <w:overflowPunct/>
              <w:topLinePunct w:val="0"/>
              <w:autoSpaceDE/>
              <w:autoSpaceDN/>
              <w:bidi w:val="0"/>
              <w:adjustRightInd w:val="0"/>
              <w:snapToGrid w:val="0"/>
              <w:spacing w:line="460" w:lineRule="exact"/>
              <w:ind w:firstLineChars="200" w:firstLine="480"/>
              <w:rPr>
                <w:rFonts w:hint="eastAsia"/>
                <w:color w:val="auto"/>
                <w:sz w:val="24"/>
                <w:highlight w:val="none"/>
              </w:rPr>
            </w:pPr>
            <w:r>
              <w:rPr>
                <w:rFonts w:hint="eastAsia"/>
                <w:color w:val="auto"/>
                <w:sz w:val="24"/>
                <w:lang w:eastAsia="zh-CN"/>
                <w:highlight w:val="none"/>
              </w:rPr>
              <w:t>②</w:t>
            </w:r>
            <w:r>
              <w:rPr>
                <w:rFonts w:hint="eastAsia"/>
                <w:color w:val="auto"/>
                <w:sz w:val="24"/>
                <w:highlight w:val="none"/>
              </w:rPr>
              <w:t>职工生活垃圾</w:t>
            </w:r>
          </w:p>
          <w:p>
            <w:pPr>
              <w:keepNext w:val="0"/>
              <w:keepLines/>
              <w:pageBreakBefore w:val="0"/>
              <w:kinsoku/>
              <w:wordWrap/>
              <w:overflowPunct/>
              <w:topLinePunct w:val="0"/>
              <w:autoSpaceDE/>
              <w:autoSpaceDN/>
              <w:bidi w:val="0"/>
              <w:adjustRightInd w:val="0"/>
              <w:snapToGrid w:val="0"/>
              <w:spacing w:line="460" w:lineRule="exact"/>
              <w:ind w:firstLineChars="200" w:firstLine="480"/>
              <w:rPr>
                <w:color w:val="auto"/>
                <w:sz w:val="24"/>
                <w:highlight w:val="none"/>
              </w:rPr>
            </w:pPr>
            <w:r>
              <w:rPr>
                <w:color w:val="auto"/>
                <w:sz w:val="24"/>
                <w:highlight w:val="none"/>
              </w:rPr>
              <w:t>生活垃圾产生量按0.5kg/人</w:t>
            </w:r>
            <w:r>
              <w:rPr>
                <w:rFonts w:ascii="微软雅黑" w:eastAsia="微软雅黑" w:cs="微软雅黑" w:hAnsi="微软雅黑" w:hint="eastAsia"/>
                <w:color w:val="auto"/>
                <w:sz w:val="24"/>
                <w:lang w:val="zh-CN"/>
                <w:highlight w:val="none"/>
              </w:rPr>
              <w:t>∙</w:t>
            </w:r>
            <w:r>
              <w:rPr>
                <w:color w:val="auto"/>
                <w:sz w:val="24"/>
                <w:highlight w:val="none"/>
              </w:rPr>
              <w:t>d计，项目劳动定员</w:t>
            </w:r>
            <w:r>
              <w:rPr>
                <w:rFonts w:hint="eastAsia"/>
                <w:color w:val="auto"/>
                <w:sz w:val="24"/>
                <w:lang w:val="en-US" w:eastAsia="zh-CN"/>
                <w:highlight w:val="none"/>
              </w:rPr>
              <w:t>6</w:t>
            </w:r>
            <w:r>
              <w:rPr>
                <w:color w:val="auto"/>
                <w:sz w:val="24"/>
                <w:highlight w:val="none"/>
              </w:rPr>
              <w:t>人，则生活垃圾产生量为</w:t>
            </w:r>
            <w:r>
              <w:rPr>
                <w:rFonts w:hint="eastAsia"/>
                <w:color w:val="auto"/>
                <w:sz w:val="24"/>
                <w:lang w:val="en-US" w:eastAsia="zh-CN"/>
                <w:highlight w:val="none"/>
              </w:rPr>
              <w:t>0.9</w:t>
            </w:r>
            <w:r>
              <w:rPr>
                <w:color w:val="auto"/>
                <w:sz w:val="24"/>
                <w:highlight w:val="none"/>
              </w:rPr>
              <w:t>t/a，收集后由环卫部门统一处置</w:t>
            </w:r>
            <w:r>
              <w:rPr>
                <w:rFonts w:hint="eastAsia"/>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cs="Times New Roman" w:hAnsi="Times New Roman" w:hint="eastAsia"/>
                <w:color w:val="auto"/>
                <w:sz w:val="24"/>
                <w:highlight w:val="none"/>
              </w:rPr>
            </w:pPr>
            <w:r>
              <w:rPr>
                <w:rFonts w:hint="eastAsia"/>
                <w:color w:val="auto"/>
                <w:sz w:val="24"/>
                <w:highlight w:val="none"/>
              </w:rPr>
              <w:t>综上，从项目采用的固废利用及处置方式来分析，对产生的各类固废按其性质分类分区收集，均能得到有效利用</w:t>
            </w:r>
            <w:r>
              <w:rPr>
                <w:rFonts w:ascii="Times New Roman" w:cs="Times New Roman" w:hAnsi="Times New Roman" w:hint="eastAsia"/>
                <w:color w:val="auto"/>
                <w:sz w:val="24"/>
                <w:highlight w:val="none"/>
              </w:rPr>
              <w:t>或妥善处置。</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center"/>
              <w:rPr>
                <w:rFonts w:ascii="Times New Roman" w:eastAsia="宋体" w:cs="Times New Roman" w:hAnsi="Times New Roman" w:hint="eastAsia"/>
                <w:color w:val="auto"/>
                <w:sz w:val="24"/>
                <w:lang w:val="en-US" w:eastAsia="zh-CN"/>
                <w:highlight w:val="none"/>
              </w:rPr>
            </w:pPr>
            <w:r>
              <w:rPr>
                <w:rFonts w:ascii="Times New Roman" w:eastAsia="宋体" w:cs="Times New Roman" w:hAnsi="Times New Roman" w:hint="eastAsia"/>
                <w:color w:val="auto"/>
                <w:sz w:val="24"/>
                <w:lang w:val="en-US" w:eastAsia="zh-CN"/>
                <w:highlight w:val="none"/>
              </w:rPr>
              <w:t>根据《建设项目危险废物环境影响评价指南》（环保部公告2017年第43号），危险废物贮存情况见下：</w:t>
            </w:r>
          </w:p>
          <w:p>
            <w:pPr>
              <w:jc w:val="center"/>
              <w:rPr>
                <w:rFonts w:ascii="Times New Roman" w:eastAsia="宋体" w:cs="Times New Roman" w:hAnsi="Times New Roman" w:hint="eastAsia"/>
                <w:b/>
                <w:bCs/>
                <w:snapToGrid w:val="0"/>
                <w:color w:val="auto"/>
                <w:kern w:val="0"/>
                <w:sz w:val="24"/>
                <w:lang w:val="en-US" w:eastAsia="zh-CN"/>
                <w:highlight w:val="none"/>
              </w:rPr>
            </w:pPr>
            <w:r>
              <w:rPr>
                <w:rFonts w:ascii="Times New Roman" w:eastAsia="宋体" w:cs="Times New Roman" w:hAnsi="Times New Roman" w:hint="eastAsia"/>
                <w:b/>
                <w:bCs/>
                <w:snapToGrid w:val="0"/>
                <w:color w:val="auto"/>
                <w:kern w:val="0"/>
                <w:sz w:val="24"/>
                <w:lang w:val="en-US" w:eastAsia="zh-CN"/>
                <w:highlight w:val="none"/>
              </w:rPr>
              <w:t>表4-</w:t>
            </w:r>
            <w:r>
              <w:rPr>
                <w:rFonts w:cs="Times New Roman" w:hint="eastAsia"/>
                <w:b/>
                <w:bCs/>
                <w:snapToGrid w:val="0"/>
                <w:color w:val="auto"/>
                <w:kern w:val="0"/>
                <w:sz w:val="24"/>
                <w:lang w:val="en-US" w:eastAsia="zh-CN"/>
                <w:highlight w:val="none"/>
              </w:rPr>
              <w:t>8</w:t>
            </w:r>
            <w:r>
              <w:rPr>
                <w:rFonts w:ascii="Times New Roman" w:eastAsia="宋体" w:cs="Times New Roman" w:hAnsi="Times New Roman" w:hint="eastAsia"/>
                <w:b/>
                <w:bCs/>
                <w:snapToGrid w:val="0"/>
                <w:color w:val="auto"/>
                <w:kern w:val="0"/>
                <w:sz w:val="24"/>
                <w:lang w:val="en-US" w:eastAsia="zh-CN"/>
                <w:highlight w:val="none"/>
              </w:rPr>
              <w:t xml:space="preserve">  工程分析中危险废物汇总样表</w:t>
            </w:r>
          </w:p>
          <w:tbl>
            <w:tblPr>
              <w:jc w:val="center"/>
              <w:tblW w:w="4997"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68"/>
              <w:gridCol w:w="1148"/>
              <w:gridCol w:w="878"/>
              <w:gridCol w:w="1010"/>
              <w:gridCol w:w="909"/>
              <w:gridCol w:w="866"/>
              <w:gridCol w:w="819"/>
              <w:gridCol w:w="646"/>
              <w:gridCol w:w="800"/>
              <w:gridCol w:w="660"/>
              <w:gridCol w:w="710"/>
            </w:tblGrid>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序号</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物名称</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物类别</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物代码</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产生量（t/a）</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主要</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成分</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有害</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成分</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产废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周期</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特性</w:t>
                  </w:r>
                </w:p>
              </w:tc>
              <w:tc>
                <w:tcPr>
                  <w:tcW w:w="39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处置方式</w:t>
                  </w: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1</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废电解液</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HW31</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900-052-</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31</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4.5</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液态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，C</w:t>
                  </w:r>
                </w:p>
              </w:tc>
              <w:tc>
                <w:tcPr>
                  <w:tcW w:w="398" w:type="pct"/>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危废暂存间</w:t>
                  </w:r>
                  <w:r>
                    <w:rPr>
                      <w:rFonts w:ascii="Times New Roman" w:eastAsia="宋体" w:cs="Times New Roman" w:hAnsi="Times New Roman" w:hint="eastAsia"/>
                      <w:bCs/>
                      <w:color w:val="auto"/>
                      <w:kern w:val="0"/>
                      <w:sz w:val="21"/>
                      <w:szCs w:val="21"/>
                      <w:lang w:val="en-US" w:eastAsia="zh-CN" w:bidi="ar-SA"/>
                      <w:highlight w:val="none"/>
                    </w:rPr>
                    <w:t>，委托有资质单位处置</w:t>
                  </w: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HW35</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900-399-</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35</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7</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液态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氢氧</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化钠</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1次/年</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，C</w:t>
                  </w:r>
                </w:p>
              </w:tc>
              <w:tc>
                <w:tcPr>
                  <w:tcW w:w="398" w:type="pct"/>
                  <w:vMerge/>
                  <w:tcBorders>
                    <w:tl2br w:val="nil"/>
                    <w:tr2bl w:val="nil"/>
                  </w:tcBorders>
                  <w:tcMar>
                    <w:left w:w="6" w:type="dxa"/>
                    <w:right w:w="6" w:type="dxa"/>
                  </w:tcMar>
                  <w:vAlign w:val="center"/>
                </w:tcP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3</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废防护用具</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49</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45</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固态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，In</w:t>
                  </w:r>
                </w:p>
              </w:tc>
              <w:tc>
                <w:tcPr>
                  <w:tcW w:w="398" w:type="pct"/>
                  <w:vMerge/>
                  <w:tcBorders>
                    <w:tl2br w:val="nil"/>
                    <w:tr2bl w:val="nil"/>
                  </w:tcBorders>
                  <w:tcMar>
                    <w:left w:w="6" w:type="dxa"/>
                    <w:right w:w="6" w:type="dxa"/>
                  </w:tcMar>
                  <w:vAlign w:val="center"/>
                </w:tcPr>
                <w:p/>
              </w:tc>
            </w:tr>
            <w:tr>
              <w:trPr>
                <w:trHeight w:val="340"/>
              </w:trPr>
              <w:tc>
                <w:tcPr>
                  <w:tcW w:w="2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4</w:t>
                  </w:r>
                </w:p>
              </w:tc>
              <w:tc>
                <w:tcPr>
                  <w:tcW w:w="643"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废抹布</w:t>
                  </w:r>
                </w:p>
              </w:tc>
              <w:tc>
                <w:tcPr>
                  <w:tcW w:w="49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566"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49</w:t>
                  </w:r>
                </w:p>
              </w:tc>
              <w:tc>
                <w:tcPr>
                  <w:tcW w:w="50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0.0</w:t>
                  </w:r>
                  <w:r>
                    <w:rPr>
                      <w:rFonts w:cs="Times New Roman" w:hint="eastAsia"/>
                      <w:bCs/>
                      <w:color w:val="auto"/>
                      <w:kern w:val="0"/>
                      <w:sz w:val="21"/>
                      <w:szCs w:val="21"/>
                      <w:lang w:val="en-US" w:eastAsia="zh-CN" w:bidi="ar-SA"/>
                      <w:highlight w:val="none"/>
                    </w:rPr>
                    <w:t>1</w:t>
                  </w:r>
                </w:p>
              </w:tc>
              <w:tc>
                <w:tcPr>
                  <w:tcW w:w="485"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固态</w:t>
                  </w:r>
                </w:p>
              </w:tc>
              <w:tc>
                <w:tcPr>
                  <w:tcW w:w="459"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362"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硫酸</w:t>
                  </w:r>
                </w:p>
              </w:tc>
              <w:tc>
                <w:tcPr>
                  <w:tcW w:w="448"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c>
                <w:tcPr>
                  <w:tcW w:w="370" w:type="pc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T ，In</w:t>
                  </w:r>
                </w:p>
              </w:tc>
              <w:tc>
                <w:tcPr>
                  <w:tcW w:w="398" w:type="pct"/>
                  <w:vMerge/>
                  <w:tcBorders>
                    <w:tl2br w:val="nil"/>
                    <w:tr2bl w:val="nil"/>
                  </w:tcBorders>
                  <w:tcMar>
                    <w:left w:w="6" w:type="dxa"/>
                    <w:right w:w="6" w:type="dxa"/>
                  </w:tcMar>
                  <w:vAlign w:val="center"/>
                </w:tcPr>
                <w:p/>
              </w:tc>
            </w:tr>
          </w:tbl>
          <w:p>
            <w:pPr>
              <w:jc w:val="center"/>
              <w:rPr>
                <w:rFonts w:hint="eastAsia"/>
                <w:b/>
                <w:bCs/>
                <w:snapToGrid w:val="0"/>
                <w:color w:val="auto"/>
                <w:kern w:val="0"/>
                <w:sz w:val="24"/>
                <w:highlight w:val="none"/>
              </w:rPr>
            </w:pPr>
          </w:p>
          <w:p>
            <w:pPr>
              <w:jc w:val="center"/>
              <w:rPr>
                <w:rFonts w:hint="eastAsia"/>
                <w:b/>
                <w:bCs/>
                <w:snapToGrid w:val="0"/>
                <w:color w:val="auto"/>
                <w:kern w:val="0"/>
                <w:sz w:val="24"/>
                <w:highlight w:val="none"/>
              </w:rPr>
            </w:pPr>
            <w:r>
              <w:rPr>
                <w:rFonts w:hint="eastAsia"/>
                <w:b/>
                <w:bCs/>
                <w:snapToGrid w:val="0"/>
                <w:color w:val="auto"/>
                <w:kern w:val="0"/>
                <w:sz w:val="24"/>
                <w:highlight w:val="none"/>
              </w:rPr>
              <w:t>表4-</w:t>
            </w:r>
            <w:r>
              <w:rPr>
                <w:rFonts w:hint="eastAsia"/>
                <w:b/>
                <w:bCs/>
                <w:snapToGrid w:val="0"/>
                <w:color w:val="auto"/>
                <w:kern w:val="0"/>
                <w:sz w:val="24"/>
                <w:lang w:val="en-US" w:eastAsia="zh-CN"/>
                <w:highlight w:val="none"/>
              </w:rPr>
              <w:t>9</w:t>
            </w:r>
            <w:r>
              <w:rPr>
                <w:rFonts w:hint="eastAsia"/>
                <w:b/>
                <w:bCs/>
                <w:snapToGrid w:val="0"/>
                <w:color w:val="auto"/>
                <w:kern w:val="0"/>
                <w:sz w:val="24"/>
                <w:highlight w:val="none"/>
              </w:rPr>
              <w:t xml:space="preserve">  建设项目危险废物贮存场所（设施）基本情况样表 </w:t>
            </w:r>
          </w:p>
          <w:tbl>
            <w:tblPr>
              <w:jc w:val="center"/>
              <w:tblW w:w="4988"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81"/>
              <w:gridCol w:w="857"/>
              <w:gridCol w:w="1183"/>
              <w:gridCol w:w="816"/>
              <w:gridCol w:w="1200"/>
              <w:gridCol w:w="852"/>
              <w:gridCol w:w="840"/>
              <w:gridCol w:w="1284"/>
              <w:gridCol w:w="732"/>
              <w:gridCol w:w="870"/>
            </w:tblGrid>
            <w:tr>
              <w:trPr>
                <w:trHeight w:val="340"/>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序号</w:t>
                  </w:r>
                </w:p>
              </w:tc>
              <w:tc>
                <w:tcPr>
                  <w:tcW w:w="857"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场所</w:t>
                  </w: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危险废物名称</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物类别</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危险废物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代码</w:t>
                  </w:r>
                </w:p>
              </w:tc>
              <w:tc>
                <w:tcPr>
                  <w:tcW w:w="85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位置</w:t>
                  </w:r>
                </w:p>
              </w:tc>
              <w:tc>
                <w:tcPr>
                  <w:tcW w:w="84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占地面积</w:t>
                  </w:r>
                </w:p>
              </w:tc>
              <w:tc>
                <w:tcPr>
                  <w:tcW w:w="1284"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贮存方式</w:t>
                  </w: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能力</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贮存周期</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w:t>
                  </w:r>
                </w:p>
              </w:tc>
              <w:tc>
                <w:tcPr>
                  <w:tcW w:w="857"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cs="Times New Roman" w:hint="eastAsia"/>
                      <w:bCs/>
                      <w:color w:val="auto"/>
                      <w:kern w:val="0"/>
                      <w:sz w:val="21"/>
                      <w:szCs w:val="21"/>
                      <w:lang w:val="zh-CN" w:eastAsia="zh-CN" w:bidi="ar-SA"/>
                      <w:highlight w:val="none"/>
                    </w:rPr>
                    <w:t>危废间</w:t>
                  </w: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废电解液</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HW31</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900-052-31</w:t>
                  </w:r>
                </w:p>
              </w:tc>
              <w:tc>
                <w:tcPr>
                  <w:tcW w:w="852"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库房内东</w:t>
                  </w:r>
                  <w:r>
                    <w:rPr>
                      <w:rFonts w:cs="Times New Roman" w:hint="eastAsia"/>
                      <w:bCs/>
                      <w:color w:val="auto"/>
                      <w:kern w:val="0"/>
                      <w:sz w:val="21"/>
                      <w:szCs w:val="21"/>
                      <w:lang w:val="zh-CN" w:eastAsia="zh-CN" w:bidi="ar-SA"/>
                      <w:highlight w:val="none"/>
                    </w:rPr>
                    <w:t>北</w:t>
                  </w:r>
                  <w:r>
                    <w:rPr>
                      <w:rFonts w:ascii="Times New Roman" w:eastAsia="宋体" w:cs="Times New Roman" w:hAnsi="Times New Roman" w:hint="eastAsia"/>
                      <w:bCs/>
                      <w:color w:val="auto"/>
                      <w:kern w:val="0"/>
                      <w:sz w:val="21"/>
                      <w:szCs w:val="21"/>
                      <w:lang w:val="zh-CN" w:eastAsia="zh-CN" w:bidi="ar-SA"/>
                      <w:highlight w:val="none"/>
                    </w:rPr>
                    <w:t>侧</w:t>
                  </w:r>
                </w:p>
              </w:tc>
              <w:tc>
                <w:tcPr>
                  <w:tcW w:w="840"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cs="Times New Roman" w:hint="eastAsia"/>
                      <w:bCs/>
                      <w:color w:val="auto"/>
                      <w:kern w:val="0"/>
                      <w:sz w:val="21"/>
                      <w:szCs w:val="21"/>
                      <w:lang w:val="en-US" w:eastAsia="zh-CN" w:bidi="ar-SA"/>
                      <w:highlight w:val="none"/>
                    </w:rPr>
                    <w:t>14</w:t>
                  </w:r>
                  <w:r>
                    <w:rPr>
                      <w:rFonts w:ascii="Times New Roman" w:eastAsia="宋体" w:cs="Times New Roman" w:hAnsi="Times New Roman" w:hint="eastAsia"/>
                      <w:bCs/>
                      <w:color w:val="auto"/>
                      <w:kern w:val="0"/>
                      <w:sz w:val="21"/>
                      <w:szCs w:val="21"/>
                      <w:lang w:val="zh-CN" w:eastAsia="zh-CN" w:bidi="ar-SA"/>
                      <w:highlight w:val="none"/>
                    </w:rPr>
                    <w:t>m</w:t>
                  </w:r>
                  <w:r>
                    <w:rPr>
                      <w:rFonts w:ascii="Times New Roman" w:eastAsia="宋体" w:cs="Times New Roman" w:hAnsi="Times New Roman" w:hint="eastAsia"/>
                      <w:bCs/>
                      <w:color w:val="auto"/>
                      <w:kern w:val="0"/>
                      <w:sz w:val="21"/>
                      <w:szCs w:val="21"/>
                      <w:vertAlign w:val="superscript"/>
                      <w:lang w:val="zh-CN" w:eastAsia="zh-CN" w:bidi="ar-SA"/>
                      <w:highlight w:val="none"/>
                    </w:rPr>
                    <w:t>2</w:t>
                  </w:r>
                </w:p>
              </w:tc>
              <w:tc>
                <w:tcPr>
                  <w:tcW w:w="1284" w:type="dxa"/>
                  <w:vMerge w:val="restart"/>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分类密封</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包装、分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区暂存，</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暂存于密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闭桶内，</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桶下放置托盘</w:t>
                  </w: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4.5</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en-US" w:eastAsia="zh-CN" w:bidi="ar-SA"/>
                      <w:highlight w:val="none"/>
                    </w:rPr>
                    <w:t>5天</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2</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废碱液</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HW35</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900-399-35</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7</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1次/年</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3</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废防护用具</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900-041-49</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w:t>
                  </w:r>
                  <w:r>
                    <w:rPr>
                      <w:rFonts w:cs="Times New Roman" w:hint="eastAsia"/>
                      <w:bCs/>
                      <w:color w:val="auto"/>
                      <w:kern w:val="0"/>
                      <w:sz w:val="21"/>
                      <w:szCs w:val="21"/>
                      <w:lang w:val="en-US" w:eastAsia="zh-CN" w:bidi="ar-SA"/>
                      <w:highlight w:val="none"/>
                    </w:rPr>
                    <w:t>4</w:t>
                  </w:r>
                  <w:r>
                    <w:rPr>
                      <w:rFonts w:ascii="Times New Roman" w:eastAsia="宋体" w:cs="Times New Roman" w:hAnsi="Times New Roman" w:hint="eastAsia"/>
                      <w:bCs/>
                      <w:color w:val="auto"/>
                      <w:kern w:val="0"/>
                      <w:sz w:val="21"/>
                      <w:szCs w:val="21"/>
                      <w:lang w:val="zh-CN" w:eastAsia="zh-CN" w:bidi="ar-SA"/>
                      <w:highlight w:val="none"/>
                    </w:rPr>
                    <w:t>5</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zh-CN" w:eastAsia="zh-CN" w:bidi="ar-SA"/>
                      <w:highlight w:val="none"/>
                    </w:rPr>
                    <w:t>半年</w:t>
                  </w:r>
                </w:p>
              </w:tc>
            </w:tr>
            <w:tr>
              <w:trPr>
                <w:trHeight w:val="406"/>
              </w:trPr>
              <w:tc>
                <w:tcPr>
                  <w:tcW w:w="281"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bidi="ar-SA"/>
                      <w:highlight w:val="none"/>
                    </w:rPr>
                    <w:t>4</w:t>
                  </w:r>
                </w:p>
              </w:tc>
              <w:tc>
                <w:tcPr>
                  <w:tcW w:w="857" w:type="dxa"/>
                  <w:vMerge/>
                  <w:tcBorders>
                    <w:tl2br w:val="nil"/>
                    <w:tr2bl w:val="nil"/>
                  </w:tcBorders>
                  <w:tcMar>
                    <w:left w:w="6" w:type="dxa"/>
                    <w:right w:w="6" w:type="dxa"/>
                  </w:tcMar>
                  <w:vAlign w:val="center"/>
                </w:tcPr>
                <w:p/>
              </w:tc>
              <w:tc>
                <w:tcPr>
                  <w:tcW w:w="1183"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废抹布</w:t>
                  </w:r>
                </w:p>
              </w:tc>
              <w:tc>
                <w:tcPr>
                  <w:tcW w:w="816"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HW49</w:t>
                  </w:r>
                </w:p>
              </w:tc>
              <w:tc>
                <w:tcPr>
                  <w:tcW w:w="120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900-041-49</w:t>
                  </w:r>
                </w:p>
              </w:tc>
              <w:tc>
                <w:tcPr>
                  <w:tcW w:w="852" w:type="dxa"/>
                  <w:vMerge/>
                  <w:tcBorders>
                    <w:tl2br w:val="nil"/>
                    <w:tr2bl w:val="nil"/>
                  </w:tcBorders>
                  <w:tcMar>
                    <w:left w:w="6" w:type="dxa"/>
                    <w:right w:w="6" w:type="dxa"/>
                  </w:tcMar>
                  <w:vAlign w:val="center"/>
                </w:tcPr>
                <w:p/>
              </w:tc>
              <w:tc>
                <w:tcPr>
                  <w:tcW w:w="840" w:type="dxa"/>
                  <w:vMerge/>
                  <w:tcBorders>
                    <w:tl2br w:val="nil"/>
                    <w:tr2bl w:val="nil"/>
                  </w:tcBorders>
                  <w:tcMar>
                    <w:left w:w="6" w:type="dxa"/>
                    <w:right w:w="6" w:type="dxa"/>
                  </w:tcMar>
                  <w:vAlign w:val="center"/>
                </w:tcPr>
                <w:p/>
              </w:tc>
              <w:tc>
                <w:tcPr>
                  <w:tcW w:w="1284" w:type="dxa"/>
                  <w:vMerge/>
                  <w:tcBorders>
                    <w:tl2br w:val="nil"/>
                    <w:tr2bl w:val="nil"/>
                  </w:tcBorders>
                  <w:tcMar>
                    <w:left w:w="6" w:type="dxa"/>
                    <w:right w:w="6" w:type="dxa"/>
                  </w:tcMar>
                  <w:vAlign w:val="center"/>
                </w:tcPr>
                <w:p/>
              </w:tc>
              <w:tc>
                <w:tcPr>
                  <w:tcW w:w="732"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0.0</w:t>
                  </w:r>
                  <w:r>
                    <w:rPr>
                      <w:rFonts w:cs="Times New Roman" w:hint="eastAsia"/>
                      <w:bCs/>
                      <w:color w:val="auto"/>
                      <w:kern w:val="0"/>
                      <w:sz w:val="21"/>
                      <w:szCs w:val="21"/>
                      <w:lang w:val="en-US" w:eastAsia="zh-CN" w:bidi="ar-SA"/>
                      <w:highlight w:val="none"/>
                    </w:rPr>
                    <w:t>1</w:t>
                  </w:r>
                </w:p>
              </w:tc>
              <w:tc>
                <w:tcPr>
                  <w:tcW w:w="870" w:type="dxa"/>
                  <w:tcBorders>
                    <w:tl2br w:val="nil"/>
                    <w:tr2bl w:val="nil"/>
                  </w:tcBorders>
                  <w:tcMar>
                    <w:left w:w="6" w:type="dxa"/>
                    <w:right w:w="6"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eastAsia="宋体" w:cs="Times New Roman" w:hAnsi="Times New Roman" w:hint="eastAsia"/>
                      <w:bCs/>
                      <w:color w:val="auto"/>
                      <w:kern w:val="0"/>
                      <w:sz w:val="21"/>
                      <w:szCs w:val="21"/>
                      <w:lang w:val="zh-CN" w:eastAsia="zh-CN" w:bidi="ar-SA"/>
                      <w:highlight w:val="none"/>
                    </w:rPr>
                  </w:pPr>
                  <w:r>
                    <w:rPr>
                      <w:rFonts w:ascii="Times New Roman" w:eastAsia="宋体" w:cs="Times New Roman" w:hAnsi="Times New Roman" w:hint="eastAsia"/>
                      <w:bCs/>
                      <w:color w:val="auto"/>
                      <w:kern w:val="0"/>
                      <w:sz w:val="21"/>
                      <w:szCs w:val="21"/>
                      <w:lang w:val="zh-CN" w:eastAsia="zh-CN" w:bidi="ar-SA"/>
                      <w:highlight w:val="none"/>
                    </w:rPr>
                    <w:t>1次/</w:t>
                  </w:r>
                  <w:r>
                    <w:rPr>
                      <w:rFonts w:cs="Times New Roman" w:hint="eastAsia"/>
                      <w:bCs/>
                      <w:color w:val="auto"/>
                      <w:kern w:val="0"/>
                      <w:sz w:val="21"/>
                      <w:szCs w:val="21"/>
                      <w:lang w:val="zh-CN" w:eastAsia="zh-CN" w:bidi="ar-SA"/>
                      <w:highlight w:val="none"/>
                    </w:rPr>
                    <w:t>半年</w:t>
                  </w:r>
                </w:p>
              </w:tc>
            </w:tr>
          </w:tbl>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hint="eastAsia"/>
                <w:color w:val="auto"/>
                <w:sz w:val="24"/>
                <w:highlight w:val="none"/>
              </w:rPr>
            </w:pPr>
            <w:r>
              <w:rPr>
                <w:rFonts w:hint="eastAsia"/>
                <w:color w:val="auto"/>
                <w:sz w:val="24"/>
                <w:highlight w:val="none"/>
              </w:rPr>
              <w:t>综上，从项目采用的固废利用及处置方式来分析，对产生的各类固废按其性质分类分区收集和暂存，并均能得到有效利用或妥善处置。</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auto"/>
                <w:sz w:val="24"/>
                <w:highlight w:val="none"/>
              </w:rPr>
            </w:pPr>
            <w:r>
              <w:rPr>
                <w:rFonts w:hint="eastAsia"/>
                <w:color w:val="auto"/>
                <w:sz w:val="24"/>
                <w:highlight w:val="none"/>
              </w:rPr>
              <w:t>（2）</w:t>
            </w:r>
            <w:r>
              <w:rPr>
                <w:rFonts w:ascii="Times New Roman" w:eastAsia="宋体" w:cs="Times New Roman" w:hAnsi="Times New Roman" w:hint="eastAsia"/>
                <w:color w:val="auto"/>
                <w:spacing w:val="-1"/>
                <w:kern w:val="2"/>
                <w:sz w:val="24"/>
                <w:szCs w:val="24"/>
                <w:lang w:val="en-US" w:eastAsia="zh-CN" w:bidi="ar-SA"/>
                <w:highlight w:val="none"/>
              </w:rPr>
              <w:t>危险废物贮存场所要求</w:t>
            </w:r>
            <w:r>
              <w:rPr>
                <w:rFonts w:hint="eastAsia"/>
                <w:color w:val="auto"/>
                <w:sz w:val="24"/>
                <w:highlight w:val="none"/>
              </w:rPr>
              <w:t xml:space="preserve"> </w:t>
            </w:r>
          </w:p>
          <w:p>
            <w:pPr>
              <w:pStyle w:val="33"/>
              <w:rPr>
                <w:rFonts w:ascii="Times New Roman" w:eastAsia="宋体" w:cs="Times New Roman" w:hAnsi="Times New Roman" w:hint="eastAsia"/>
                <w:color w:val="auto"/>
                <w:spacing w:val="-1"/>
                <w:kern w:val="2"/>
                <w:sz w:val="24"/>
                <w:szCs w:val="24"/>
                <w:lang w:val="en-US" w:eastAsia="zh-CN" w:bidi="ar-SA"/>
                <w:highlight w:val="none"/>
              </w:rPr>
            </w:pP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、废电解液导流槽和收集池、危废间等采</w:t>
            </w:r>
            <w:r>
              <w:rPr>
                <w:rFonts w:ascii="Times New Roman" w:eastAsia="宋体" w:cs="Times New Roman" w:hAnsi="Times New Roman" w:hint="eastAsia"/>
                <w:color w:val="auto"/>
                <w:spacing w:val="-1"/>
                <w:kern w:val="2"/>
                <w:sz w:val="24"/>
                <w:szCs w:val="24"/>
                <w:lang w:val="en-US" w:eastAsia="zh-CN" w:bidi="ar-SA"/>
                <w:highlight w:val="none"/>
              </w:rPr>
              <w:t>用环氧树脂防腐，</w:t>
            </w:r>
            <w:r>
              <w:rPr>
                <w:rFonts w:cs="Times New Roman" w:hint="eastAsia"/>
                <w:color w:val="auto"/>
                <w:spacing w:val="-1"/>
                <w:kern w:val="2"/>
                <w:sz w:val="24"/>
                <w:szCs w:val="24"/>
                <w:lang w:val="en-US" w:eastAsia="zh-CN" w:bidi="ar-SA"/>
                <w:highlight w:val="none"/>
              </w:rPr>
              <w:t>废液</w:t>
            </w:r>
            <w:r>
              <w:rPr>
                <w:rFonts w:ascii="Times New Roman" w:eastAsia="宋体" w:cs="Times New Roman" w:hAnsi="Times New Roman" w:hint="eastAsia"/>
                <w:color w:val="auto"/>
                <w:spacing w:val="-1"/>
                <w:kern w:val="2"/>
                <w:sz w:val="24"/>
                <w:szCs w:val="24"/>
                <w:lang w:val="en-US" w:eastAsia="zh-CN" w:bidi="ar-SA"/>
                <w:highlight w:val="none"/>
              </w:rPr>
              <w:t>收集后集中处理。要求企业后续建设过程中按照 《危险废物贮存污染控制标准》（GB18597-2023）相关要求进行设计、建设密闭式危废堆场，做到防渗、防风、防雨、防晒要求。</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本项目喷淋废液等液态危险废物产生后须立即采用包装容器盛装，另外本项目废铅蓄电池泄露</w:t>
            </w:r>
            <w:r>
              <w:rPr>
                <w:rFonts w:cs="Times New Roman" w:hint="eastAsia"/>
                <w:color w:val="auto"/>
                <w:spacing w:val="-1"/>
                <w:kern w:val="2"/>
                <w:sz w:val="24"/>
                <w:szCs w:val="24"/>
                <w:lang w:val="en-US" w:eastAsia="zh-CN" w:bidi="ar-SA"/>
                <w:highlight w:val="none"/>
              </w:rPr>
              <w:t>的废电解液</w:t>
            </w:r>
            <w:r>
              <w:rPr>
                <w:rFonts w:ascii="Times New Roman" w:eastAsia="宋体" w:cs="Times New Roman" w:hAnsi="Times New Roman"/>
                <w:color w:val="auto"/>
                <w:spacing w:val="-1"/>
                <w:kern w:val="2"/>
                <w:sz w:val="24"/>
                <w:szCs w:val="24"/>
                <w:lang w:val="en-US" w:eastAsia="zh-CN" w:bidi="ar-SA"/>
                <w:highlight w:val="none"/>
              </w:rPr>
              <w:t>应采用包装容器密封转运、贮存，以避免废气挥发造成大气环境污染。各包装容器必须完好无损，且材质和衬里要与危险废物相容（不相互反应）；包装容器必须及时贴上危险废物标签，必须包含以下说明（危险废物产生单位名称、联系人、联系电话、主要化学成分、危险类别、安全措施、入库时间等）。废铅酸蓄电池运输、储存过程还应符合《废铅蓄电池处理污染控制技术规范》（HJ519-2020）中的相应标准。</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①暂存：若产生的危险废物不能立即运往处置，则必须暂存于厂区内专用危险废物贮存设施内。本项目各危废产生点至破损电池间之间的转运均在厂区内完成，转运路线上不涉及环境敏感点。贮存</w:t>
            </w:r>
            <w:r>
              <w:rPr>
                <w:rFonts w:cs="Times New Roman" w:hint="eastAsia"/>
                <w:color w:val="auto"/>
                <w:spacing w:val="-1"/>
                <w:kern w:val="2"/>
                <w:sz w:val="24"/>
                <w:szCs w:val="24"/>
                <w:lang w:val="en-US" w:eastAsia="zh-CN" w:bidi="ar-SA"/>
                <w:highlight w:val="none"/>
              </w:rPr>
              <w:t>区</w:t>
            </w:r>
            <w:r>
              <w:rPr>
                <w:rFonts w:ascii="Times New Roman" w:eastAsia="宋体" w:cs="Times New Roman" w:hAnsi="Times New Roman"/>
                <w:color w:val="auto"/>
                <w:spacing w:val="-1"/>
                <w:kern w:val="2"/>
                <w:sz w:val="24"/>
                <w:szCs w:val="24"/>
                <w:lang w:val="en-US" w:eastAsia="zh-CN" w:bidi="ar-SA"/>
                <w:highlight w:val="none"/>
              </w:rPr>
              <w:t>地面四周设有防溢漏的裙脚，同时建有</w:t>
            </w:r>
            <w:r>
              <w:rPr>
                <w:rFonts w:cs="Times New Roman" w:hint="eastAsia"/>
                <w:color w:val="auto"/>
                <w:spacing w:val="-1"/>
                <w:kern w:val="2"/>
                <w:sz w:val="24"/>
                <w:szCs w:val="24"/>
                <w:lang w:val="en-US" w:eastAsia="zh-CN" w:bidi="ar-SA"/>
                <w:highlight w:val="none"/>
              </w:rPr>
              <w:t>废电解液导流槽和收集池</w:t>
            </w:r>
            <w:r>
              <w:rPr>
                <w:rFonts w:ascii="Times New Roman" w:eastAsia="宋体" w:cs="Times New Roman" w:hAnsi="Times New Roman"/>
                <w:color w:val="auto"/>
                <w:spacing w:val="-1"/>
                <w:kern w:val="2"/>
                <w:sz w:val="24"/>
                <w:szCs w:val="24"/>
                <w:lang w:val="en-US" w:eastAsia="zh-CN" w:bidi="ar-SA"/>
                <w:highlight w:val="none"/>
              </w:rPr>
              <w:t>。贮存设施内应留有足够工作人员和搬运工具的通行过道。贮存设施只可供危险废物存放，不可混入一般非危险固废。化学性质不相容的危险废物必须分隔堆放，其间隔须为完整的不渗透墙体。危险废物分类堆放区域的醒目位置须设置该类废物的标志牌，含危险废物名称、危废代码等信息。危险废物厂区内暂存时应加强管理，按照《危险废物贮存污染控制标准》（GB18597-2023）、《危险废物收集 贮存 运输技术规范》（HJ 2025-2012）进行控制，日常管理中要履行申报的登记制度、建立台帐制度。</w:t>
            </w:r>
          </w:p>
          <w:p>
            <w:pPr>
              <w:pStyle w:val="33"/>
              <w:rPr>
                <w:rFonts w:ascii="Times New Roman" w:eastAsia="宋体" w:cs="Times New Roman" w:hAnsi="Times New Roman" w:hint="eastAsia"/>
                <w:color w:val="auto"/>
                <w:spacing w:val="-1"/>
                <w:kern w:val="2"/>
                <w:sz w:val="24"/>
                <w:szCs w:val="24"/>
                <w:lang w:val="en-US" w:eastAsia="zh-CN" w:bidi="ar-SA"/>
                <w:highlight w:val="none"/>
              </w:rPr>
            </w:pPr>
            <w:r>
              <w:rPr>
                <w:rFonts w:cs="Times New Roman" w:hint="eastAsia"/>
                <w:color w:val="auto"/>
                <w:spacing w:val="-1"/>
                <w:kern w:val="2"/>
                <w:sz w:val="24"/>
                <w:szCs w:val="24"/>
                <w:lang w:val="en-US" w:eastAsia="zh-CN" w:bidi="ar-SA"/>
                <w:highlight w:val="none"/>
              </w:rPr>
              <w:t>②</w:t>
            </w:r>
            <w:r>
              <w:rPr>
                <w:rFonts w:ascii="Times New Roman" w:eastAsia="宋体" w:cs="Times New Roman" w:hAnsi="Times New Roman" w:hint="eastAsia"/>
                <w:color w:val="auto"/>
                <w:spacing w:val="-1"/>
                <w:kern w:val="2"/>
                <w:sz w:val="24"/>
                <w:szCs w:val="24"/>
                <w:lang w:val="en-US" w:eastAsia="zh-CN" w:bidi="ar-SA"/>
                <w:highlight w:val="none"/>
              </w:rPr>
              <w:t>转移、处置：企业须与具有危险废物处理资质的单位签定接收处理协议，各类危险废物须委托有资质单位处置，转移时严格履行国家与地方政府关于危险废物转移的有关规定，并报生态环境主管部门备案，落实追踪制度，严防二次污染，杜绝随意交易和私自随意处置，危废厂外运输企业委托有资质的运输机构负责，采用封闭车辆运输，降低对运输沿线环境影响。</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hint="eastAsia"/>
                <w:color w:val="auto"/>
                <w:spacing w:val="-1"/>
                <w:kern w:val="2"/>
                <w:sz w:val="24"/>
                <w:szCs w:val="24"/>
                <w:lang w:val="en-US" w:eastAsia="zh-CN" w:bidi="ar-SA"/>
                <w:highlight w:val="none"/>
              </w:rPr>
              <w:t>（</w:t>
            </w:r>
            <w:r>
              <w:rPr>
                <w:rFonts w:cs="Times New Roman" w:hint="eastAsia"/>
                <w:color w:val="auto"/>
                <w:spacing w:val="-1"/>
                <w:kern w:val="2"/>
                <w:sz w:val="24"/>
                <w:szCs w:val="24"/>
                <w:lang w:val="en-US" w:eastAsia="zh-CN" w:bidi="ar-SA"/>
                <w:highlight w:val="none"/>
              </w:rPr>
              <w:t>3</w:t>
            </w:r>
            <w:r>
              <w:rPr>
                <w:rFonts w:ascii="Times New Roman" w:eastAsia="宋体" w:cs="Times New Roman" w:hAnsi="Times New Roman"/>
                <w:color w:val="auto"/>
                <w:spacing w:val="-1"/>
                <w:kern w:val="2"/>
                <w:sz w:val="24"/>
                <w:szCs w:val="24"/>
                <w:lang w:val="en-US" w:eastAsia="zh-CN" w:bidi="ar-SA"/>
                <w:highlight w:val="none"/>
              </w:rPr>
              <w:t>）危废间标识要求</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auto"/>
                <w:spacing w:val="-1"/>
                <w:kern w:val="2"/>
                <w:sz w:val="24"/>
                <w:szCs w:val="24"/>
                <w:lang w:val="en-US" w:eastAsia="zh-CN" w:bidi="ar-SA"/>
                <w:highlight w:val="none"/>
              </w:rPr>
            </w:pPr>
            <w:r>
              <w:rPr>
                <w:rFonts w:ascii="Times New Roman" w:eastAsia="宋体" w:cs="Times New Roman" w:hAnsi="Times New Roman"/>
                <w:color w:val="auto"/>
                <w:spacing w:val="-1"/>
                <w:kern w:val="2"/>
                <w:sz w:val="24"/>
                <w:szCs w:val="24"/>
                <w:lang w:val="en-US" w:eastAsia="zh-CN" w:bidi="ar-SA"/>
                <w:highlight w:val="none"/>
              </w:rPr>
              <w:t>项目</w:t>
            </w:r>
            <w:r>
              <w:rPr>
                <w:rFonts w:cs="Times New Roman" w:hint="eastAsia"/>
                <w:color w:val="auto"/>
                <w:spacing w:val="-1"/>
                <w:kern w:val="2"/>
                <w:sz w:val="24"/>
                <w:szCs w:val="24"/>
                <w:lang w:val="en-US" w:eastAsia="zh-CN" w:bidi="ar-SA"/>
                <w:highlight w:val="none"/>
              </w:rPr>
              <w:t>贮存的废铅蓄电池属于</w:t>
            </w:r>
            <w:r>
              <w:rPr>
                <w:rFonts w:ascii="Times New Roman" w:eastAsia="宋体" w:cs="Times New Roman" w:hAnsi="Times New Roman"/>
                <w:color w:val="auto"/>
                <w:spacing w:val="-1"/>
                <w:kern w:val="2"/>
                <w:sz w:val="24"/>
                <w:szCs w:val="24"/>
                <w:lang w:val="en-US" w:eastAsia="zh-CN" w:bidi="ar-SA"/>
                <w:highlight w:val="none"/>
              </w:rPr>
              <w:t>危险废物，按照《危险废物贮存污染控制标准》 （GB18597-2023</w:t>
            </w:r>
            <w:r>
              <w:rPr>
                <w:rFonts w:ascii="Times New Roman" w:eastAsia="宋体" w:cs="Times New Roman" w:hAnsi="Times New Roman" w:hint="eastAsia"/>
                <w:color w:val="auto"/>
                <w:spacing w:val="-1"/>
                <w:kern w:val="2"/>
                <w:sz w:val="24"/>
                <w:szCs w:val="24"/>
                <w:lang w:val="en-US" w:eastAsia="zh-CN" w:bidi="ar-SA"/>
                <w:highlight w:val="none"/>
              </w:rPr>
              <w:t>）</w:t>
            </w:r>
            <w:r>
              <w:rPr>
                <w:rFonts w:ascii="Times New Roman" w:eastAsia="宋体" w:cs="Times New Roman" w:hAnsi="Times New Roman"/>
                <w:color w:val="auto"/>
                <w:spacing w:val="-1"/>
                <w:kern w:val="2"/>
                <w:sz w:val="24"/>
                <w:szCs w:val="24"/>
                <w:lang w:val="en-US" w:eastAsia="zh-CN" w:bidi="ar-SA"/>
                <w:highlight w:val="none"/>
              </w:rPr>
              <w:t>相关规定要求，</w:t>
            </w:r>
            <w:r>
              <w:rPr>
                <w:rFonts w:cs="Times New Roman" w:hint="eastAsia"/>
                <w:color w:val="auto"/>
                <w:spacing w:val="-1"/>
                <w:kern w:val="2"/>
                <w:sz w:val="24"/>
                <w:szCs w:val="24"/>
                <w:lang w:val="en-US" w:eastAsia="zh-CN" w:bidi="ar-SA"/>
                <w:highlight w:val="none"/>
              </w:rPr>
              <w:t>贮存区、</w:t>
            </w:r>
            <w:r>
              <w:rPr>
                <w:rFonts w:ascii="Times New Roman" w:eastAsia="宋体" w:cs="Times New Roman" w:hAnsi="Times New Roman"/>
                <w:color w:val="auto"/>
                <w:spacing w:val="-1"/>
                <w:kern w:val="2"/>
                <w:sz w:val="24"/>
                <w:szCs w:val="24"/>
                <w:lang w:val="en-US" w:eastAsia="zh-CN" w:bidi="ar-SA"/>
                <w:highlight w:val="none"/>
              </w:rPr>
              <w:t>危废间及危险废物储存容器上需要张贴标签，具体要求如下：</w:t>
            </w:r>
          </w:p>
          <w:p>
            <w:pPr>
              <w:jc w:val="center"/>
              <w:rPr>
                <w:rFonts w:hint="eastAsia"/>
                <w:b/>
                <w:bCs/>
                <w:snapToGrid w:val="0"/>
                <w:color w:val="auto"/>
                <w:kern w:val="0"/>
                <w:sz w:val="24"/>
                <w:lang w:val="en-US" w:eastAsia="zh-CN"/>
                <w:highlight w:val="none"/>
              </w:rPr>
            </w:pPr>
            <w:r>
              <w:rPr>
                <w:rFonts w:hint="eastAsia"/>
                <w:b/>
                <w:bCs/>
                <w:snapToGrid w:val="0"/>
                <w:color w:val="auto"/>
                <w:kern w:val="0"/>
                <w:sz w:val="24"/>
                <w:lang w:val="en-US" w:eastAsia="zh-CN"/>
                <w:highlight w:val="none"/>
              </w:rPr>
              <w:t>表4-10  危废间及储存容器标签示例</w:t>
            </w:r>
          </w:p>
          <w:tbl>
            <w:tblPr>
              <w:jc w:val="center"/>
              <w:tblW w:w="4992"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1505"/>
              <w:gridCol w:w="3067"/>
              <w:gridCol w:w="4342"/>
            </w:tblGrid>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场合</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样式</w:t>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要求</w:t>
                  </w:r>
                </w:p>
              </w:tc>
            </w:tr>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危险废物标签</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73250" cy="1397000"/>
                        <wp:effectExtent l="0" t="0" r="0" b="0"/>
                        <wp:docPr id="214" name="图片 4"/>
                        <wp:cNvGraphicFramePr>
                          <a:graphicFrameLocks noChangeAspect="1"/>
                        </wp:cNvGraphicFramePr>
                        <a:graphic>
                          <a:graphicData uri="http://schemas.openxmlformats.org/drawingml/2006/picture">
                            <pic:pic>
                              <pic:nvPicPr>
                                <pic:cNvPr id="226" name="图片 4 226"/>
                                <pic:cNvPicPr/>
                              </pic:nvPicPr>
                              <pic:blipFill>
                                <a:blip r:embed="rId60"/>
                                <a:stretch>
                                  <a:fillRect/>
                                </a:stretch>
                              </pic:blipFill>
                              <pic:spPr>
                                <a:xfrm rot="0">
                                  <a:off x="0" y="0"/>
                                  <a:ext cx="1873250" cy="1397000"/>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a.危险废物标签所选用的材质宜具有一定的耐用性和防水性。标签可采用不干胶印刷品，或印刷品外加防水塑料袋或塑封等。</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b.危险废物标签背景色应采用醒目的橘黄色。</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c.危险废物标签字体宜采用黑体字，其中“危险废物”字样应加粗放大。</w:t>
                  </w:r>
                </w:p>
              </w:tc>
            </w:tr>
            <w:tr>
              <w:trPr>
                <w:trHeight w:val="524"/>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危险废物贮存分区标志</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18639" cy="1525905"/>
                        <wp:effectExtent l="0" t="0" r="1" b="0"/>
                        <wp:docPr id="215" name="图片 5"/>
                        <wp:cNvGraphicFramePr>
                          <a:graphicFrameLocks noChangeAspect="1"/>
                        </wp:cNvGraphicFramePr>
                        <a:graphic>
                          <a:graphicData uri="http://schemas.openxmlformats.org/drawingml/2006/picture">
                            <pic:pic>
                              <pic:nvPicPr>
                                <pic:cNvPr id="228" name="图片 5 228"/>
                                <pic:cNvPicPr/>
                              </pic:nvPicPr>
                              <pic:blipFill>
                                <a:blip r:embed="rId61"/>
                                <a:stretch>
                                  <a:fillRect/>
                                </a:stretch>
                              </pic:blipFill>
                              <pic:spPr>
                                <a:xfrm rot="0">
                                  <a:off x="0" y="0"/>
                                  <a:ext cx="1818639" cy="1525905"/>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a危险废物分区标志的字体宜采用黑体字,其中“危险废物贮存分区标志”字样应加粗放大并居中显示。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b.危险废物分区标志背景色应采用黄色， RGB颜色值为（255，55，0）。废物种类信息应采用醒目的橘黄色 ，RGB颜色值为（255, 150, 0）。字体颜色为黑色，RGB颜色值为（0，0，0）。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c、危险废物贮存分区标志的图形和文字应清晰、完整，保证在足够的观察距离条件下不影响阅读。“危险废物贮存分区标志”字样与其他信息宜加黑色分界线区分，分界线的宽度不小于2 mm。</w:t>
                  </w:r>
                </w:p>
              </w:tc>
            </w:tr>
            <w:tr>
              <w:trPr>
                <w:trHeight w:val="340"/>
              </w:trPr>
              <w:tc>
                <w:tcPr>
                  <w:tcW w:w="844"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危险废物贮存设施标志</w:t>
                  </w:r>
                </w:p>
              </w:tc>
              <w:tc>
                <w:tcPr>
                  <w:tcW w:w="1720"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hint="eastAsia"/>
                      <w:color w:val="auto"/>
                      <w:w w:val="100"/>
                      <w:kern w:val="2"/>
                      <w:sz w:val="21"/>
                      <w:szCs w:val="21"/>
                      <w:lang w:val="en-US" w:eastAsia="zh-CN" w:bidi="ar-SA"/>
                      <w:highlight w:val="none"/>
                    </w:rPr>
                  </w:pPr>
                  <w:r>
                    <w:rPr>
                      <w:color w:val="auto"/>
                      <w:highlight w:val="none"/>
                    </w:rPr>
                    <w:drawing>
                      <wp:inline distT="0" distB="0" distL="114300" distR="114300">
                        <wp:extent cx="1822450" cy="1155064"/>
                        <wp:effectExtent l="0" t="0" r="0" b="1"/>
                        <wp:docPr id="216" name="图片 6"/>
                        <wp:cNvGraphicFramePr>
                          <a:graphicFrameLocks noChangeAspect="1"/>
                        </wp:cNvGraphicFramePr>
                        <a:graphic>
                          <a:graphicData uri="http://schemas.openxmlformats.org/drawingml/2006/picture">
                            <pic:pic>
                              <pic:nvPicPr>
                                <pic:cNvPr id="230" name="图片 6 230"/>
                                <pic:cNvPicPr/>
                              </pic:nvPicPr>
                              <pic:blipFill>
                                <a:blip r:embed="rId62"/>
                                <a:stretch>
                                  <a:fillRect/>
                                </a:stretch>
                              </pic:blipFill>
                              <pic:spPr>
                                <a:xfrm rot="0">
                                  <a:off x="0" y="0"/>
                                  <a:ext cx="1822450" cy="1155064"/>
                                </a:xfrm>
                                <a:prstGeom prst="rect"/>
                                <a:noFill/>
                                <a:ln cmpd="sng" cap="flat">
                                  <a:noFill/>
                                  <a:prstDash val="solid"/>
                                  <a:round/>
                                </a:ln>
                              </pic:spPr>
                            </pic:pic>
                          </a:graphicData>
                        </a:graphic>
                      </wp:inline>
                    </w:drawing>
                  </w:r>
                </w:p>
              </w:tc>
              <w:tc>
                <w:tcPr>
                  <w:tcW w:w="2435" w:type="pct"/>
                  <w:tcBorders>
                    <w:tl2br w:val="nil"/>
                    <w:tr2bl w:val="nil"/>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a.</w:t>
                  </w:r>
                  <w:r>
                    <w:rPr>
                      <w:rFonts w:ascii="Times New Roman" w:eastAsia="宋体" w:cs="Times New Roman" w:hAnsi="Times New Roman" w:hint="eastAsia"/>
                      <w:color w:val="auto"/>
                      <w:w w:val="100"/>
                      <w:kern w:val="2"/>
                      <w:sz w:val="21"/>
                      <w:szCs w:val="21"/>
                      <w:lang w:val="en-US" w:eastAsia="zh-CN" w:bidi="ar-SA"/>
                      <w:highlight w:val="none"/>
                    </w:rPr>
                    <w:t>危险废物设施标志背景颜色为黄色，RGB 颜色值为（255</w:t>
                  </w:r>
                  <w:r>
                    <w:rPr>
                      <w:rFonts w:ascii="Times New Roman"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hint="eastAsia"/>
                      <w:color w:val="auto"/>
                      <w:w w:val="100"/>
                      <w:kern w:val="2"/>
                      <w:sz w:val="21"/>
                      <w:szCs w:val="21"/>
                      <w:lang w:val="en-US" w:eastAsia="zh-CN" w:bidi="ar-SA"/>
                      <w:highlight w:val="none"/>
                    </w:rPr>
                    <w:t>25</w:t>
                  </w:r>
                  <w:r>
                    <w:rPr>
                      <w:rFonts w:ascii="Times New Roman" w:cs="Times New Roman" w:hAnsi="Times New Roman" w:hint="eastAsia"/>
                      <w:color w:val="auto"/>
                      <w:w w:val="100"/>
                      <w:kern w:val="2"/>
                      <w:sz w:val="21"/>
                      <w:szCs w:val="21"/>
                      <w:lang w:val="en-US" w:eastAsia="zh-CN" w:bidi="ar-SA"/>
                      <w:highlight w:val="none"/>
                    </w:rPr>
                    <w:t>5，</w:t>
                  </w:r>
                  <w:r>
                    <w:rPr>
                      <w:rFonts w:ascii="Times New Roman" w:eastAsia="宋体" w:cs="Times New Roman" w:hAnsi="Times New Roman" w:hint="eastAsia"/>
                      <w:color w:val="auto"/>
                      <w:w w:val="100"/>
                      <w:kern w:val="2"/>
                      <w:sz w:val="21"/>
                      <w:szCs w:val="21"/>
                      <w:lang w:val="en-US" w:eastAsia="zh-CN" w:bidi="ar-SA"/>
                      <w:highlight w:val="none"/>
                    </w:rPr>
                    <w:t xml:space="preserve"> 0）。字体和边框颜色为 黑色，RGB颜色值为（0</w:t>
                  </w:r>
                  <w:r>
                    <w:rPr>
                      <w:rFonts w:ascii="Times New Roman"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hint="eastAsia"/>
                      <w:color w:val="auto"/>
                      <w:w w:val="100"/>
                      <w:kern w:val="2"/>
                      <w:sz w:val="21"/>
                      <w:szCs w:val="21"/>
                      <w:lang w:val="en-US" w:eastAsia="zh-CN" w:bidi="ar-SA"/>
                      <w:highlight w:val="none"/>
                    </w:rPr>
                    <w:t>0, 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b.</w:t>
                  </w:r>
                  <w:r>
                    <w:rPr>
                      <w:rFonts w:ascii="Times New Roman" w:eastAsia="宋体" w:cs="Times New Roman" w:hAnsi="Times New Roman" w:hint="eastAsia"/>
                      <w:color w:val="auto"/>
                      <w:w w:val="100"/>
                      <w:kern w:val="2"/>
                      <w:sz w:val="21"/>
                      <w:szCs w:val="21"/>
                      <w:lang w:val="en-US" w:eastAsia="zh-CN" w:bidi="ar-SA"/>
                      <w:highlight w:val="none"/>
                    </w:rPr>
                    <w:t>危险废物设施标志字体应采用黑体字，其中危险废物设施类型的字样应加粗放大并居中显示。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c.</w:t>
                  </w:r>
                  <w:r>
                    <w:rPr>
                      <w:rFonts w:ascii="Times New Roman" w:eastAsia="宋体" w:cs="Times New Roman" w:hAnsi="Times New Roman" w:hint="eastAsia"/>
                      <w:color w:val="auto"/>
                      <w:w w:val="100"/>
                      <w:kern w:val="2"/>
                      <w:sz w:val="21"/>
                      <w:szCs w:val="21"/>
                      <w:lang w:val="en-US" w:eastAsia="zh-CN" w:bidi="ar-SA"/>
                      <w:highlight w:val="none"/>
                    </w:rPr>
                    <w:t>危险废物贮存、利用、处置设施标志宜采 用坚固耐用的材料（</w:t>
                  </w:r>
                  <w:r>
                    <w:rPr>
                      <w:rFonts w:ascii="Times New Roman" w:cs="Times New Roman" w:hAnsi="Times New Roman" w:hint="eastAsia"/>
                      <w:color w:val="auto"/>
                      <w:w w:val="100"/>
                      <w:kern w:val="2"/>
                      <w:sz w:val="21"/>
                      <w:szCs w:val="21"/>
                      <w:lang w:val="en-US" w:eastAsia="zh-CN" w:bidi="ar-SA"/>
                      <w:highlight w:val="none"/>
                    </w:rPr>
                    <w:t>如</w:t>
                  </w:r>
                  <w:r>
                    <w:rPr>
                      <w:rFonts w:ascii="Times New Roman" w:eastAsia="宋体" w:cs="Times New Roman" w:hAnsi="Times New Roman" w:hint="eastAsia"/>
                      <w:color w:val="auto"/>
                      <w:w w:val="100"/>
                      <w:kern w:val="2"/>
                      <w:sz w:val="21"/>
                      <w:szCs w:val="21"/>
                      <w:lang w:val="en-US" w:eastAsia="zh-CN" w:bidi="ar-SA"/>
                      <w:highlight w:val="none"/>
                    </w:rPr>
                    <w:t>1.5 mm～2 mm冷轧钢板），并做搪瓷处理或贴膜处理。一般不宜使用遇水变形、变质或易燃的材料。柱式 标志牌的立柱可采用38×4无缝钢管或其他坚固耐用的材料，并经过防腐处理。</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d.</w:t>
                  </w:r>
                  <w:r>
                    <w:rPr>
                      <w:rFonts w:ascii="Times New Roman" w:eastAsia="宋体" w:cs="Times New Roman" w:hAnsi="Times New Roman" w:hint="eastAsia"/>
                      <w:color w:val="auto"/>
                      <w:w w:val="100"/>
                      <w:kern w:val="2"/>
                      <w:sz w:val="21"/>
                      <w:szCs w:val="21"/>
                      <w:lang w:val="en-US" w:eastAsia="zh-CN" w:bidi="ar-SA"/>
                      <w:highlight w:val="none"/>
                    </w:rPr>
                    <w:t>危险废物贮存、利用、处置设施标志的图形和文字应清晰、完整，保证在足够的观察距离条件下也不影响阅读。三角形警告性图形与其他信息间宜加黑色分界线区分，分界线的宽度宜不小于</w:t>
                  </w:r>
                  <w:r>
                    <w:rPr>
                      <w:rFonts w:ascii="Times New Roman" w:cs="Times New Roman" w:hAnsi="Times New Roman" w:hint="eastAsia"/>
                      <w:color w:val="auto"/>
                      <w:w w:val="100"/>
                      <w:kern w:val="2"/>
                      <w:sz w:val="21"/>
                      <w:szCs w:val="21"/>
                      <w:lang w:val="en-US" w:eastAsia="zh-CN" w:bidi="ar-SA"/>
                      <w:highlight w:val="none"/>
                    </w:rPr>
                    <w:t>3</w:t>
                  </w:r>
                  <w:r>
                    <w:rPr>
                      <w:rFonts w:ascii="Times New Roman" w:eastAsia="宋体" w:cs="Times New Roman" w:hAnsi="Times New Roman" w:hint="eastAsia"/>
                      <w:color w:val="auto"/>
                      <w:w w:val="100"/>
                      <w:kern w:val="2"/>
                      <w:sz w:val="21"/>
                      <w:szCs w:val="21"/>
                      <w:lang w:val="en-US" w:eastAsia="zh-CN" w:bidi="ar-SA"/>
                      <w:highlight w:val="none"/>
                    </w:rPr>
                    <w:t>mm。</w:t>
                  </w:r>
                </w:p>
              </w:tc>
            </w:tr>
          </w:tbl>
          <w:p>
            <w:pPr>
              <w:spacing w:line="460" w:lineRule="exact"/>
              <w:ind w:firstLineChars="200" w:firstLine="480"/>
              <w:rPr>
                <w:b/>
                <w:color w:val="auto"/>
                <w:sz w:val="24"/>
                <w:highlight w:val="none"/>
              </w:rPr>
            </w:pPr>
            <w:r>
              <w:rPr>
                <w:rFonts w:hint="eastAsia"/>
                <w:b/>
                <w:color w:val="auto"/>
                <w:sz w:val="24"/>
                <w:highlight w:val="none"/>
              </w:rPr>
              <w:t>5、地下水、土壤</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bCs/>
                <w:color w:val="auto"/>
                <w:sz w:val="24"/>
                <w:highlight w:val="none"/>
              </w:rPr>
            </w:pPr>
            <w:r>
              <w:rPr>
                <w:rFonts w:hint="eastAsia"/>
                <w:bCs/>
                <w:color w:val="auto"/>
                <w:sz w:val="24"/>
                <w:highlight w:val="none"/>
              </w:rPr>
              <w:t>正常情况下，项目物料全部在生产车间内暂存，不存在地表漫流和垂直入渗的污染途径</w:t>
            </w:r>
            <w:r>
              <w:rPr>
                <w:bCs/>
                <w:color w:val="auto"/>
                <w:sz w:val="24"/>
                <w:highlight w:val="none"/>
              </w:rPr>
              <w:t>。</w:t>
            </w:r>
            <w:r>
              <w:rPr>
                <w:rFonts w:hint="eastAsia"/>
                <w:bCs/>
                <w:color w:val="auto"/>
                <w:sz w:val="24"/>
                <w:highlight w:val="none"/>
              </w:rPr>
              <w:t>因此正常工况下不具备地下水和土壤污染途径，污染物不会对该区域土壤和地下水产生影响。对地下水可能造成污染的途径或方式主要有：非正常情况下，地面的防渗措施破损可能导致污染</w:t>
            </w:r>
            <w:r>
              <w:rPr>
                <w:rFonts w:ascii="Times New Roman" w:eastAsia="宋体" w:cs="Times New Roman" w:hAnsi="Times New Roman" w:hint="eastAsia"/>
                <w:color w:val="auto"/>
                <w:kern w:val="2"/>
                <w:sz w:val="24"/>
                <w:szCs w:val="24"/>
                <w:lang w:val="en-US" w:eastAsia="zh-CN" w:bidi="ar-SA"/>
                <w:highlight w:val="none"/>
              </w:rPr>
              <w:t>物下渗，从而污染地下水和土壤。</w:t>
            </w:r>
            <w:r>
              <w:rPr>
                <w:bCs/>
                <w:color w:val="auto"/>
                <w:sz w:val="24"/>
                <w:highlight w:val="none"/>
              </w:rPr>
              <w:t>为防止项目对地下水污染，采取以下防渗措施：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auto"/>
                <w:sz w:val="24"/>
                <w:highlight w:val="none"/>
              </w:rPr>
            </w:pPr>
            <w:r>
              <w:rPr>
                <w:rFonts w:ascii="Times New Roman" w:eastAsia="宋体" w:cs="Times New Roman" w:hAnsi="Times New Roman" w:hint="eastAsia"/>
                <w:color w:val="auto"/>
                <w:sz w:val="24"/>
                <w:lang w:val="en-US" w:eastAsia="zh-CN"/>
                <w:highlight w:val="none"/>
              </w:rPr>
              <w:t>项目租赁闲置</w:t>
            </w:r>
            <w:r>
              <w:rPr>
                <w:rFonts w:cs="Times New Roman" w:hint="eastAsia"/>
                <w:color w:val="auto"/>
                <w:sz w:val="24"/>
                <w:lang w:val="en-US" w:eastAsia="zh-CN"/>
                <w:highlight w:val="none"/>
              </w:rPr>
              <w:t>库房改造后用于废电池贮存</w:t>
            </w:r>
            <w:r>
              <w:rPr>
                <w:rFonts w:ascii="Times New Roman" w:eastAsia="宋体" w:cs="Times New Roman" w:hAnsi="Times New Roman" w:hint="eastAsia"/>
                <w:color w:val="auto"/>
                <w:sz w:val="24"/>
                <w:lang w:val="en-US" w:eastAsia="zh-CN"/>
                <w:highlight w:val="none"/>
              </w:rPr>
              <w:t>，</w:t>
            </w:r>
            <w:r>
              <w:rPr>
                <w:rFonts w:hint="eastAsia"/>
                <w:bCs/>
                <w:color w:val="auto"/>
                <w:sz w:val="24"/>
                <w:lang w:val="en-US" w:eastAsia="zh-CN"/>
                <w:highlight w:val="none"/>
              </w:rPr>
              <w:t>库房整体均</w:t>
            </w:r>
            <w:r>
              <w:rPr>
                <w:bCs/>
                <w:color w:val="auto"/>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bCs/>
                <w:color w:val="auto"/>
                <w:sz w:val="24"/>
                <w:highlight w:val="none"/>
              </w:rPr>
              <w:t>。重点防渗区按</w:t>
            </w:r>
            <w:r>
              <w:rPr>
                <w:rFonts w:hint="eastAsia"/>
                <w:color w:val="auto"/>
                <w:sz w:val="24"/>
                <w:lang w:val="zh-CN"/>
                <w:highlight w:val="none"/>
              </w:rPr>
              <w:t>《</w:t>
            </w:r>
            <w:r>
              <w:rPr>
                <w:color w:val="auto"/>
                <w:sz w:val="24"/>
                <w:lang w:val="zh-CN"/>
                <w:highlight w:val="none"/>
              </w:rPr>
              <w:t>危险废物贮存污染控制标准</w:t>
            </w:r>
            <w:r>
              <w:rPr>
                <w:rFonts w:hint="eastAsia"/>
                <w:color w:val="auto"/>
                <w:sz w:val="24"/>
                <w:lang w:val="zh-CN"/>
                <w:highlight w:val="none"/>
              </w:rPr>
              <w:t>》（</w:t>
            </w:r>
            <w:r>
              <w:rPr>
                <w:color w:val="auto"/>
                <w:sz w:val="24"/>
                <w:lang w:val="zh-CN"/>
                <w:highlight w:val="none"/>
              </w:rPr>
              <w:t>GB 18597-2023</w:t>
            </w:r>
            <w:r>
              <w:rPr>
                <w:rFonts w:hint="eastAsia"/>
                <w:color w:val="auto"/>
                <w:sz w:val="24"/>
                <w:lang w:val="zh-CN"/>
                <w:highlight w:val="none"/>
              </w:rPr>
              <w:t>）</w:t>
            </w:r>
            <w:r>
              <w:rPr>
                <w:bCs/>
                <w:color w:val="auto"/>
                <w:sz w:val="24"/>
                <w:highlight w:val="none"/>
              </w:rPr>
              <w:t>中相关标准进行防渗处理</w:t>
            </w:r>
            <w:r>
              <w:rPr>
                <w:rFonts w:hint="eastAsia"/>
                <w:bCs/>
                <w:color w:val="auto"/>
                <w:sz w:val="24"/>
                <w:lang w:eastAsia="zh-CN"/>
                <w:highlight w:val="none"/>
              </w:rPr>
              <w:t>，</w:t>
            </w:r>
            <w:r>
              <w:rPr>
                <w:rFonts w:hint="eastAsia"/>
                <w:bCs/>
                <w:color w:val="auto"/>
                <w:sz w:val="24"/>
                <w:highlight w:val="none"/>
              </w:rPr>
              <w:t>地面防渗层为环氧防腐自流平，地面处理后基层采用环氧树脂涂装，检查后铺设砂浆层和腻子层，地面平整后进行环氧面层施工，渗透系数不大于10</w:t>
            </w:r>
            <w:r>
              <w:rPr>
                <w:rFonts w:hint="eastAsia"/>
                <w:bCs/>
                <w:color w:val="auto"/>
                <w:sz w:val="24"/>
                <w:vertAlign w:val="superscript"/>
                <w:highlight w:val="none"/>
              </w:rPr>
              <w:t>-10</w:t>
            </w:r>
            <w:r>
              <w:rPr>
                <w:rFonts w:hint="eastAsia"/>
                <w:bCs/>
                <w:color w:val="auto"/>
                <w:sz w:val="24"/>
                <w:highlight w:val="none"/>
              </w:rPr>
              <w:t>cm/s。</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auto"/>
                <w:sz w:val="24"/>
                <w:highlight w:val="none"/>
              </w:rPr>
            </w:pPr>
            <w:r>
              <w:rPr>
                <w:bCs/>
                <w:color w:val="auto"/>
                <w:sz w:val="24"/>
                <w:highlight w:val="none"/>
              </w:rPr>
              <w:t>采取以上措施后，正常生产情况下，项目对厂区及附近地下水</w:t>
            </w:r>
            <w:r>
              <w:rPr>
                <w:rFonts w:hint="eastAsia"/>
                <w:bCs/>
                <w:color w:val="auto"/>
                <w:sz w:val="24"/>
                <w:highlight w:val="none"/>
              </w:rPr>
              <w:t>、土壤</w:t>
            </w:r>
            <w:r>
              <w:rPr>
                <w:rFonts w:hint="eastAsia"/>
                <w:bCs/>
                <w:color w:val="auto"/>
                <w:sz w:val="24"/>
                <w:lang w:eastAsia="zh-CN"/>
                <w:highlight w:val="none"/>
              </w:rPr>
              <w:t>不会产生</w:t>
            </w:r>
            <w:r>
              <w:rPr>
                <w:bCs/>
                <w:color w:val="auto"/>
                <w:sz w:val="24"/>
                <w:highlight w:val="none"/>
              </w:rPr>
              <w:t>环境</w:t>
            </w:r>
            <w:r>
              <w:rPr>
                <w:rFonts w:hint="eastAsia"/>
                <w:bCs/>
                <w:color w:val="auto"/>
                <w:sz w:val="24"/>
                <w:lang w:eastAsia="zh-CN"/>
                <w:highlight w:val="none"/>
              </w:rPr>
              <w:t>影响</w:t>
            </w:r>
            <w:r>
              <w:rPr>
                <w:bCs/>
                <w:color w:val="auto"/>
                <w:sz w:val="24"/>
                <w:highlight w:val="none"/>
              </w:rPr>
              <w:t>。</w:t>
            </w:r>
          </w:p>
          <w:p>
            <w:pPr>
              <w:spacing w:line="460" w:lineRule="exact"/>
              <w:ind w:firstLineChars="200" w:firstLine="480"/>
              <w:rPr>
                <w:b/>
                <w:bCs/>
                <w:color w:val="auto"/>
                <w:kern w:val="0"/>
                <w:sz w:val="24"/>
                <w:highlight w:val="none"/>
              </w:rPr>
            </w:pPr>
            <w:r>
              <w:rPr>
                <w:rFonts w:hint="eastAsia"/>
                <w:b/>
                <w:color w:val="auto"/>
                <w:sz w:val="24"/>
                <w:highlight w:val="none"/>
              </w:rPr>
              <w:t>6、生态</w:t>
            </w:r>
          </w:p>
          <w:p>
            <w:pPr>
              <w:pStyle w:val="33"/>
              <w:keepNext w:val="0"/>
              <w:keepLines w:val="0"/>
              <w:pageBreakBefore w:val="0"/>
              <w:widowControl w:val="0"/>
              <w:kinsoku/>
              <w:wordWrap/>
              <w:overflowPunct/>
              <w:topLinePunct w:val="0"/>
              <w:autoSpaceDE/>
              <w:autoSpaceDN/>
              <w:bidi w:val="0"/>
              <w:spacing w:line="460" w:lineRule="exact"/>
              <w:textAlignment w:val="auto"/>
              <w:rPr>
                <w:bCs/>
                <w:color w:val="auto"/>
                <w:sz w:val="24"/>
                <w:highlight w:val="none"/>
              </w:rPr>
            </w:pPr>
            <w:r>
              <w:rPr>
                <w:rFonts w:hint="eastAsia"/>
                <w:bCs/>
                <w:color w:val="auto"/>
                <w:sz w:val="24"/>
                <w:highlight w:val="none"/>
              </w:rPr>
              <w:t>本项目位于</w:t>
            </w:r>
            <w:r>
              <w:rPr>
                <w:rFonts w:ascii="Times New Roman" w:cs="Times New Roman" w:hAnsi="Times New Roman"/>
                <w:color w:val="auto"/>
                <w:sz w:val="24"/>
                <w:highlight w:val="none"/>
              </w:rPr>
              <w:t>河北省石家庄市栾城区装备制造</w:t>
            </w:r>
            <w:r>
              <w:rPr>
                <w:rFonts w:ascii="Times New Roman" w:cs="Times New Roman" w:hAnsi="Times New Roman" w:hint="eastAsia"/>
                <w:color w:val="auto"/>
                <w:sz w:val="24"/>
                <w:lang w:eastAsia="zh-CN"/>
                <w:highlight w:val="none"/>
              </w:rPr>
              <w:t>园</w:t>
            </w:r>
            <w:r>
              <w:rPr>
                <w:rFonts w:cs="Times New Roman" w:hint="eastAsia"/>
                <w:color w:val="auto"/>
                <w:sz w:val="24"/>
                <w:lang w:eastAsia="zh-CN"/>
                <w:highlight w:val="none"/>
              </w:rPr>
              <w:t>内，租用闲置库房改造后用于废电池的贮存</w:t>
            </w:r>
            <w:r>
              <w:rPr>
                <w:rFonts w:hint="eastAsia"/>
                <w:bCs/>
                <w:color w:val="auto"/>
                <w:sz w:val="24"/>
                <w:highlight w:val="none"/>
              </w:rPr>
              <w:t>。</w:t>
            </w:r>
            <w:r>
              <w:rPr>
                <w:rFonts w:hint="eastAsia"/>
                <w:bCs/>
                <w:color w:val="auto"/>
                <w:sz w:val="24"/>
                <w:lang w:eastAsia="zh-CN"/>
                <w:highlight w:val="none"/>
              </w:rPr>
              <w:t>项目用地为工业用地，不新增用地面积。厂区占地范围内不涉及</w:t>
            </w:r>
            <w:r>
              <w:rPr>
                <w:rFonts w:hint="eastAsia"/>
                <w:bCs/>
                <w:color w:val="auto"/>
                <w:sz w:val="24"/>
                <w:highlight w:val="none"/>
              </w:rPr>
              <w:t>珍稀物种</w:t>
            </w:r>
            <w:r>
              <w:rPr>
                <w:rFonts w:hint="eastAsia"/>
                <w:bCs/>
                <w:color w:val="auto"/>
                <w:sz w:val="24"/>
                <w:lang w:eastAsia="zh-CN"/>
                <w:highlight w:val="none"/>
              </w:rPr>
              <w:t>、</w:t>
            </w:r>
            <w:r>
              <w:rPr>
                <w:rFonts w:hint="eastAsia"/>
                <w:bCs/>
                <w:color w:val="auto"/>
                <w:sz w:val="24"/>
                <w:highlight w:val="none"/>
              </w:rPr>
              <w:t>自然保护区等环境敏感区</w:t>
            </w:r>
            <w:r>
              <w:rPr>
                <w:rFonts w:hint="eastAsia"/>
                <w:bCs/>
                <w:color w:val="auto"/>
                <w:sz w:val="24"/>
                <w:lang w:eastAsia="zh-CN"/>
                <w:highlight w:val="none"/>
              </w:rPr>
              <w:t>，</w:t>
            </w:r>
            <w:r>
              <w:rPr>
                <w:rFonts w:hint="eastAsia"/>
                <w:bCs/>
                <w:color w:val="auto"/>
                <w:sz w:val="24"/>
                <w:highlight w:val="none"/>
              </w:rPr>
              <w:t>无生态环境保护目标，不会影响生物多样性。因此本项目不会对周边生态环境产生影响。</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eastAsia="宋体" w:hint="eastAsia"/>
                <w:bCs/>
                <w:color w:val="auto"/>
                <w:sz w:val="24"/>
                <w:lang w:eastAsia="zh-CN"/>
                <w:highlight w:val="none"/>
              </w:rPr>
            </w:pPr>
            <w:r>
              <w:rPr>
                <w:rFonts w:hint="eastAsia"/>
                <w:b/>
                <w:color w:val="auto"/>
                <w:sz w:val="24"/>
                <w:highlight w:val="none"/>
              </w:rPr>
              <w:t>7、环境风险</w:t>
            </w:r>
            <w:r>
              <w:rPr>
                <w:rFonts w:hint="eastAsia"/>
                <w:b/>
                <w:color w:val="auto"/>
                <w:sz w:val="24"/>
                <w:lang w:eastAsia="zh-CN"/>
                <w:highlight w:val="none"/>
              </w:rPr>
              <w:t>（具体分析详见专题评价）</w:t>
            </w:r>
          </w:p>
          <w:p>
            <w:pPr>
              <w:pStyle w:val="33"/>
              <w:keepNext w:val="0"/>
              <w:keepLines w:val="0"/>
              <w:pageBreakBefore w:val="0"/>
              <w:widowControl w:val="0"/>
              <w:kinsoku/>
              <w:wordWrap/>
              <w:overflowPunct/>
              <w:topLinePunct w:val="0"/>
              <w:autoSpaceDE/>
              <w:autoSpaceDN/>
              <w:bidi w:val="0"/>
              <w:spacing w:line="460" w:lineRule="exact"/>
              <w:textAlignment w:val="auto"/>
              <w:rPr>
                <w:rFonts w:cs="Times New Roman" w:hint="eastAsia"/>
                <w:bCs/>
                <w:color w:val="auto"/>
                <w:sz w:val="24"/>
                <w:lang w:val="en-US" w:eastAsia="zh-CN"/>
                <w:highlight w:val="none"/>
              </w:rPr>
            </w:pPr>
            <w:r>
              <w:rPr>
                <w:rFonts w:cs="Times New Roman" w:hint="eastAsia"/>
                <w:bCs/>
                <w:color w:val="auto"/>
                <w:sz w:val="24"/>
                <w:lang w:eastAsia="zh-CN"/>
                <w:highlight w:val="none"/>
              </w:rPr>
              <w:t>根据专题评价可知，本项目</w:t>
            </w:r>
            <w:r>
              <w:rPr>
                <w:rFonts w:cs="Times New Roman" w:hint="eastAsia"/>
                <w:bCs/>
                <w:color w:val="auto"/>
                <w:sz w:val="24"/>
                <w:lang w:val="en-US" w:eastAsia="zh-CN"/>
                <w:highlight w:val="none"/>
              </w:rPr>
              <w:t>Q值计算情况如下：</w:t>
            </w:r>
          </w:p>
          <w:p>
            <w:pPr>
              <w:pStyle w:val="108"/>
              <w:numPr>
                <w:ilvl w:val="0"/>
                <w:numId w:val="0"/>
              </w:numPr>
              <w:tabs>
                <w:tab w:val="clear" w:pos="0"/>
                <w:tab w:val="left" w:pos="420"/>
                <w:tab w:val="left" w:pos="460"/>
                <w:tab w:val="left" w:pos="583"/>
                <w:tab w:val="left" w:pos="2003"/>
              </w:tabs>
              <w:bidi w:val="0"/>
              <w:ind w:left="0" w:firstLine="0"/>
              <w:rPr>
                <w:rFonts w:ascii="Times New Roman" w:cs="Times New Roman" w:hAnsi="Times New Roman"/>
                <w:color w:val="auto"/>
                <w:lang w:val="en-US"/>
              </w:rPr>
            </w:pPr>
            <w:r>
              <w:rPr>
                <w:rFonts w:ascii="Times New Roman" w:eastAsia="宋体" w:cs="Times New Roman" w:hAnsi="Times New Roman"/>
                <w:b/>
                <w:color w:val="auto"/>
                <w:sz w:val="24"/>
                <w:szCs w:val="24"/>
                <w:lang w:val="en-US" w:eastAsia="zh-CN" w:bidi="ar-SA"/>
              </w:rPr>
              <w:t>表</w:t>
            </w:r>
            <w:r>
              <w:rPr>
                <w:rFonts w:cs="Times New Roman" w:hint="eastAsia"/>
                <w:b/>
                <w:color w:val="auto"/>
                <w:sz w:val="24"/>
                <w:szCs w:val="24"/>
                <w:lang w:val="en-US" w:eastAsia="zh-CN" w:bidi="ar-SA"/>
              </w:rPr>
              <w:t>4-11  本项目</w:t>
            </w:r>
            <w:r>
              <w:rPr>
                <w:rFonts w:ascii="Times New Roman" w:cs="Times New Roman" w:hAnsi="Times New Roman"/>
                <w:color w:val="auto"/>
                <w:lang w:val="en-US" w:eastAsia="zh-CN"/>
              </w:rPr>
              <w:t>危险物质数量与临界值比值表</w:t>
            </w:r>
            <w:r>
              <w:rPr>
                <w:rFonts w:cs="Times New Roman" w:hint="eastAsia"/>
                <w:color w:val="auto"/>
                <w:lang w:val="en-US" w:eastAsia="zh-CN"/>
              </w:rPr>
              <w:t>一览表</w:t>
            </w:r>
          </w:p>
          <w:tbl>
            <w:tblPr>
              <w:jc w:val="center"/>
              <w:tblW w:w="4973" w:type="pct"/>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718"/>
              <w:gridCol w:w="1807"/>
              <w:gridCol w:w="1775"/>
              <w:gridCol w:w="1791"/>
              <w:gridCol w:w="1400"/>
              <w:gridCol w:w="1393"/>
            </w:tblGrid>
            <w:tr>
              <w:trPr>
                <w:trHeight w:val="23"/>
                <w:tblHeader/>
              </w:trPr>
              <w:tc>
                <w:tcPr>
                  <w:tcW w:w="404" w:type="pct"/>
                  <w:tcBorders>
                    <w:tl2br w:val="nil"/>
                    <w:tr2bl w:val="nil"/>
                  </w:tcBorders>
                  <w:vAlign w:val="center"/>
                </w:tcPr>
                <w:p>
                  <w:pPr>
                    <w:spacing w:line="0" w:lineRule="atLeast"/>
                    <w:jc w:val="center"/>
                    <w:rPr>
                      <w:rFonts w:ascii="Times New Roman" w:eastAsia="宋体" w:cs="Times New Roman" w:hAnsi="Times New Roman"/>
                      <w:b w:val="0"/>
                      <w:bCs w:val="0"/>
                      <w:color w:val="auto"/>
                      <w:kern w:val="2"/>
                      <w:sz w:val="21"/>
                      <w:szCs w:val="21"/>
                      <w:lang w:val="en-US" w:eastAsia="zh-CN" w:bidi="ar-SA"/>
                      <w:highlight w:val="none"/>
                    </w:rPr>
                  </w:pPr>
                  <w:r>
                    <w:rPr>
                      <w:rFonts w:ascii="Times New Roman" w:eastAsia="宋体" w:cs="Times New Roman" w:hAnsi="Times New Roman"/>
                      <w:b w:val="0"/>
                      <w:bCs w:val="0"/>
                      <w:color w:val="auto"/>
                      <w:sz w:val="21"/>
                      <w:szCs w:val="21"/>
                      <w:highlight w:val="none"/>
                    </w:rPr>
                    <w:t>序号</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cs="Times New Roman" w:hAnsi="Times New Roman"/>
                      <w:b w:val="0"/>
                      <w:bCs w:val="0"/>
                      <w:color w:val="auto"/>
                      <w:w w:val="100"/>
                      <w:kern w:val="2"/>
                      <w:sz w:val="21"/>
                      <w:szCs w:val="21"/>
                      <w:lang w:val="en-US" w:eastAsia="zh-CN" w:bidi="ar-SA"/>
                      <w:highlight w:val="none"/>
                    </w:rPr>
                    <w:t>危险物质</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CAS号</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最大存储量t</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临界量t</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b w:val="0"/>
                      <w:bCs w:val="0"/>
                      <w:color w:val="auto"/>
                      <w:sz w:val="21"/>
                      <w:szCs w:val="21"/>
                      <w:highlight w:val="none"/>
                    </w:rPr>
                  </w:pPr>
                  <w:r>
                    <w:rPr>
                      <w:rFonts w:ascii="Times New Roman" w:eastAsia="宋体" w:cs="Times New Roman" w:hAnsi="Times New Roman"/>
                      <w:b w:val="0"/>
                      <w:bCs w:val="0"/>
                      <w:color w:val="auto"/>
                      <w:w w:val="100"/>
                      <w:kern w:val="2"/>
                      <w:sz w:val="21"/>
                      <w:szCs w:val="21"/>
                      <w:lang w:val="en-US" w:eastAsia="zh-CN" w:bidi="ar-SA"/>
                      <w:highlight w:val="none"/>
                    </w:rPr>
                    <w:t>Q</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highlight w:val="none"/>
                    </w:rPr>
                    <w:t>1</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第I类废铅蓄电池</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99.5</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1.99</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highlight w:val="none"/>
                    </w:rPr>
                    <w:t>2</w:t>
                  </w:r>
                </w:p>
              </w:tc>
              <w:tc>
                <w:tcPr>
                  <w:tcW w:w="42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w w:val="100"/>
                      <w:kern w:val="2"/>
                      <w:sz w:val="21"/>
                      <w:szCs w:val="21"/>
                      <w:lang w:val="en-US" w:eastAsia="zh-CN" w:bidi="ar-SA"/>
                      <w:highlight w:val="none"/>
                    </w:rPr>
                    <w:t>铅及其化合物</w:t>
                  </w:r>
                </w:p>
              </w:tc>
              <w:tc>
                <w:tcPr>
                  <w:tcW w:w="41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419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cs="Times New Roman" w:hAnsi="Times New Roman" w:hint="eastAsia"/>
                      <w:color w:val="auto"/>
                      <w:w w:val="100"/>
                      <w:kern w:val="2"/>
                      <w:sz w:val="21"/>
                      <w:szCs w:val="21"/>
                      <w:lang w:val="en-US" w:eastAsia="zh-CN" w:bidi="ar-SA"/>
                      <w:highlight w:val="none"/>
                    </w:rPr>
                    <w:t>0.205</w:t>
                  </w:r>
                </w:p>
              </w:tc>
              <w:tc>
                <w:tcPr>
                  <w:tcW w:w="327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sz w:val="21"/>
                      <w:szCs w:val="21"/>
                      <w:lang w:val="en-US"/>
                      <w:highlight w:val="none"/>
                    </w:rPr>
                  </w:pPr>
                  <w:r>
                    <w:rPr>
                      <w:rFonts w:ascii="Times New Roman" w:cs="Times New Roman" w:hAnsi="Times New Roman" w:hint="eastAsia"/>
                      <w:color w:val="auto"/>
                      <w:w w:val="100"/>
                      <w:kern w:val="2"/>
                      <w:sz w:val="21"/>
                      <w:szCs w:val="21"/>
                      <w:lang w:val="en-US" w:eastAsia="zh-CN" w:bidi="ar-SA"/>
                      <w:highlight w:val="none"/>
                    </w:rPr>
                    <w:t>50</w:t>
                  </w:r>
                </w:p>
              </w:tc>
              <w:tc>
                <w:tcPr>
                  <w:tcW w:w="32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0.0041</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3</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硫酸</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7664-93-9</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w w:val="100"/>
                      <w:kern w:val="2"/>
                      <w:sz w:val="21"/>
                      <w:szCs w:val="21"/>
                      <w:lang w:val="en-US" w:eastAsia="zh-CN" w:bidi="ar-SA"/>
                      <w:highlight w:val="none"/>
                    </w:rPr>
                    <w:t>0.03</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10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0.003</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4</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废碱液</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w:t>
                  </w:r>
                  <w:r>
                    <w:rPr>
                      <w:rFonts w:ascii="Times New Roman" w:eastAsia="宋体" w:cs="Times New Roman" w:hAnsi="Times New Roman"/>
                      <w:color w:val="auto"/>
                      <w:w w:val="100"/>
                      <w:kern w:val="2"/>
                      <w:sz w:val="21"/>
                      <w:szCs w:val="21"/>
                      <w:lang w:val="en-US" w:eastAsia="zh-CN" w:bidi="ar-SA"/>
                      <w:highlight w:val="none"/>
                    </w:rPr>
                    <w:t>7</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0.014</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5</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废防护用具</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w:t>
                  </w:r>
                  <w:r>
                    <w:rPr>
                      <w:rFonts w:ascii="Times New Roman" w:eastAsia="宋体" w:cs="Times New Roman" w:hAnsi="Times New Roman" w:hint="eastAsia"/>
                      <w:color w:val="auto"/>
                      <w:w w:val="100"/>
                      <w:kern w:val="2"/>
                      <w:sz w:val="21"/>
                      <w:szCs w:val="21"/>
                      <w:lang w:val="en-US" w:eastAsia="zh-CN" w:bidi="ar-SA"/>
                      <w:highlight w:val="none"/>
                    </w:rPr>
                    <w:t>4</w:t>
                  </w:r>
                  <w:r>
                    <w:rPr>
                      <w:rFonts w:ascii="Times New Roman" w:eastAsia="宋体" w:cs="Times New Roman" w:hAnsi="Times New Roman"/>
                      <w:color w:val="auto"/>
                      <w:w w:val="100"/>
                      <w:kern w:val="2"/>
                      <w:sz w:val="21"/>
                      <w:szCs w:val="21"/>
                      <w:lang w:val="en-US" w:eastAsia="zh-CN" w:bidi="ar-SA"/>
                      <w:highlight w:val="none"/>
                    </w:rPr>
                    <w:t>5</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0.009</w:t>
                  </w:r>
                </w:p>
              </w:tc>
            </w:tr>
            <w:tr>
              <w:trPr>
                <w:trHeight w:val="23"/>
              </w:trPr>
              <w:tc>
                <w:tcPr>
                  <w:tcW w:w="404" w:type="pct"/>
                  <w:tcBorders>
                    <w:tl2br w:val="nil"/>
                    <w:tr2bl w:val="nil"/>
                  </w:tcBorders>
                  <w:vAlign w:val="center"/>
                </w:tcPr>
                <w:p>
                  <w:pPr>
                    <w:spacing w:line="0" w:lineRule="atLeast"/>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6</w:t>
                  </w:r>
                </w:p>
              </w:tc>
              <w:tc>
                <w:tcPr>
                  <w:tcW w:w="10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废抹布</w:t>
                  </w:r>
                </w:p>
              </w:tc>
              <w:tc>
                <w:tcPr>
                  <w:tcW w:w="99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w:t>
                  </w:r>
                </w:p>
              </w:tc>
              <w:tc>
                <w:tcPr>
                  <w:tcW w:w="10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zh-CN" w:eastAsia="zh-CN" w:bidi="ar-SA"/>
                      <w:highlight w:val="none"/>
                    </w:rPr>
                    <w:t>0.0</w:t>
                  </w:r>
                  <w:r>
                    <w:rPr>
                      <w:rFonts w:ascii="Times New Roman" w:eastAsia="宋体" w:cs="Times New Roman" w:hAnsi="Times New Roman"/>
                      <w:color w:val="auto"/>
                      <w:w w:val="100"/>
                      <w:kern w:val="2"/>
                      <w:sz w:val="21"/>
                      <w:szCs w:val="21"/>
                      <w:lang w:val="en-US" w:eastAsia="zh-CN" w:bidi="ar-SA"/>
                      <w:highlight w:val="none"/>
                    </w:rPr>
                    <w:t>1</w:t>
                  </w:r>
                </w:p>
              </w:tc>
              <w:tc>
                <w:tcPr>
                  <w:tcW w:w="7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cs="Times New Roman" w:hAnsi="Times New Roman"/>
                      <w:color w:val="auto"/>
                      <w:w w:val="100"/>
                      <w:kern w:val="2"/>
                      <w:sz w:val="21"/>
                      <w:szCs w:val="21"/>
                      <w:lang w:val="en-US" w:eastAsia="zh-CN" w:bidi="ar-SA"/>
                      <w:highlight w:val="none"/>
                    </w:rPr>
                  </w:pPr>
                  <w:r>
                    <w:rPr>
                      <w:rFonts w:ascii="Times New Roman" w:cs="Times New Roman" w:hAnsi="Times New Roman"/>
                      <w:color w:val="auto"/>
                      <w:w w:val="100"/>
                      <w:kern w:val="2"/>
                      <w:sz w:val="21"/>
                      <w:szCs w:val="21"/>
                      <w:lang w:val="en-US" w:eastAsia="zh-CN" w:bidi="ar-SA"/>
                      <w:highlight w:val="none"/>
                    </w:rPr>
                    <w:t>50</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0.0002</w:t>
                  </w:r>
                </w:p>
              </w:tc>
            </w:tr>
            <w:tr>
              <w:trPr>
                <w:trHeight w:val="90"/>
              </w:trPr>
              <w:tc>
                <w:tcPr>
                  <w:tcW w:w="4216" w:type="pct"/>
                  <w:gridSpan w:val="5"/>
                  <w:tcBorders>
                    <w:tl2br w:val="nil"/>
                    <w:tr2bl w:val="nil"/>
                  </w:tcBorders>
                  <w:vAlign w:val="center"/>
                </w:tcPr>
                <w:p>
                  <w:pPr>
                    <w:autoSpaceDE w:val="0"/>
                    <w:snapToGrid w:val="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合计</w:t>
                  </w:r>
                </w:p>
              </w:tc>
              <w:tc>
                <w:tcPr>
                  <w:tcW w:w="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hint="eastAsia"/>
                      <w:color w:val="auto"/>
                      <w:w w:val="100"/>
                      <w:kern w:val="2"/>
                      <w:sz w:val="21"/>
                      <w:szCs w:val="21"/>
                      <w:lang w:val="en-US" w:eastAsia="zh-CN" w:bidi="ar-SA"/>
                      <w:highlight w:val="none"/>
                    </w:rPr>
                    <w:t>2.0203</w:t>
                  </w:r>
                </w:p>
              </w:tc>
            </w:tr>
            <w:tr>
              <w:trPr>
                <w:trHeight w:val="23"/>
              </w:trPr>
              <w:tc>
                <w:tcPr>
                  <w:tcW w:w="5000" w:type="pct"/>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ascii="Times New Roman" w:eastAsia="宋体" w:cs="Times New Roman" w:hAnsi="Times New Roman"/>
                      <w:color w:val="auto"/>
                      <w:w w:val="100"/>
                      <w:kern w:val="2"/>
                      <w:sz w:val="21"/>
                      <w:szCs w:val="21"/>
                      <w:lang w:val="en-US" w:eastAsia="zh-CN" w:bidi="ar-SA"/>
                      <w:highlight w:val="none"/>
                    </w:rPr>
                  </w:pPr>
                  <w:r>
                    <w:rPr>
                      <w:rFonts w:ascii="Times New Roman" w:eastAsia="宋体" w:cs="Times New Roman" w:hAnsi="Times New Roman"/>
                      <w:color w:val="auto"/>
                      <w:w w:val="100"/>
                      <w:kern w:val="2"/>
                      <w:sz w:val="21"/>
                      <w:szCs w:val="21"/>
                      <w:lang w:val="en-US" w:eastAsia="zh-CN" w:bidi="ar-SA"/>
                      <w:highlight w:val="none"/>
                    </w:rPr>
                    <w:t>注：第I类废铅蓄电池</w:t>
                  </w:r>
                  <w:r>
                    <w:rPr>
                      <w:rFonts w:ascii="Times New Roman" w:eastAsia="宋体"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color w:val="auto"/>
                      <w:w w:val="100"/>
                      <w:kern w:val="2"/>
                      <w:sz w:val="21"/>
                      <w:szCs w:val="21"/>
                      <w:lang w:val="en-US" w:eastAsia="zh-CN" w:bidi="ar-SA"/>
                      <w:highlight w:val="none"/>
                    </w:rPr>
                    <w:t>第II类废铅酸蓄电池中的铅及其化合物属</w:t>
                  </w:r>
                  <w:r>
                    <w:rPr>
                      <w:rFonts w:ascii="Times New Roman" w:eastAsia="宋体" w:cs="Times New Roman" w:hAnsi="Times New Roman" w:hint="eastAsia"/>
                      <w:color w:val="auto"/>
                      <w:w w:val="100"/>
                      <w:kern w:val="2"/>
                      <w:sz w:val="21"/>
                      <w:szCs w:val="21"/>
                      <w:lang w:val="en-US" w:eastAsia="zh-CN" w:bidi="ar-SA"/>
                      <w:highlight w:val="none"/>
                    </w:rPr>
                    <w:t>、</w:t>
                  </w:r>
                  <w:r>
                    <w:rPr>
                      <w:rFonts w:ascii="Times New Roman" w:eastAsia="宋体" w:cs="Times New Roman" w:hAnsi="Times New Roman"/>
                      <w:color w:val="auto"/>
                      <w:w w:val="100"/>
                      <w:kern w:val="2"/>
                      <w:sz w:val="21"/>
                      <w:szCs w:val="21"/>
                      <w:lang w:val="en-US" w:eastAsia="zh-CN" w:bidi="ar-SA"/>
                      <w:highlight w:val="none"/>
                    </w:rPr>
                    <w:t>其他危险废物参照《建设项目环境风险评价技术导则》（HJ169-2018）表B.2健康危险急性毒性物质（类别2，类别3）的临界量50t进行评估。</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cs="Times New Roman" w:hAnsi="Times New Roman"/>
                <w:color w:val="auto"/>
                <w:sz w:val="24"/>
              </w:rPr>
            </w:pPr>
            <w:r>
              <w:rPr>
                <w:rFonts w:ascii="Times New Roman" w:cs="Times New Roman" w:hAnsi="Times New Roman"/>
                <w:color w:val="auto"/>
                <w:sz w:val="24"/>
              </w:rPr>
              <w:t>由结果可见，拟建项目危险物质数量与临界量比值Q=2.0203。</w:t>
            </w:r>
          </w:p>
          <w:p>
            <w:pPr>
              <w:pStyle w:val="33"/>
              <w:keepNext w:val="0"/>
              <w:keepLines w:val="0"/>
              <w:pageBreakBefore w:val="0"/>
              <w:widowControl w:val="0"/>
              <w:kinsoku/>
              <w:wordWrap/>
              <w:overflowPunct/>
              <w:topLinePunct w:val="0"/>
              <w:autoSpaceDE/>
              <w:autoSpaceDN/>
              <w:bidi w:val="0"/>
              <w:spacing w:line="360" w:lineRule="auto"/>
              <w:textAlignment w:val="auto"/>
              <w:rPr>
                <w:rFonts w:ascii="Times New Roman" w:eastAsia="宋体" w:cs="Times New Roman" w:hAnsi="Times New Roman" w:hint="eastAsia"/>
                <w:bCs/>
                <w:color w:val="auto"/>
                <w:sz w:val="24"/>
                <w:highlight w:val="none"/>
              </w:rPr>
            </w:pPr>
            <w:r>
              <w:rPr>
                <w:rFonts w:ascii="Times New Roman" w:eastAsia="宋体" w:cs="Times New Roman" w:hAnsi="Times New Roman" w:hint="eastAsia"/>
                <w:bCs/>
                <w:color w:val="auto"/>
                <w:sz w:val="24"/>
                <w:highlight w:val="none"/>
              </w:rPr>
              <w:t>项目所贮存的废旧铅酸蓄电池具有潜在的危害，在贮存过程中可能发生泄漏和火灾。发生以上事故时，污染物泄漏将通过大气和水体进入环境，会对环境造成一定的影响。</w:t>
            </w:r>
          </w:p>
          <w:p>
            <w:pPr>
              <w:pStyle w:val="33"/>
              <w:keepNext w:val="0"/>
              <w:keepLines w:val="0"/>
              <w:pageBreakBefore w:val="0"/>
              <w:widowControl w:val="0"/>
              <w:kinsoku/>
              <w:wordWrap/>
              <w:overflowPunct/>
              <w:topLinePunct w:val="0"/>
              <w:autoSpaceDE/>
              <w:autoSpaceDN/>
              <w:bidi w:val="0"/>
              <w:spacing w:line="360" w:lineRule="auto"/>
              <w:textAlignment w:val="auto"/>
              <w:rPr>
                <w:rFonts w:eastAsia="宋体"/>
                <w:color w:val="auto"/>
                <w:lang w:val="en-US" w:eastAsia="zh-CN"/>
              </w:rPr>
            </w:pPr>
            <w:r>
              <w:rPr>
                <w:rFonts w:ascii="Times New Roman" w:eastAsia="宋体" w:cs="Times New Roman" w:hAnsi="Times New Roman" w:hint="eastAsia"/>
                <w:bCs/>
                <w:color w:val="auto"/>
                <w:sz w:val="24"/>
                <w:highlight w:val="none"/>
              </w:rPr>
              <w:t>本项目通过制定风险防范措施，制定安全生产规范，通过加强员工的安全、环保知识和风险事故安全教育，提高职工的风险意识，掌握本职工作所需的危险化学品安全知识和技能，严格遵守危险化学品安全规章制度和操作规程，了解其作业场所和工作存在的危险有害因素以及企业所采取的防范措施和环境突发事故应急措施，以减少风险发生的概率。其次通过落实事故、消防</w:t>
            </w:r>
            <w:r>
              <w:rPr>
                <w:rFonts w:ascii="Times New Roman" w:eastAsia="宋体" w:cs="Times New Roman" w:hAnsi="Times New Roman" w:hint="eastAsia"/>
                <w:bCs/>
                <w:color w:val="auto"/>
                <w:sz w:val="24"/>
                <w:lang w:eastAsia="zh-CN"/>
                <w:highlight w:val="none"/>
              </w:rPr>
              <w:t>废</w:t>
            </w:r>
            <w:r>
              <w:rPr>
                <w:rFonts w:ascii="Times New Roman" w:eastAsia="宋体" w:cs="Times New Roman" w:hAnsi="Times New Roman" w:hint="eastAsia"/>
                <w:bCs/>
                <w:color w:val="auto"/>
                <w:sz w:val="24"/>
                <w:highlight w:val="none"/>
              </w:rPr>
              <w:t>水的收集系统，厂内所有外排管道均设置切断装置和应急设施，确保一旦意外事故，所有污水均能收集事故应急池。</w:t>
            </w:r>
          </w:p>
          <w:p>
            <w:pPr>
              <w:keepNext w:val="0"/>
              <w:keepLines w:val="0"/>
              <w:pageBreakBefore w:val="0"/>
              <w:widowControl w:val="0"/>
              <w:kinsoku/>
              <w:wordWrap/>
              <w:overflowPunct/>
              <w:bidi w:val="0"/>
              <w:adjustRightInd w:val="0"/>
              <w:snapToGrid w:val="0"/>
              <w:spacing w:line="460" w:lineRule="exact"/>
              <w:ind w:firstLineChars="200" w:firstLine="480"/>
              <w:rPr>
                <w:b/>
                <w:bCs/>
                <w:color w:val="auto"/>
                <w:kern w:val="0"/>
                <w:sz w:val="24"/>
                <w:highlight w:val="none"/>
              </w:rPr>
            </w:pPr>
            <w:r>
              <w:rPr>
                <w:b/>
                <w:bCs/>
                <w:color w:val="auto"/>
                <w:kern w:val="0"/>
                <w:sz w:val="24"/>
                <w:highlight w:val="none"/>
              </w:rPr>
              <w:t>8</w:t>
            </w:r>
            <w:r>
              <w:rPr>
                <w:rFonts w:hint="eastAsia"/>
                <w:b/>
                <w:bCs/>
                <w:color w:val="auto"/>
                <w:kern w:val="0"/>
                <w:sz w:val="24"/>
                <w:highlight w:val="none"/>
              </w:rPr>
              <w:t>、</w:t>
            </w:r>
            <w:r>
              <w:rPr>
                <w:b/>
                <w:bCs/>
                <w:color w:val="auto"/>
                <w:kern w:val="0"/>
                <w:sz w:val="24"/>
                <w:highlight w:val="none"/>
              </w:rPr>
              <w:t>电磁辐射</w:t>
            </w:r>
          </w:p>
          <w:p>
            <w:pPr>
              <w:keepNext w:val="0"/>
              <w:keepLines w:val="0"/>
              <w:pageBreakBefore w:val="0"/>
              <w:widowControl w:val="0"/>
              <w:kinsoku/>
              <w:wordWrap/>
              <w:overflowPunct/>
              <w:bidi w:val="0"/>
              <w:adjustRightInd w:val="0"/>
              <w:snapToGrid w:val="0"/>
              <w:spacing w:line="460" w:lineRule="exact"/>
              <w:ind w:firstLineChars="200" w:firstLine="480"/>
              <w:rPr>
                <w:rFonts w:hint="eastAsia"/>
                <w:color w:val="auto"/>
                <w:kern w:val="0"/>
                <w:sz w:val="24"/>
                <w:highlight w:val="none"/>
              </w:rPr>
            </w:pPr>
            <w:r>
              <w:rPr>
                <w:color w:val="auto"/>
                <w:kern w:val="0"/>
                <w:sz w:val="24"/>
                <w:highlight w:val="none"/>
              </w:rPr>
              <w:t>不涉及</w:t>
            </w:r>
            <w:r>
              <w:rPr>
                <w:rFonts w:hint="eastAsia"/>
                <w:color w:val="auto"/>
                <w:kern w:val="0"/>
                <w:sz w:val="24"/>
                <w:highlight w:val="none"/>
              </w:rPr>
              <w:t>。</w:t>
            </w:r>
          </w:p>
          <w:p>
            <w:pPr>
              <w:keepNext w:val="0"/>
              <w:keepLines w:val="0"/>
              <w:pageBreakBefore w:val="0"/>
              <w:widowControl w:val="0"/>
              <w:kinsoku/>
              <w:wordWrap/>
              <w:overflowPunct/>
              <w:bidi w:val="0"/>
              <w:spacing w:line="460" w:lineRule="exact"/>
              <w:ind w:firstLineChars="200" w:firstLine="480"/>
              <w:rPr>
                <w:rFonts w:hint="eastAsia"/>
                <w:b/>
                <w:bCs/>
                <w:color w:val="auto"/>
                <w:sz w:val="24"/>
                <w:highlight w:val="none"/>
              </w:rPr>
            </w:pPr>
            <w:r>
              <w:rPr>
                <w:rFonts w:hint="eastAsia"/>
                <w:b/>
                <w:bCs/>
                <w:color w:val="auto"/>
                <w:sz w:val="24"/>
                <w:highlight w:val="none"/>
              </w:rPr>
              <w:t>9、其他环境管理</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auto"/>
                <w:spacing w:val="0"/>
                <w:kern w:val="2"/>
                <w:sz w:val="24"/>
                <w:szCs w:val="24"/>
                <w:highlight w:val="none"/>
              </w:rPr>
            </w:pPr>
            <w:r>
              <w:rPr>
                <w:rFonts w:hint="eastAsia"/>
                <w:bCs w:val="0"/>
                <w:color w:val="auto"/>
                <w:spacing w:val="0"/>
                <w:kern w:val="2"/>
                <w:sz w:val="24"/>
                <w:szCs w:val="24"/>
                <w:highlight w:val="none"/>
              </w:rPr>
              <w:t>（1）排污许可证制度衔接</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auto"/>
                <w:spacing w:val="0"/>
                <w:kern w:val="2"/>
                <w:sz w:val="24"/>
                <w:szCs w:val="24"/>
                <w:highlight w:val="none"/>
              </w:rPr>
            </w:pPr>
            <w:r>
              <w:rPr>
                <w:rFonts w:hint="eastAsia"/>
                <w:bCs w:val="0"/>
                <w:color w:val="auto"/>
                <w:spacing w:val="0"/>
                <w:kern w:val="2"/>
                <w:sz w:val="24"/>
                <w:szCs w:val="24"/>
                <w:highlight w:val="none"/>
              </w:rPr>
              <w:t>依据《国务院办公厅关于印发</w:t>
            </w:r>
            <w:r>
              <w:rPr>
                <w:bCs w:val="0"/>
                <w:color w:val="auto"/>
                <w:spacing w:val="0"/>
                <w:kern w:val="2"/>
                <w:sz w:val="24"/>
                <w:szCs w:val="24"/>
                <w:highlight w:val="none"/>
              </w:rPr>
              <w:t>〈</w:t>
            </w:r>
            <w:r>
              <w:rPr>
                <w:rFonts w:hint="eastAsia"/>
                <w:bCs w:val="0"/>
                <w:color w:val="auto"/>
                <w:spacing w:val="0"/>
                <w:kern w:val="2"/>
                <w:sz w:val="24"/>
                <w:szCs w:val="24"/>
                <w:highlight w:val="none"/>
              </w:rPr>
              <w:t>控制污染物排放许可制度实施方案</w:t>
            </w:r>
            <w:r>
              <w:rPr>
                <w:bCs w:val="0"/>
                <w:color w:val="auto"/>
                <w:spacing w:val="0"/>
                <w:kern w:val="2"/>
                <w:sz w:val="24"/>
                <w:szCs w:val="24"/>
                <w:highlight w:val="none"/>
              </w:rPr>
              <w:t>〉</w:t>
            </w:r>
            <w:r>
              <w:rPr>
                <w:rFonts w:hint="eastAsia"/>
                <w:bCs w:val="0"/>
                <w:color w:val="auto"/>
                <w:spacing w:val="0"/>
                <w:kern w:val="2"/>
                <w:sz w:val="24"/>
                <w:szCs w:val="24"/>
                <w:highlight w:val="none"/>
              </w:rPr>
              <w:t>的通知》（国办发[2016]81号）中相关要求，环境影响评价制度是建设项目的环境准入门槛，排污许可制是企业单位在生产营运期排污的法律依据，必须做好充分衔接，实现从污染预防到污染治理和排放控制的全过程监管。新建项目必须在发生实际排污行为之前申领排污许可证，不得无证或不按证排污，环境影响评价文件及批复中与污染物排放相关的主要内容应当纳入排污许可证。</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eastAsia="宋体" w:hint="eastAsia"/>
                <w:bCs w:val="0"/>
                <w:color w:val="auto"/>
                <w:spacing w:val="0"/>
                <w:kern w:val="2"/>
                <w:sz w:val="24"/>
                <w:szCs w:val="24"/>
                <w:lang w:eastAsia="zh-CN"/>
                <w:highlight w:val="none"/>
              </w:rPr>
            </w:pPr>
            <w:r>
              <w:rPr>
                <w:rFonts w:hint="eastAsia"/>
                <w:bCs w:val="0"/>
                <w:color w:val="auto"/>
                <w:spacing w:val="0"/>
                <w:kern w:val="2"/>
                <w:sz w:val="24"/>
                <w:szCs w:val="24"/>
                <w:highlight w:val="none"/>
              </w:rPr>
              <w:t>根据《排污许可管理条例》（国务院令 2021年第736号）要求，依照法律规定实行排污许可管理的企业事业单位和其他生产经营者（以下称排污单位），应当依照本条例规定申请取得排污许可证；未取得排污许可证的，不得排放污染物。项目根据生态环境部部令第11号《固定污染源排污许可分类管理名录（2019年版）》的有关规定进行排污许可证的申领工作。</w:t>
            </w:r>
            <w:r>
              <w:rPr>
                <w:rFonts w:hint="eastAsia"/>
                <w:bCs w:val="0"/>
                <w:color w:val="auto"/>
                <w:spacing w:val="0"/>
                <w:kern w:val="2"/>
                <w:sz w:val="24"/>
                <w:szCs w:val="24"/>
                <w:lang w:eastAsia="zh-CN"/>
                <w:highlight w:val="none"/>
              </w:rPr>
              <w:t>经对照，项目属于“专业从事危险废物贮存、利用、处理、处置（含焚烧发电）的”，实行排污许可“重点管理”。</w:t>
            </w:r>
          </w:p>
          <w:p>
            <w:pPr>
              <w:keepNext w:val="0"/>
              <w:keepLines w:val="0"/>
              <w:pageBreakBefore w:val="0"/>
              <w:kinsoku/>
              <w:wordWrap/>
              <w:overflowPunct/>
              <w:bidi w:val="0"/>
              <w:spacing w:line="460" w:lineRule="exact"/>
              <w:ind w:firstLineChars="200" w:firstLine="480"/>
              <w:rPr>
                <w:color w:val="auto"/>
                <w:sz w:val="24"/>
                <w:highlight w:val="none"/>
              </w:rPr>
            </w:pPr>
            <w:r>
              <w:rPr>
                <w:rFonts w:hint="eastAsia"/>
                <w:color w:val="auto"/>
                <w:sz w:val="24"/>
                <w:highlight w:val="none"/>
              </w:rPr>
              <w:t>（2）排污口规范化管理</w:t>
            </w:r>
          </w:p>
          <w:p>
            <w:pPr>
              <w:pStyle w:val="21"/>
              <w:keepNext w:val="0"/>
              <w:keepLines w:val="0"/>
              <w:pageBreakBefore w:val="0"/>
              <w:kinsoku/>
              <w:wordWrap/>
              <w:overflowPunct/>
              <w:bidi w:val="0"/>
              <w:spacing w:before="0" w:after="0" w:line="460" w:lineRule="exact"/>
              <w:ind w:right="0" w:firstLineChars="200" w:firstLine="480"/>
              <w:rPr>
                <w:rFonts w:hint="eastAsia"/>
                <w:color w:val="auto"/>
                <w:kern w:val="2"/>
                <w:sz w:val="24"/>
                <w:szCs w:val="24"/>
                <w:highlight w:val="none"/>
              </w:rPr>
            </w:pPr>
            <w:r>
              <w:rPr>
                <w:rFonts w:hint="eastAsia"/>
                <w:color w:val="auto"/>
                <w:kern w:val="2"/>
                <w:sz w:val="24"/>
                <w:szCs w:val="24"/>
                <w:highlight w:val="none"/>
              </w:rPr>
              <w:t>排污口是项目投产后污染物进入环境、对环境产生影响的通道，强化排污口的管理是实施污染物总量控制的基础工作之一，也是区域环境管理逐步实现污染物排放科学化、定量化的重要手段。</w:t>
            </w:r>
          </w:p>
          <w:p>
            <w:pPr>
              <w:pStyle w:val="21"/>
              <w:keepNext w:val="0"/>
              <w:keepLines w:val="0"/>
              <w:pageBreakBefore w:val="0"/>
              <w:kinsoku/>
              <w:wordWrap/>
              <w:overflowPunct/>
              <w:bidi w:val="0"/>
              <w:spacing w:before="0" w:after="0" w:line="460" w:lineRule="exact"/>
              <w:ind w:right="0" w:firstLineChars="200" w:firstLine="480"/>
              <w:rPr>
                <w:color w:val="auto"/>
                <w:kern w:val="2"/>
                <w:sz w:val="24"/>
                <w:szCs w:val="24"/>
                <w:highlight w:val="none"/>
              </w:rPr>
            </w:pPr>
            <w:r>
              <w:rPr>
                <w:rFonts w:hint="eastAsia"/>
                <w:color w:val="auto"/>
                <w:kern w:val="2"/>
                <w:sz w:val="24"/>
                <w:szCs w:val="24"/>
                <w:highlight w:val="none"/>
              </w:rPr>
              <w:t>1）排污口标识</w:t>
            </w:r>
          </w:p>
          <w:p>
            <w:pPr>
              <w:pStyle w:val="21"/>
              <w:keepNext w:val="0"/>
              <w:keepLines w:val="0"/>
              <w:pageBreakBefore w:val="0"/>
              <w:kinsoku/>
              <w:wordWrap/>
              <w:overflowPunct/>
              <w:bidi w:val="0"/>
              <w:spacing w:before="0" w:after="0" w:line="460" w:lineRule="exact"/>
              <w:ind w:right="0" w:firstLineChars="200" w:firstLine="480"/>
              <w:rPr>
                <w:rFonts w:hint="eastAsia"/>
                <w:color w:val="auto"/>
                <w:kern w:val="2"/>
                <w:sz w:val="24"/>
                <w:szCs w:val="24"/>
                <w:highlight w:val="none"/>
              </w:rPr>
            </w:pPr>
            <w:r>
              <w:rPr>
                <w:rFonts w:hint="eastAsia"/>
                <w:color w:val="auto"/>
                <w:kern w:val="2"/>
                <w:sz w:val="24"/>
                <w:szCs w:val="24"/>
                <w:highlight w:val="none"/>
              </w:rPr>
              <w:t>污染物排放口应严格按照《环境保护图形标志 固体废物贮存（处置）场》（GB15562.2-1995）（含2023修改单）、《环境保护图形标志-固体废物贮存（处置）场》（GB15562.2-1995）中有关规定执行，在污水排放口、废气排放口、噪声排放源、固废堆场设置环境保护图形标志，便于加强对污染物排放口（源）的监督管理以及常规监测工作的进行。一般性污染物排放口或固体废气贮存、处置场设置提示性环境保护图形标志牌，排放对人体有严重危害的排污口和危废暂存库，设置警告性环境保护图形标志牌。标志牌应设在与之功能相应的醒目处，并保持清晰、完整。图形符号及说明见下：</w:t>
            </w:r>
          </w:p>
          <w:p>
            <w:pPr>
              <w:jc w:val="center"/>
              <w:rPr>
                <w:color w:val="auto"/>
                <w:highlight w:val="none"/>
              </w:rPr>
            </w:pPr>
            <w:r>
              <w:rPr>
                <w:rFonts w:hint="eastAsia"/>
                <w:b/>
                <w:bCs/>
                <w:snapToGrid w:val="0"/>
                <w:color w:val="auto"/>
                <w:kern w:val="0"/>
                <w:sz w:val="24"/>
                <w:lang w:eastAsia="zh-CN"/>
                <w:highlight w:val="none"/>
              </w:rPr>
              <w:t>表</w:t>
            </w:r>
            <w:r>
              <w:rPr>
                <w:rFonts w:hint="eastAsia"/>
                <w:b/>
                <w:bCs/>
                <w:snapToGrid w:val="0"/>
                <w:color w:val="auto"/>
                <w:kern w:val="0"/>
                <w:sz w:val="24"/>
                <w:highlight w:val="none"/>
              </w:rPr>
              <w:t>4-1</w:t>
            </w:r>
            <w:r>
              <w:rPr>
                <w:rFonts w:hint="eastAsia"/>
                <w:b/>
                <w:bCs/>
                <w:snapToGrid w:val="0"/>
                <w:color w:val="auto"/>
                <w:kern w:val="0"/>
                <w:sz w:val="24"/>
                <w:lang w:val="en-US" w:eastAsia="zh-CN"/>
                <w:highlight w:val="none"/>
              </w:rPr>
              <w:t>2</w:t>
            </w:r>
            <w:r>
              <w:rPr>
                <w:rFonts w:hint="eastAsia"/>
                <w:b/>
                <w:bCs/>
                <w:snapToGrid w:val="0"/>
                <w:color w:val="auto"/>
                <w:kern w:val="0"/>
                <w:sz w:val="24"/>
                <w:highlight w:val="none"/>
              </w:rPr>
              <w:t>环境保护图形标志-排放口（源）</w:t>
            </w:r>
          </w:p>
          <w:tbl>
            <w:tblPr>
              <w:jc w:val="center"/>
              <w:tblW w:w="4958"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2428"/>
              <w:gridCol w:w="3197"/>
              <w:gridCol w:w="3229"/>
            </w:tblGrid>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排放口</w:t>
                  </w:r>
                </w:p>
              </w:tc>
              <w:tc>
                <w:tcPr>
                  <w:tcW w:w="1805"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废气排放口</w:t>
                  </w:r>
                </w:p>
              </w:tc>
              <w:tc>
                <w:tcPr>
                  <w:tcW w:w="1823"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噪声排放源</w:t>
                  </w:r>
                </w:p>
              </w:tc>
            </w:tr>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提示标志图形</w:t>
                  </w:r>
                </w:p>
              </w:tc>
              <w:tc>
                <w:tcPr>
                  <w:tcW w:w="1805" w:type="pct"/>
                  <w:tcBorders>
                    <w:tl2br w:val="nil"/>
                    <w:tr2bl w:val="nil"/>
                  </w:tcBorders>
                  <w:vAlign w:val="center"/>
                </w:tcPr>
                <w:p>
                  <w:pPr>
                    <w:ind w:firstLine="128"/>
                    <w:jc w:val="center"/>
                    <w:rPr>
                      <w:color w:val="auto"/>
                      <w:szCs w:val="21"/>
                      <w:highlight w:val="none"/>
                    </w:rPr>
                  </w:pPr>
                  <w:r>
                    <w:rPr>
                      <w:color w:val="auto"/>
                      <w:szCs w:val="21"/>
                      <w:highlight w:val="none"/>
                    </w:rPr>
                    <w:drawing>
                      <wp:inline distT="0" distB="0" distL="114300" distR="114300">
                        <wp:extent cx="1111250" cy="780415"/>
                        <wp:effectExtent l="0" t="0" r="0" b="1"/>
                        <wp:docPr id="217" name="图片 10" descr="废气"/>
                        <wp:cNvGraphicFramePr>
                          <a:graphicFrameLocks noChangeAspect="1"/>
                        </wp:cNvGraphicFramePr>
                        <a:graphic>
                          <a:graphicData uri="http://schemas.openxmlformats.org/drawingml/2006/picture">
                            <pic:pic>
                              <pic:nvPicPr>
                                <pic:cNvPr id="232" name="图片 10 232"/>
                                <pic:cNvPicPr/>
                              </pic:nvPicPr>
                              <pic:blipFill>
                                <a:blip r:embed="rId63"/>
                                <a:stretch>
                                  <a:fillRect/>
                                </a:stretch>
                              </pic:blipFill>
                              <pic:spPr>
                                <a:xfrm rot="0">
                                  <a:off x="0" y="0"/>
                                  <a:ext cx="1111250" cy="780415"/>
                                </a:xfrm>
                                <a:prstGeom prst="rect"/>
                                <a:noFill/>
                                <a:ln cmpd="sng" cap="flat">
                                  <a:noFill/>
                                  <a:prstDash val="solid"/>
                                  <a:round/>
                                </a:ln>
                              </pic:spPr>
                            </pic:pic>
                          </a:graphicData>
                        </a:graphic>
                      </wp:inline>
                    </w:drawing>
                  </w:r>
                </w:p>
              </w:tc>
              <w:tc>
                <w:tcPr>
                  <w:tcW w:w="1823" w:type="pct"/>
                  <w:tcBorders>
                    <w:tl2br w:val="nil"/>
                    <w:tr2bl w:val="nil"/>
                  </w:tcBorders>
                  <w:vAlign w:val="center"/>
                </w:tcPr>
                <w:p>
                  <w:pPr>
                    <w:ind w:firstLine="113"/>
                    <w:jc w:val="center"/>
                    <w:rPr>
                      <w:color w:val="auto"/>
                      <w:szCs w:val="21"/>
                      <w:highlight w:val="none"/>
                    </w:rPr>
                  </w:pPr>
                  <w:r>
                    <w:rPr>
                      <w:color w:val="auto"/>
                      <w:szCs w:val="21"/>
                      <w:highlight w:val="none"/>
                    </w:rPr>
                    <w:drawing>
                      <wp:inline distT="0" distB="0" distL="114300" distR="114300">
                        <wp:extent cx="1180465" cy="744855"/>
                        <wp:effectExtent l="0" t="0" r="1" b="1"/>
                        <wp:docPr id="218" name="图片 11" descr="噪声"/>
                        <wp:cNvGraphicFramePr>
                          <a:graphicFrameLocks noChangeAspect="1"/>
                        </wp:cNvGraphicFramePr>
                        <a:graphic>
                          <a:graphicData uri="http://schemas.openxmlformats.org/drawingml/2006/picture">
                            <pic:pic>
                              <pic:nvPicPr>
                                <pic:cNvPr id="234" name="图片 11 234"/>
                                <pic:cNvPicPr/>
                              </pic:nvPicPr>
                              <pic:blipFill>
                                <a:blip r:embed="rId64"/>
                                <a:stretch>
                                  <a:fillRect/>
                                </a:stretch>
                              </pic:blipFill>
                              <pic:spPr>
                                <a:xfrm rot="0">
                                  <a:off x="0" y="0"/>
                                  <a:ext cx="1180465" cy="744855"/>
                                </a:xfrm>
                                <a:prstGeom prst="rect"/>
                                <a:noFill/>
                                <a:ln cmpd="sng" cap="flat">
                                  <a:noFill/>
                                  <a:prstDash val="solid"/>
                                  <a:round/>
                                </a:ln>
                              </pic:spPr>
                            </pic:pic>
                          </a:graphicData>
                        </a:graphic>
                      </wp:inline>
                    </w:drawing>
                  </w:r>
                </w:p>
              </w:tc>
            </w:tr>
            <w:tr>
              <w:trPr>
                <w:trHeight w:val="340"/>
              </w:trPr>
              <w:tc>
                <w:tcPr>
                  <w:tcW w:w="137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警告标志图形</w:t>
                  </w:r>
                </w:p>
              </w:tc>
              <w:tc>
                <w:tcPr>
                  <w:tcW w:w="1805" w:type="pct"/>
                  <w:tcBorders>
                    <w:tl2br w:val="nil"/>
                    <w:tr2bl w:val="nil"/>
                  </w:tcBorders>
                  <w:vAlign w:val="center"/>
                </w:tcPr>
                <w:p>
                  <w:pPr>
                    <w:ind w:firstLine="68"/>
                    <w:jc w:val="center"/>
                    <w:rPr>
                      <w:color w:val="auto"/>
                      <w:szCs w:val="21"/>
                      <w:highlight w:val="none"/>
                    </w:rPr>
                  </w:pPr>
                  <w:r>
                    <w:rPr>
                      <w:color w:val="auto"/>
                      <w:highlight w:val="none"/>
                    </w:rPr>
                    <w:drawing>
                      <wp:inline distT="0" distB="0" distL="114300" distR="114300">
                        <wp:extent cx="943610" cy="1335405"/>
                        <wp:effectExtent l="0" t="0" r="0" b="1"/>
                        <wp:docPr id="219" name="图片 13"/>
                        <wp:cNvGraphicFramePr>
                          <a:graphicFrameLocks noChangeAspect="1"/>
                        </wp:cNvGraphicFramePr>
                        <a:graphic>
                          <a:graphicData uri="http://schemas.openxmlformats.org/drawingml/2006/picture">
                            <pic:pic>
                              <pic:nvPicPr>
                                <pic:cNvPr id="236" name="图片 13 236"/>
                                <pic:cNvPicPr/>
                              </pic:nvPicPr>
                              <pic:blipFill>
                                <a:blip r:embed="rId65"/>
                                <a:stretch>
                                  <a:fillRect/>
                                </a:stretch>
                              </pic:blipFill>
                              <pic:spPr>
                                <a:xfrm rot="0">
                                  <a:off x="0" y="0"/>
                                  <a:ext cx="943610" cy="1335405"/>
                                </a:xfrm>
                                <a:prstGeom prst="rect"/>
                                <a:noFill/>
                                <a:ln cmpd="sng" cap="flat">
                                  <a:noFill/>
                                  <a:prstDash val="solid"/>
                                  <a:round/>
                                </a:ln>
                              </pic:spPr>
                            </pic:pic>
                          </a:graphicData>
                        </a:graphic>
                      </wp:inline>
                    </w:drawing>
                  </w:r>
                </w:p>
              </w:tc>
              <w:tc>
                <w:tcPr>
                  <w:tcW w:w="1823" w:type="pct"/>
                  <w:tcBorders>
                    <w:tl2br w:val="nil"/>
                    <w:tr2bl w:val="nil"/>
                  </w:tcBorders>
                  <w:vAlign w:val="center"/>
                </w:tcPr>
                <w:p>
                  <w:pPr>
                    <w:ind w:firstLine="67"/>
                    <w:jc w:val="center"/>
                    <w:rPr>
                      <w:color w:val="auto"/>
                      <w:szCs w:val="21"/>
                      <w:highlight w:val="none"/>
                    </w:rPr>
                  </w:pPr>
                  <w:r>
                    <w:rPr>
                      <w:color w:val="auto"/>
                      <w:highlight w:val="none"/>
                    </w:rPr>
                    <w:drawing>
                      <wp:inline distT="0" distB="0" distL="114300" distR="114300">
                        <wp:extent cx="889635" cy="1275080"/>
                        <wp:effectExtent l="0" t="0" r="0" b="0"/>
                        <wp:docPr id="220" name="图片 14"/>
                        <wp:cNvGraphicFramePr>
                          <a:graphicFrameLocks noChangeAspect="1"/>
                        </wp:cNvGraphicFramePr>
                        <a:graphic>
                          <a:graphicData uri="http://schemas.openxmlformats.org/drawingml/2006/picture">
                            <pic:pic>
                              <pic:nvPicPr>
                                <pic:cNvPr id="238" name="图片 14 238"/>
                                <pic:cNvPicPr/>
                              </pic:nvPicPr>
                              <pic:blipFill>
                                <a:blip r:embed="rId66"/>
                                <a:stretch>
                                  <a:fillRect/>
                                </a:stretch>
                              </pic:blipFill>
                              <pic:spPr>
                                <a:xfrm rot="0">
                                  <a:off x="0" y="0"/>
                                  <a:ext cx="889635" cy="1275080"/>
                                </a:xfrm>
                                <a:prstGeom prst="rect"/>
                                <a:noFill/>
                                <a:ln cmpd="sng" cap="flat">
                                  <a:noFill/>
                                  <a:prstDash val="solid"/>
                                  <a:round/>
                                </a:ln>
                              </pic:spPr>
                            </pic:pic>
                          </a:graphicData>
                        </a:graphic>
                      </wp:inline>
                    </w:drawing>
                  </w:r>
                </w:p>
              </w:tc>
            </w:tr>
          </w:tbl>
          <w:p>
            <w:pPr>
              <w:pStyle w:val="80"/>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auto"/>
                <w:highlight w:val="none"/>
              </w:rPr>
            </w:pPr>
            <w:r>
              <w:rPr>
                <w:color w:val="auto"/>
                <w:spacing w:val="-1"/>
                <w:highlight w:val="none"/>
              </w:rPr>
              <w:t>环境保护图形标志</w:t>
            </w:r>
            <w:r>
              <w:rPr>
                <w:rFonts w:eastAsia="Times New Roman"/>
                <w:color w:val="auto"/>
                <w:spacing w:val="-1"/>
                <w:highlight w:val="none"/>
              </w:rPr>
              <w:t>--</w:t>
            </w:r>
            <w:r>
              <w:rPr>
                <w:color w:val="auto"/>
                <w:spacing w:val="-1"/>
                <w:highlight w:val="none"/>
              </w:rPr>
              <w:t>排放口（源）的形状及颜色见下表</w:t>
            </w:r>
            <w:r>
              <w:rPr>
                <w:rFonts w:hint="eastAsia"/>
                <w:color w:val="auto"/>
                <w:spacing w:val="-1"/>
                <w:highlight w:val="none"/>
              </w:rPr>
              <w:t>：</w:t>
            </w:r>
          </w:p>
          <w:p>
            <w:pPr>
              <w:jc w:val="center"/>
              <w:rPr>
                <w:b/>
                <w:bCs/>
                <w:snapToGrid w:val="0"/>
                <w:color w:val="auto"/>
                <w:kern w:val="0"/>
                <w:sz w:val="24"/>
                <w:highlight w:val="none"/>
              </w:rPr>
            </w:pPr>
            <w:r>
              <w:rPr>
                <w:rFonts w:hint="eastAsia"/>
                <w:b/>
                <w:bCs/>
                <w:snapToGrid w:val="0"/>
                <w:color w:val="auto"/>
                <w:kern w:val="0"/>
                <w:sz w:val="24"/>
                <w:lang w:eastAsia="zh-CN"/>
                <w:highlight w:val="none"/>
              </w:rPr>
              <w:t>表</w:t>
            </w:r>
            <w:r>
              <w:rPr>
                <w:rFonts w:hint="eastAsia"/>
                <w:b/>
                <w:bCs/>
                <w:snapToGrid w:val="0"/>
                <w:color w:val="auto"/>
                <w:kern w:val="0"/>
                <w:sz w:val="24"/>
                <w:highlight w:val="none"/>
              </w:rPr>
              <w:t>4-</w:t>
            </w:r>
            <w:r>
              <w:rPr>
                <w:rFonts w:hint="eastAsia"/>
                <w:b/>
                <w:bCs/>
                <w:snapToGrid w:val="0"/>
                <w:color w:val="auto"/>
                <w:kern w:val="0"/>
                <w:sz w:val="24"/>
                <w:lang w:val="en-US" w:eastAsia="zh-CN"/>
                <w:highlight w:val="none"/>
              </w:rPr>
              <w:t>13</w:t>
            </w:r>
            <w:r>
              <w:rPr>
                <w:rFonts w:hint="eastAsia"/>
                <w:b/>
                <w:bCs/>
                <w:snapToGrid w:val="0"/>
                <w:color w:val="auto"/>
                <w:kern w:val="0"/>
                <w:sz w:val="24"/>
                <w:highlight w:val="none"/>
              </w:rPr>
              <w:t xml:space="preserve">  环境保护图形标志-排放口（源）</w:t>
            </w:r>
          </w:p>
          <w:tbl>
            <w:tblPr>
              <w:jc w:val="center"/>
              <w:tblW w:w="4997" w:type="pct"/>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1592"/>
              <w:gridCol w:w="2189"/>
              <w:gridCol w:w="2572"/>
              <w:gridCol w:w="2571"/>
            </w:tblGrid>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形状</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背景颜色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图形颜色</w:t>
                  </w:r>
                </w:p>
              </w:tc>
            </w:tr>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警告标志</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三角形边框</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黄色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黑色</w:t>
                  </w:r>
                </w:p>
              </w:tc>
            </w:tr>
            <w:tr>
              <w:trPr>
                <w:trHeight w:val="340"/>
              </w:trPr>
              <w:tc>
                <w:tcPr>
                  <w:tcW w:w="892"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提示标志</w:t>
                  </w:r>
                </w:p>
              </w:tc>
              <w:tc>
                <w:tcPr>
                  <w:tcW w:w="1226"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正方形边框</w:t>
                  </w:r>
                </w:p>
              </w:tc>
              <w:tc>
                <w:tcPr>
                  <w:tcW w:w="1441"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绿色</w:t>
                  </w:r>
                </w:p>
              </w:tc>
              <w:tc>
                <w:tcPr>
                  <w:tcW w:w="1440" w:type="pct"/>
                  <w:tcBorders>
                    <w:tl2br w:val="nil"/>
                    <w:tr2bl w:val="nil"/>
                  </w:tcBorders>
                  <w:vAlign w:val="center"/>
                </w:tcPr>
                <w:p>
                  <w:pPr>
                    <w:pStyle w:val="69"/>
                    <w:jc w:val="center"/>
                    <w:rPr>
                      <w:rFonts w:ascii="Times New Roman" w:cs="Times New Roman" w:hAnsi="Times New Roman"/>
                      <w:color w:val="auto"/>
                      <w:sz w:val="21"/>
                      <w:szCs w:val="21"/>
                      <w:lang w:eastAsia="zh-CN"/>
                      <w:highlight w:val="none"/>
                    </w:rPr>
                  </w:pPr>
                  <w:r>
                    <w:rPr>
                      <w:rFonts w:ascii="Times New Roman" w:cs="Times New Roman" w:hAnsi="Times New Roman" w:hint="eastAsia"/>
                      <w:color w:val="auto"/>
                      <w:sz w:val="21"/>
                      <w:szCs w:val="21"/>
                      <w:lang w:eastAsia="zh-CN"/>
                      <w:highlight w:val="none"/>
                    </w:rPr>
                    <w:t>白色</w:t>
                  </w:r>
                </w:p>
              </w:tc>
            </w:tr>
          </w:tbl>
          <w:p>
            <w:pPr>
              <w:pStyle w:val="21"/>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color w:val="auto"/>
                <w:spacing w:val="-1"/>
                <w:kern w:val="2"/>
                <w:sz w:val="24"/>
                <w:szCs w:val="24"/>
                <w:highlight w:val="none"/>
              </w:rPr>
            </w:pPr>
            <w:r>
              <w:rPr>
                <w:color w:val="auto"/>
                <w:spacing w:val="-1"/>
                <w:kern w:val="2"/>
                <w:sz w:val="24"/>
                <w:szCs w:val="24"/>
                <w:highlight w:val="none"/>
              </w:rPr>
              <w:t>2）污染物排放口的环境保护图形标志牌应设置在靠近采样点的醒目处，标志牌设置高度为其上缘距地面约2m。</w:t>
            </w:r>
          </w:p>
          <w:p>
            <w:pPr>
              <w:pStyle w:val="21"/>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rFonts w:ascii="宋体" w:cs="宋体" w:hAnsi="宋体" w:hint="eastAsia"/>
                <w:color w:val="auto"/>
                <w:sz w:val="24"/>
                <w:highlight w:val="none"/>
              </w:rPr>
            </w:pPr>
            <w:r>
              <w:rPr>
                <w:color w:val="auto"/>
                <w:spacing w:val="-1"/>
                <w:kern w:val="2"/>
                <w:sz w:val="24"/>
                <w:szCs w:val="24"/>
                <w:highlight w:val="none"/>
              </w:rPr>
              <w:t>3）采样点设置应符合</w:t>
            </w:r>
            <w:r>
              <w:rPr>
                <w:rFonts w:hint="eastAsia"/>
                <w:color w:val="auto"/>
                <w:spacing w:val="-1"/>
                <w:kern w:val="2"/>
                <w:sz w:val="24"/>
                <w:szCs w:val="24"/>
                <w:highlight w:val="none"/>
              </w:rPr>
              <w:t>《排污单位污染物排放口监测点位设置技术规范》（HJ 1405—2024）</w:t>
            </w:r>
            <w:r>
              <w:rPr>
                <w:color w:val="auto"/>
                <w:spacing w:val="-1"/>
                <w:kern w:val="2"/>
                <w:sz w:val="24"/>
                <w:szCs w:val="24"/>
                <w:highlight w:val="none"/>
              </w:rPr>
              <w:t>的规定，</w:t>
            </w:r>
            <w:r>
              <w:rPr>
                <w:rFonts w:hint="eastAsia"/>
                <w:color w:val="auto"/>
                <w:spacing w:val="-1"/>
                <w:kern w:val="2"/>
                <w:sz w:val="24"/>
                <w:szCs w:val="24"/>
                <w:highlight w:val="none"/>
              </w:rPr>
              <w:t>应在废气排放口设置科学、规范、便于采样监测的监测点位，避开对测试人员操作有危险的场所。在流场均匀稳定的监测断面规范开设监测孔，设置工作平台、梯架及相应安全防护设施等</w:t>
            </w:r>
            <w:r>
              <w:rPr>
                <w:color w:val="auto"/>
                <w:spacing w:val="-1"/>
                <w:kern w:val="2"/>
                <w:sz w:val="24"/>
                <w:szCs w:val="24"/>
                <w:highlight w:val="none"/>
              </w:rPr>
              <w:t>。</w:t>
            </w:r>
            <w:r>
              <w:rPr>
                <w:rFonts w:hint="eastAsia"/>
                <w:color w:val="auto"/>
                <w:spacing w:val="-1"/>
                <w:kern w:val="2"/>
                <w:sz w:val="24"/>
                <w:szCs w:val="24"/>
                <w:highlight w:val="none"/>
              </w:rPr>
              <w:t>手工监测断面设置位置应满足，其按照气流方向的上游距离弯头、阀门、变径管≥4 倍烟道直径，其下游距离上述部件≥2倍烟道直径</w:t>
            </w:r>
            <w:r>
              <w:rPr>
                <w:color w:val="auto"/>
                <w:spacing w:val="-1"/>
                <w:kern w:val="2"/>
                <w:sz w:val="24"/>
                <w:szCs w:val="24"/>
                <w:highlight w:val="none"/>
              </w:rPr>
              <w:t>。在手工监测断面处设置手工监测孔，其内径应满足相关污染物和排气参数的监测需要，一般应≥80 mm。监测断面距离坠落高度基准面2 m以上时，应配套建设永久、安全、便于采样和测试的工作平台。除在水平烟道顶部开设监测孔外，工作平台宜设置在监测孔的正下方1.2 m~1.3 m处。</w:t>
            </w:r>
          </w:p>
        </w:tc>
      </w:tr>
    </w:tbl>
    <w:p>
      <w:pPr>
        <w:pStyle w:val="35"/>
        <w:jc w:val="center"/>
        <w:outlineLvl w:val="0"/>
        <w:rPr>
          <w:rFonts w:ascii="黑体" w:eastAsia="黑体" w:hAnsi="黑体" w:hint="eastAsia"/>
          <w:snapToGrid w:val="0"/>
          <w:color w:val="auto"/>
          <w:sz w:val="30"/>
          <w:szCs w:val="30"/>
          <w:highlight w:val="none"/>
        </w:rPr>
      </w:pPr>
      <w:bookmarkStart w:id="55" w:name="_Toc30281"/>
      <w:bookmarkStart w:id="56" w:name="_Toc2913"/>
      <w:bookmarkStart w:id="57" w:name="_Toc1860"/>
      <w:bookmarkStart w:id="58" w:name="_Toc18085"/>
      <w:bookmarkStart w:id="59" w:name="_Toc30322"/>
      <w:r>
        <w:rPr>
          <w:rFonts w:ascii="黑体" w:eastAsia="黑体" w:hAnsi="黑体" w:hint="eastAsia"/>
          <w:snapToGrid w:val="0"/>
          <w:color w:val="auto"/>
          <w:sz w:val="30"/>
          <w:szCs w:val="30"/>
          <w:highlight w:val="none"/>
        </w:rPr>
        <w:t>五、</w:t>
      </w:r>
      <w:bookmarkStart w:id="60" w:name="_Hlk54167917"/>
      <w:r>
        <w:rPr>
          <w:rFonts w:ascii="黑体" w:eastAsia="黑体" w:hAnsi="黑体" w:hint="eastAsia"/>
          <w:snapToGrid w:val="0"/>
          <w:color w:val="auto"/>
          <w:sz w:val="30"/>
          <w:szCs w:val="30"/>
          <w:highlight w:val="none"/>
        </w:rPr>
        <w:t>环境保护措施监督检查清单</w:t>
      </w:r>
      <w:bookmarkEnd w:id="55"/>
      <w:bookmarkEnd w:id="56"/>
      <w:bookmarkEnd w:id="57"/>
      <w:bookmarkEnd w:id="58"/>
      <w:bookmarkEnd w:id="59"/>
      <w:bookmarkEnd w:id="60"/>
    </w:p>
    <w:tbl>
      <w:tblPr>
        <w:jc w:val="center"/>
        <w:tblW w:w="4992"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08"/>
        <w:gridCol w:w="1698"/>
        <w:gridCol w:w="1640"/>
        <w:gridCol w:w="2629"/>
        <w:gridCol w:w="2725"/>
      </w:tblGrid>
      <w:tr>
        <w:trPr>
          <w:trHeight w:val="340"/>
        </w:trPr>
        <w:tc>
          <w:tcPr>
            <w:tcW w:w="473" w:type="pct"/>
            <w:tcBorders>
              <w:tl2br w:val="single" w:sz="4" w:space="0" w:color="auto"/>
            </w:tcBorders>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lang w:val="en-US" w:eastAsia="zh-CN"/>
                <w:highlight w:val="none"/>
              </w:rPr>
              <w:t xml:space="preserve">  </w:t>
            </w:r>
            <w:r>
              <w:rPr>
                <w:rFonts w:ascii="宋体" w:cs="宋体" w:hAnsi="宋体" w:hint="eastAsia"/>
                <w:color w:val="auto"/>
                <w:sz w:val="24"/>
                <w:highlight w:val="none"/>
              </w:rPr>
              <w:t>内容</w:t>
            </w:r>
          </w:p>
          <w:p>
            <w:pPr>
              <w:adjustRightInd w:val="0"/>
              <w:snapToGrid w:val="0"/>
              <w:jc w:val="both"/>
              <w:rPr>
                <w:rFonts w:ascii="宋体" w:cs="宋体" w:hAnsi="宋体" w:hint="eastAsia"/>
                <w:color w:val="auto"/>
                <w:sz w:val="24"/>
                <w:highlight w:val="none"/>
              </w:rPr>
            </w:pPr>
            <w:r>
              <w:rPr>
                <w:rFonts w:ascii="宋体" w:cs="宋体" w:hAnsi="宋体" w:hint="eastAsia"/>
                <w:color w:val="auto"/>
                <w:sz w:val="24"/>
                <w:highlight w:val="none"/>
              </w:rPr>
              <w:t>要素</w:t>
            </w:r>
          </w:p>
        </w:tc>
        <w:tc>
          <w:tcPr>
            <w:tcW w:w="884"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排放口</w:t>
            </w:r>
            <w:r>
              <w:rPr>
                <w:rFonts w:ascii="宋体" w:cs="宋体" w:hAnsi="宋体" w:hint="eastAsia"/>
                <w:color w:val="auto"/>
                <w:sz w:val="24"/>
                <w:lang w:eastAsia="zh-CN"/>
                <w:highlight w:val="none"/>
              </w:rPr>
              <w:t>（</w:t>
            </w:r>
            <w:r>
              <w:rPr>
                <w:rFonts w:ascii="宋体" w:cs="宋体" w:hAnsi="宋体" w:hint="eastAsia"/>
                <w:color w:val="auto"/>
                <w:sz w:val="24"/>
                <w:highlight w:val="none"/>
              </w:rPr>
              <w:t>编号、</w:t>
            </w:r>
          </w:p>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名称）/污染源</w:t>
            </w:r>
          </w:p>
        </w:tc>
        <w:tc>
          <w:tcPr>
            <w:tcW w:w="854"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污染物项目</w:t>
            </w:r>
          </w:p>
        </w:tc>
        <w:tc>
          <w:tcPr>
            <w:tcW w:w="1369"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环境保护措施</w:t>
            </w:r>
          </w:p>
        </w:tc>
        <w:tc>
          <w:tcPr>
            <w:tcW w:w="1418" w:type="pc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执行标准</w:t>
            </w:r>
          </w:p>
        </w:tc>
      </w:tr>
      <w:tr>
        <w:trPr>
          <w:trHeight w:val="1214"/>
        </w:trPr>
        <w:tc>
          <w:tcPr>
            <w:tcW w:w="473" w:type="pct"/>
            <w:vMerge w:val="restart"/>
            <w:tcMar>
              <w:left w:w="11" w:type="dxa"/>
              <w:right w:w="11" w:type="dxa"/>
            </w:tcMar>
            <w:vAlign w:val="center"/>
          </w:tcPr>
          <w:p>
            <w:pPr>
              <w:adjustRightInd w:val="0"/>
              <w:snapToGrid w:val="0"/>
              <w:jc w:val="center"/>
              <w:rPr>
                <w:rFonts w:ascii="宋体" w:cs="宋体" w:hAnsi="宋体" w:hint="eastAsia"/>
                <w:color w:val="auto"/>
                <w:sz w:val="24"/>
                <w:highlight w:val="none"/>
              </w:rPr>
            </w:pPr>
            <w:r>
              <w:rPr>
                <w:rFonts w:ascii="宋体" w:cs="宋体" w:hAnsi="宋体" w:hint="eastAsia"/>
                <w:color w:val="auto"/>
                <w:sz w:val="24"/>
                <w:highlight w:val="none"/>
              </w:rPr>
              <w:t>大气环境</w:t>
            </w:r>
          </w:p>
        </w:tc>
        <w:tc>
          <w:tcPr>
            <w:tcW w:w="884" w:type="pct"/>
            <w:tcBorders>
              <w:left w:val="single" w:sz="4" w:space="0" w:color="auto"/>
            </w:tcBorders>
            <w:tcMar>
              <w:left w:w="11" w:type="dxa"/>
              <w:right w:w="11" w:type="dxa"/>
            </w:tcMar>
            <w:vAlign w:val="center"/>
          </w:tcPr>
          <w:p>
            <w:pPr>
              <w:adjustRightInd w:val="0"/>
              <w:snapToGrid w:val="0"/>
              <w:jc w:val="center"/>
              <w:rPr>
                <w:rFonts w:ascii="宋体" w:cs="宋体" w:hAnsi="宋体"/>
                <w:color w:val="auto"/>
                <w:sz w:val="24"/>
                <w:lang w:val="en-US" w:eastAsia="zh-CN"/>
                <w:highlight w:val="none"/>
              </w:rPr>
            </w:pPr>
            <w:r>
              <w:rPr>
                <w:rFonts w:ascii="Times New Roman" w:cs="Times New Roman" w:hAnsi="Times New Roman" w:hint="eastAsia"/>
                <w:color w:val="auto"/>
                <w:sz w:val="24"/>
                <w:lang w:val="en-US" w:eastAsia="zh-CN"/>
                <w:highlight w:val="none"/>
              </w:rPr>
              <w:t>DA001</w:t>
            </w:r>
          </w:p>
        </w:tc>
        <w:tc>
          <w:tcPr>
            <w:tcW w:w="854" w:type="pct"/>
            <w:tcBorders>
              <w:left w:val="single" w:sz="4" w:space="0" w:color="auto"/>
            </w:tcBorders>
            <w:tcMar>
              <w:left w:w="11" w:type="dxa"/>
              <w:right w:w="11" w:type="dxa"/>
            </w:tcMar>
            <w:vAlign w:val="center"/>
          </w:tcPr>
          <w:p>
            <w:pPr>
              <w:widowControl/>
              <w:adjustRightInd w:val="0"/>
              <w:snapToGrid w:val="0"/>
              <w:jc w:val="center"/>
              <w:rPr>
                <w:rFonts w:eastAsia="宋体" w:hint="eastAsia"/>
                <w:bCs/>
                <w:color w:val="auto"/>
                <w:kern w:val="0"/>
                <w:sz w:val="24"/>
                <w:lang w:eastAsia="zh-CN"/>
                <w:highlight w:val="none"/>
              </w:rPr>
            </w:pPr>
            <w:r>
              <w:rPr>
                <w:rFonts w:hint="eastAsia"/>
                <w:bCs/>
                <w:color w:val="auto"/>
                <w:kern w:val="0"/>
                <w:sz w:val="24"/>
                <w:lang w:eastAsia="zh-CN"/>
                <w:highlight w:val="none"/>
              </w:rPr>
              <w:t>硫酸雾</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负压</w:t>
            </w:r>
            <w:r>
              <w:rPr>
                <w:rFonts w:cs="Times New Roman" w:hint="eastAsia"/>
                <w:color w:val="auto"/>
                <w:kern w:val="2"/>
                <w:sz w:val="24"/>
                <w:szCs w:val="24"/>
                <w:lang w:val="en-US" w:eastAsia="zh-CN" w:bidi="ar-SA"/>
                <w:highlight w:val="none"/>
              </w:rPr>
              <w:t>收集</w:t>
            </w:r>
            <w:r>
              <w:rPr>
                <w:rFonts w:ascii="Times New Roman" w:eastAsia="宋体" w:cs="Times New Roman" w:hAnsi="Times New Roman" w:hint="eastAsia"/>
                <w:color w:val="auto"/>
                <w:kern w:val="2"/>
                <w:sz w:val="24"/>
                <w:szCs w:val="24"/>
                <w:lang w:val="en-US" w:eastAsia="zh-CN" w:bidi="ar-SA"/>
                <w:highlight w:val="none"/>
              </w:rPr>
              <w:t>+碱液喷淋设施处理+15m排气筒</w:t>
            </w:r>
          </w:p>
        </w:tc>
        <w:tc>
          <w:tcPr>
            <w:tcW w:w="1418" w:type="pct"/>
            <w:vMerge w:val="restar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《大气污染物综合排放标准》（GB19297-1996）</w:t>
            </w:r>
            <w:r>
              <w:rPr>
                <w:rFonts w:cs="Times New Roman" w:hint="eastAsia"/>
                <w:color w:val="auto"/>
                <w:kern w:val="2"/>
                <w:sz w:val="24"/>
                <w:szCs w:val="24"/>
                <w:lang w:val="en-US" w:eastAsia="zh-CN" w:bidi="ar-SA"/>
                <w:highlight w:val="none"/>
              </w:rPr>
              <w:t>表2</w:t>
            </w:r>
            <w:r>
              <w:rPr>
                <w:rFonts w:ascii="Times New Roman" w:eastAsia="宋体" w:cs="Times New Roman" w:hAnsi="Times New Roman" w:hint="eastAsia"/>
                <w:color w:val="auto"/>
                <w:kern w:val="2"/>
                <w:sz w:val="24"/>
                <w:szCs w:val="24"/>
                <w:lang w:val="en-US" w:eastAsia="zh-CN" w:bidi="ar-SA"/>
                <w:highlight w:val="none"/>
              </w:rPr>
              <w:t>排放要求</w:t>
            </w:r>
            <w:r>
              <w:rPr>
                <w:rFonts w:cs="Times New Roman" w:hint="eastAsia"/>
                <w:color w:val="auto"/>
                <w:kern w:val="2"/>
                <w:sz w:val="24"/>
                <w:szCs w:val="24"/>
                <w:lang w:val="en-US" w:eastAsia="zh-CN" w:bidi="ar-SA"/>
                <w:highlight w:val="none"/>
              </w:rPr>
              <w:t>；同时参考《电池工业污染物排放标准》（GB 30484-2013）执行</w:t>
            </w:r>
          </w:p>
        </w:tc>
      </w:tr>
      <w:tr>
        <w:trPr>
          <w:trHeight w:val="1115"/>
        </w:trPr>
        <w:tc>
          <w:tcPr>
            <w:tcW w:w="473" w:type="pct"/>
            <w:vMerge/>
            <w:tcMar>
              <w:left w:w="11" w:type="dxa"/>
              <w:right w:w="11" w:type="dxa"/>
            </w:tcMar>
            <w:vAlign w:val="center"/>
          </w:tcPr>
          <w:p/>
        </w:tc>
        <w:tc>
          <w:tcPr>
            <w:tcW w:w="884" w:type="pct"/>
            <w:tcBorders>
              <w:left w:val="single" w:sz="4" w:space="0" w:color="auto"/>
            </w:tcBorders>
            <w:tcMar>
              <w:left w:w="11" w:type="dxa"/>
              <w:right w:w="11" w:type="dxa"/>
            </w:tcMar>
            <w:vAlign w:val="center"/>
          </w:tcPr>
          <w:p>
            <w:pPr>
              <w:widowControl/>
              <w:adjustRightInd w:val="0"/>
              <w:snapToGrid w:val="0"/>
              <w:jc w:val="center"/>
              <w:rPr>
                <w:rFonts w:ascii="宋体" w:cs="宋体" w:hAnsi="宋体" w:hint="eastAsia"/>
                <w:color w:val="auto"/>
                <w:sz w:val="24"/>
                <w:lang w:val="en-US" w:eastAsia="zh-CN"/>
                <w:highlight w:val="none"/>
              </w:rPr>
            </w:pPr>
            <w:r>
              <w:rPr>
                <w:rFonts w:ascii="宋体" w:cs="宋体" w:hAnsi="宋体" w:hint="eastAsia"/>
                <w:color w:val="auto"/>
                <w:sz w:val="24"/>
                <w:lang w:val="en-US" w:eastAsia="zh-CN"/>
                <w:highlight w:val="none"/>
              </w:rPr>
              <w:t>厂界</w:t>
            </w:r>
          </w:p>
        </w:tc>
        <w:tc>
          <w:tcPr>
            <w:tcW w:w="854" w:type="pct"/>
            <w:tcBorders>
              <w:left w:val="single" w:sz="4" w:space="0" w:color="auto"/>
            </w:tcBorders>
            <w:tcMar>
              <w:left w:w="11" w:type="dxa"/>
              <w:right w:w="11" w:type="dxa"/>
            </w:tcMar>
            <w:vAlign w:val="center"/>
          </w:tcPr>
          <w:p>
            <w:pPr>
              <w:widowControl/>
              <w:adjustRightInd w:val="0"/>
              <w:snapToGrid w:val="0"/>
              <w:jc w:val="center"/>
              <w:rPr>
                <w:rFonts w:hint="eastAsia"/>
                <w:color w:val="auto"/>
                <w:sz w:val="24"/>
                <w:lang w:val="en-US" w:eastAsia="zh-CN"/>
                <w:highlight w:val="none"/>
              </w:rPr>
            </w:pPr>
            <w:r>
              <w:rPr>
                <w:rFonts w:hint="eastAsia"/>
                <w:color w:val="auto"/>
                <w:sz w:val="24"/>
                <w:lang w:val="en-US" w:eastAsia="zh-CN"/>
                <w:highlight w:val="none"/>
              </w:rPr>
              <w:t>硫酸雾</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en-US" w:eastAsia="zh-CN" w:bidi="ar-SA"/>
                <w:highlight w:val="none"/>
              </w:rPr>
            </w:pPr>
            <w:r>
              <w:rPr>
                <w:rFonts w:cs="Times New Roman" w:hint="eastAsia"/>
                <w:color w:val="auto"/>
                <w:kern w:val="2"/>
                <w:sz w:val="24"/>
                <w:szCs w:val="24"/>
                <w:lang w:val="en-US" w:eastAsia="zh-CN" w:bidi="ar-SA"/>
                <w:highlight w:val="none"/>
              </w:rPr>
              <w:t>无组织</w:t>
            </w:r>
          </w:p>
        </w:tc>
        <w:tc>
          <w:tcPr>
            <w:tcW w:w="1418" w:type="pct"/>
            <w:vMerge/>
            <w:tcBorders>
              <w:left w:val="single" w:sz="4" w:space="0" w:color="auto"/>
            </w:tcBorders>
            <w:tcMar>
              <w:left w:w="11" w:type="dxa"/>
              <w:right w:w="11" w:type="dxa"/>
            </w:tcMar>
            <w:vAlign w:val="center"/>
          </w:tcPr>
          <w:p/>
        </w:tc>
      </w:tr>
      <w:tr>
        <w:trPr>
          <w:trHeight w:val="2194"/>
        </w:trPr>
        <w:tc>
          <w:tcPr>
            <w:tcW w:w="473" w:type="pct"/>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地表水环境</w:t>
            </w:r>
          </w:p>
        </w:tc>
        <w:tc>
          <w:tcPr>
            <w:tcW w:w="884" w:type="pct"/>
            <w:tcBorders>
              <w:left w:val="single" w:sz="4" w:space="0" w:color="auto"/>
            </w:tcBorders>
            <w:tcMar>
              <w:left w:w="11" w:type="dxa"/>
              <w:right w:w="11" w:type="dxa"/>
            </w:tcMar>
            <w:vAlign w:val="center"/>
          </w:tcPr>
          <w:p>
            <w:pPr>
              <w:pStyle w:val="16"/>
              <w:spacing w:line="240" w:lineRule="auto"/>
              <w:ind w:firstLineChars="0" w:firstLine="0"/>
              <w:jc w:val="center"/>
              <w:rPr>
                <w:rFonts w:ascii="宋体" w:eastAsia="宋体" w:cs="宋体" w:hAnsi="宋体"/>
                <w:color w:val="auto"/>
                <w:kern w:val="2"/>
                <w:sz w:val="24"/>
                <w:szCs w:val="24"/>
                <w:lang w:val="en-US" w:eastAsia="zh-CN" w:bidi="ar-SA"/>
                <w:highlight w:val="none"/>
              </w:rPr>
            </w:pPr>
            <w:r>
              <w:rPr>
                <w:rFonts w:ascii="宋体" w:eastAsia="宋体" w:cs="宋体" w:hAnsi="宋体"/>
                <w:color w:val="auto"/>
                <w:kern w:val="2"/>
                <w:sz w:val="24"/>
                <w:szCs w:val="24"/>
                <w:lang w:val="en-US" w:eastAsia="zh-CN" w:bidi="ar-SA"/>
                <w:highlight w:val="none"/>
              </w:rPr>
              <w:t>生活污水</w:t>
            </w:r>
          </w:p>
        </w:tc>
        <w:tc>
          <w:tcPr>
            <w:tcW w:w="854" w:type="pct"/>
            <w:tcBorders>
              <w:left w:val="single" w:sz="4" w:space="0" w:color="auto"/>
            </w:tcBorders>
            <w:tcMar>
              <w:left w:w="11" w:type="dxa"/>
              <w:right w:w="11" w:type="dxa"/>
            </w:tcMar>
            <w:vAlign w:val="center"/>
          </w:tcPr>
          <w:p>
            <w:pPr>
              <w:widowControl/>
              <w:adjustRightInd w:val="0"/>
              <w:snapToGrid w:val="0"/>
              <w:jc w:val="cente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lang w:val="en-US" w:eastAsia="zh-CN" w:bidi="ar-SA"/>
                <w:highlight w:val="none"/>
              </w:rPr>
            </w:pPr>
            <w:r>
              <w:rPr>
                <w:rFonts w:hint="eastAsia"/>
                <w:color w:val="auto"/>
                <w:sz w:val="24"/>
                <w:szCs w:val="24"/>
                <w:lang w:val="en-US" w:eastAsia="zh-CN"/>
                <w:highlight w:val="none"/>
              </w:rPr>
              <w:t>pH、</w:t>
            </w:r>
            <w: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lang w:val="en-US" w:eastAsia="zh-CN" w:bidi="ar-SA"/>
                <w:highlight w:val="none"/>
              </w:rPr>
              <w:t>COD、氨氮、SS、BOD</w:t>
            </w:r>
            <w:r>
              <w:rPr>
                <w:rFonts w:ascii="Times New Roman" w:eastAsia="Segoe UI" w:cs="Times New Roman" w:hAnsi="Times New Roman" w:hint="eastAsia"/>
                <w:b w:val="0"/>
                <w:bCs w:val="0"/>
                <w:i w:val="0"/>
                <w:iCs w:val="0"/>
                <w:caps w:val="0"/>
                <w:smallCaps w:val="0"/>
                <w:color w:val="auto"/>
                <w:spacing w:val="0"/>
                <w:kern w:val="0"/>
                <w:sz w:val="24"/>
                <w:szCs w:val="24"/>
                <w:shd w:val="clear" w:color="auto" w:fill="FFFFFF"/>
                <w:vertAlign w:val="subscript"/>
                <w:lang w:val="en-US" w:eastAsia="zh-CN" w:bidi="ar-SA"/>
                <w:highlight w:val="none"/>
              </w:rPr>
              <w:t>5</w:t>
            </w:r>
          </w:p>
        </w:tc>
        <w:tc>
          <w:tcPr>
            <w:tcW w:w="1369"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zh-CN" w:eastAsia="zh-CN" w:bidi="ar-SA"/>
                <w:highlight w:val="none"/>
              </w:rPr>
            </w:pPr>
            <w:r>
              <w:rPr>
                <w:rFonts w:ascii="Times New Roman" w:eastAsia="宋体" w:cs="Times New Roman" w:hAnsi="Times New Roman" w:hint="eastAsia"/>
                <w:color w:val="auto"/>
                <w:kern w:val="2"/>
                <w:sz w:val="24"/>
                <w:szCs w:val="24"/>
                <w:lang w:val="zh-CN" w:eastAsia="zh-CN" w:bidi="ar-SA"/>
                <w:highlight w:val="none"/>
              </w:rPr>
              <w:t>生活污水依托河北泽豪环保新材料科技有限公司化粪池处理后，定期清掏，不外排</w:t>
            </w:r>
          </w:p>
        </w:tc>
        <w:tc>
          <w:tcPr>
            <w:tcW w:w="1418"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auto"/>
                <w:kern w:val="2"/>
                <w:sz w:val="24"/>
                <w:szCs w:val="24"/>
                <w:lang w:val="zh-CN" w:eastAsia="zh-CN" w:bidi="ar-SA"/>
                <w:highlight w:val="none"/>
              </w:rPr>
            </w:pPr>
            <w:r>
              <w:rPr>
                <w:rFonts w:hint="eastAsia"/>
                <w:color w:val="auto"/>
                <w:sz w:val="24"/>
                <w:lang w:val="zh-CN"/>
                <w:highlight w:val="none"/>
              </w:rPr>
              <w:t>/</w:t>
            </w:r>
          </w:p>
        </w:tc>
      </w:tr>
      <w:tr>
        <w:trPr>
          <w:trHeight w:val="1619"/>
        </w:trPr>
        <w:tc>
          <w:tcPr>
            <w:tcW w:w="473"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声环境</w:t>
            </w:r>
          </w:p>
        </w:tc>
        <w:tc>
          <w:tcPr>
            <w:tcW w:w="884"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设备噪声</w:t>
            </w:r>
          </w:p>
        </w:tc>
        <w:tc>
          <w:tcPr>
            <w:tcW w:w="854" w:type="pct"/>
            <w:tcBorders>
              <w:bottom w:val="single" w:sz="4" w:space="0" w:color="auto"/>
            </w:tcBorders>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Leq（A）</w:t>
            </w:r>
          </w:p>
        </w:tc>
        <w:tc>
          <w:tcPr>
            <w:tcW w:w="1369" w:type="pct"/>
            <w:tcBorders>
              <w:bottom w:val="single" w:sz="4" w:space="0" w:color="auto"/>
            </w:tcBorders>
            <w:tcMar>
              <w:left w:w="11" w:type="dxa"/>
              <w:right w:w="11" w:type="dxa"/>
            </w:tcMar>
            <w:vAlign w:val="center"/>
          </w:tcPr>
          <w:p>
            <w:pPr>
              <w:widowControl/>
              <w:adjustRightInd w:val="0"/>
              <w:snapToGrid w:val="0"/>
              <w:jc w:val="center"/>
              <w:rPr>
                <w:bCs/>
                <w:color w:val="auto"/>
                <w:kern w:val="0"/>
                <w:sz w:val="24"/>
                <w:highlight w:val="none"/>
              </w:rPr>
            </w:pPr>
            <w:r>
              <w:rPr>
                <w:rFonts w:hint="eastAsia"/>
                <w:bCs/>
                <w:color w:val="auto"/>
                <w:kern w:val="0"/>
                <w:sz w:val="24"/>
                <w:lang w:val="zh-CN"/>
                <w:highlight w:val="none"/>
              </w:rPr>
              <w:t>选用低噪声设备，采取基础减振、隔声、距离衰减等措施</w:t>
            </w:r>
          </w:p>
        </w:tc>
        <w:tc>
          <w:tcPr>
            <w:tcW w:w="1418"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《工业企业厂界环境噪声排放标准》（GB12348-2008）3类</w:t>
            </w:r>
          </w:p>
        </w:tc>
      </w:tr>
      <w:tr>
        <w:trPr>
          <w:trHeight w:val="1176"/>
        </w:trPr>
        <w:tc>
          <w:tcPr>
            <w:tcW w:w="473" w:type="pct"/>
            <w:tcBorders>
              <w:bottom w:val="single" w:sz="4" w:space="0" w:color="auto"/>
            </w:tcBorders>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电磁辐射</w:t>
            </w:r>
          </w:p>
        </w:tc>
        <w:tc>
          <w:tcPr>
            <w:tcW w:w="4526" w:type="pct"/>
            <w:gridSpan w:val="4"/>
            <w:tcBorders>
              <w:bottom w:val="single" w:sz="4" w:space="0" w:color="auto"/>
            </w:tcBorders>
            <w:tcMar>
              <w:left w:w="11" w:type="dxa"/>
              <w:right w:w="11" w:type="dxa"/>
            </w:tcMar>
            <w:vAlign w:val="center"/>
          </w:tcPr>
          <w:p>
            <w:pPr>
              <w:adjustRightInd w:val="0"/>
              <w:snapToGrid w:val="0"/>
              <w:jc w:val="center"/>
              <w:rPr>
                <w:rFonts w:ascii="宋体" w:cs="宋体" w:hAnsi="宋体" w:hint="eastAsia"/>
                <w:color w:val="auto"/>
                <w:kern w:val="0"/>
                <w:sz w:val="24"/>
                <w:highlight w:val="none"/>
              </w:rPr>
            </w:pPr>
            <w:r>
              <w:rPr>
                <w:rFonts w:hint="eastAsia"/>
                <w:color w:val="auto"/>
                <w:sz w:val="24"/>
                <w:lang w:val="zh-CN"/>
                <w:highlight w:val="none"/>
              </w:rPr>
              <w:t>/</w:t>
            </w:r>
          </w:p>
        </w:tc>
      </w:tr>
      <w:tr>
        <w:trPr>
          <w:trHeight w:val="2493"/>
        </w:trPr>
        <w:tc>
          <w:tcPr>
            <w:tcW w:w="473" w:type="pct"/>
            <w:tcMar>
              <w:left w:w="11" w:type="dxa"/>
              <w:right w:w="11" w:type="dxa"/>
            </w:tcMar>
            <w:vAlign w:val="center"/>
          </w:tcPr>
          <w:p>
            <w:pPr>
              <w:adjustRightInd w:val="0"/>
              <w:snapToGrid w:val="0"/>
              <w:jc w:val="center"/>
              <w:rPr>
                <w:color w:val="auto"/>
                <w:sz w:val="24"/>
                <w:highlight w:val="none"/>
              </w:rPr>
            </w:pPr>
            <w:r>
              <w:rPr>
                <w:rFonts w:hint="eastAsia"/>
                <w:color w:val="auto"/>
                <w:sz w:val="24"/>
                <w:highlight w:val="none"/>
              </w:rPr>
              <w:t>固体废物</w:t>
            </w:r>
          </w:p>
        </w:tc>
        <w:tc>
          <w:tcPr>
            <w:tcW w:w="4526" w:type="pct"/>
            <w:gridSpan w:val="4"/>
            <w:tcBorders>
              <w:left w:val="single" w:sz="4" w:space="0" w:color="auto"/>
            </w:tcBorders>
            <w:tcMar>
              <w:left w:w="11" w:type="dxa"/>
              <w:right w:w="11" w:type="dxa"/>
            </w:tcMar>
            <w:vAlign w:val="center"/>
          </w:tcPr>
          <w:p>
            <w:pPr>
              <w:rPr>
                <w:rFonts w:ascii="Times New Roman" w:eastAsia="宋体" w:cs="Times New Roman" w:hAnsi="Times New Roman"/>
                <w:bCs/>
                <w:color w:val="auto"/>
                <w:kern w:val="0"/>
                <w:sz w:val="24"/>
                <w:lang w:val="en-US" w:eastAsia="zh-CN"/>
                <w:highlight w:val="none"/>
              </w:rPr>
            </w:pPr>
            <w:r>
              <w:rPr>
                <w:rFonts w:ascii="Times New Roman" w:eastAsia="宋体" w:cs="Times New Roman" w:hAnsi="Times New Roman" w:hint="eastAsia"/>
                <w:bCs/>
                <w:color w:val="auto"/>
                <w:kern w:val="0"/>
                <w:sz w:val="24"/>
                <w:highlight w:val="none"/>
              </w:rPr>
              <w:t>项目运营期产生的固废主要</w:t>
            </w:r>
            <w:r>
              <w:rPr>
                <w:rFonts w:ascii="Times New Roman" w:eastAsia="宋体" w:cs="Times New Roman" w:hAnsi="Times New Roman" w:hint="eastAsia"/>
                <w:bCs/>
                <w:color w:val="auto"/>
                <w:kern w:val="0"/>
                <w:sz w:val="24"/>
                <w:lang w:val="en-US" w:eastAsia="zh-CN"/>
                <w:highlight w:val="none"/>
              </w:rPr>
              <w:t>为危险废物和生活垃圾。</w:t>
            </w:r>
          </w:p>
          <w:p>
            <w:pPr>
              <w:rPr>
                <w:rFonts w:ascii="Times New Roman" w:eastAsia="宋体" w:cs="Times New Roman" w:hAnsi="Times New Roman"/>
                <w:bCs/>
                <w:color w:val="auto"/>
                <w:kern w:val="0"/>
                <w:sz w:val="24"/>
                <w:lang w:val="en-US" w:eastAsia="zh-CN"/>
                <w:highlight w:val="none"/>
              </w:rPr>
            </w:pPr>
            <w:r>
              <w:rPr>
                <w:rFonts w:ascii="Times New Roman" w:eastAsia="宋体" w:cs="Times New Roman" w:hAnsi="Times New Roman" w:hint="eastAsia"/>
                <w:bCs/>
                <w:color w:val="auto"/>
                <w:kern w:val="0"/>
                <w:sz w:val="24"/>
                <w:lang w:val="en-US" w:eastAsia="zh-CN"/>
                <w:highlight w:val="none"/>
              </w:rPr>
              <w:t>①危险废物</w:t>
            </w:r>
          </w:p>
          <w:p>
            <w:pPr>
              <w:rPr>
                <w:rFonts w:ascii="Times New Roman" w:eastAsia="宋体" w:cs="Times New Roman" w:hAnsi="Times New Roman" w:hint="eastAsia"/>
                <w:bCs/>
                <w:color w:val="auto"/>
                <w:kern w:val="0"/>
                <w:sz w:val="24"/>
                <w:lang w:eastAsia="zh-CN"/>
                <w:highlight w:val="none"/>
              </w:rPr>
            </w:pPr>
            <w:r>
              <w:rPr>
                <w:rFonts w:ascii="Times New Roman" w:eastAsia="宋体" w:cs="Times New Roman" w:hAnsi="Times New Roman" w:hint="eastAsia"/>
                <w:bCs/>
                <w:color w:val="auto"/>
                <w:kern w:val="0"/>
                <w:sz w:val="24"/>
                <w:lang w:val="en-US" w:eastAsia="zh-CN"/>
                <w:highlight w:val="none"/>
              </w:rPr>
              <w:t>项目危险废物主要为</w:t>
            </w:r>
            <w:r>
              <w:rPr>
                <w:rFonts w:cs="Times New Roman" w:hint="eastAsia"/>
                <w:bCs/>
                <w:color w:val="auto"/>
                <w:kern w:val="0"/>
                <w:sz w:val="24"/>
                <w:lang w:val="en-US" w:eastAsia="zh-CN"/>
                <w:highlight w:val="none"/>
              </w:rPr>
              <w:t>废电解液、废碱液、废防护用具、废抹布</w:t>
            </w:r>
            <w:r>
              <w:rPr>
                <w:rFonts w:ascii="Times New Roman" w:eastAsia="宋体" w:cs="Times New Roman" w:hAnsi="Times New Roman" w:hint="eastAsia"/>
                <w:bCs/>
                <w:color w:val="auto"/>
                <w:kern w:val="0"/>
                <w:sz w:val="24"/>
                <w:lang w:val="zh-CN"/>
                <w:highlight w:val="none"/>
              </w:rPr>
              <w:t>，</w:t>
            </w:r>
            <w:r>
              <w:rPr>
                <w:rFonts w:ascii="Times New Roman" w:eastAsia="宋体" w:cs="Times New Roman" w:hAnsi="Times New Roman" w:hint="eastAsia"/>
                <w:bCs/>
                <w:color w:val="auto"/>
                <w:kern w:val="0"/>
                <w:sz w:val="24"/>
                <w:highlight w:val="none"/>
              </w:rPr>
              <w:t>分类</w:t>
            </w:r>
            <w:r>
              <w:rPr>
                <w:rFonts w:ascii="Times New Roman" w:eastAsia="宋体" w:cs="Times New Roman" w:hAnsi="Times New Roman" w:hint="eastAsia"/>
                <w:bCs/>
                <w:color w:val="auto"/>
                <w:kern w:val="0"/>
                <w:sz w:val="24"/>
                <w:lang w:val="zh-CN"/>
                <w:highlight w:val="none"/>
              </w:rPr>
              <w:t>收集后暂存于</w:t>
            </w:r>
            <w:r>
              <w:rPr>
                <w:rFonts w:cs="Times New Roman" w:hint="eastAsia"/>
                <w:bCs/>
                <w:color w:val="auto"/>
                <w:kern w:val="0"/>
                <w:sz w:val="24"/>
                <w:lang w:val="zh-CN"/>
                <w:highlight w:val="none"/>
              </w:rPr>
              <w:t>危废暂存间</w:t>
            </w:r>
            <w:r>
              <w:rPr>
                <w:rFonts w:ascii="Times New Roman" w:eastAsia="宋体" w:cs="Times New Roman" w:hAnsi="Times New Roman" w:hint="eastAsia"/>
                <w:bCs/>
                <w:color w:val="auto"/>
                <w:kern w:val="0"/>
                <w:sz w:val="24"/>
                <w:lang w:val="zh-CN"/>
                <w:highlight w:val="none"/>
              </w:rPr>
              <w:t>，定期交由有资质的单位处理</w:t>
            </w:r>
            <w:r>
              <w:rPr>
                <w:rFonts w:ascii="Times New Roman" w:eastAsia="宋体" w:cs="Times New Roman" w:hAnsi="Times New Roman" w:hint="eastAsia"/>
                <w:bCs/>
                <w:color w:val="auto"/>
                <w:kern w:val="0"/>
                <w:sz w:val="24"/>
                <w:lang w:eastAsia="zh-CN"/>
                <w:highlight w:val="none"/>
              </w:rPr>
              <w:t>。</w:t>
            </w:r>
          </w:p>
          <w:p>
            <w:pPr>
              <w:rPr>
                <w:rFonts w:ascii="Times New Roman" w:eastAsia="宋体" w:cs="Times New Roman" w:hAnsi="Times New Roman"/>
                <w:bCs/>
                <w:color w:val="auto"/>
                <w:kern w:val="0"/>
                <w:sz w:val="24"/>
                <w:lang w:val="en-US" w:eastAsia="zh-CN"/>
                <w:highlight w:val="none"/>
              </w:rPr>
            </w:pPr>
            <w:r>
              <w:rPr>
                <w:rFonts w:cs="Times New Roman" w:hint="eastAsia"/>
                <w:bCs/>
                <w:color w:val="auto"/>
                <w:kern w:val="0"/>
                <w:sz w:val="24"/>
                <w:lang w:val="en-US" w:eastAsia="zh-CN"/>
                <w:highlight w:val="none"/>
              </w:rPr>
              <w:t>②</w:t>
            </w:r>
            <w:r>
              <w:rPr>
                <w:rFonts w:ascii="Times New Roman" w:eastAsia="宋体" w:cs="Times New Roman" w:hAnsi="Times New Roman" w:hint="eastAsia"/>
                <w:bCs/>
                <w:color w:val="auto"/>
                <w:kern w:val="0"/>
                <w:sz w:val="24"/>
                <w:lang w:val="en-US" w:eastAsia="zh-CN"/>
                <w:highlight w:val="none"/>
              </w:rPr>
              <w:t>生活垃圾</w:t>
            </w:r>
          </w:p>
          <w:p>
            <w:pPr>
              <w:rPr>
                <w:color w:val="auto"/>
                <w:sz w:val="24"/>
                <w:highlight w:val="none"/>
              </w:rPr>
            </w:pPr>
            <w:r>
              <w:rPr>
                <w:rFonts w:ascii="Times New Roman" w:eastAsia="宋体" w:cs="Times New Roman" w:hAnsi="Times New Roman" w:hint="eastAsia"/>
                <w:bCs/>
                <w:color w:val="auto"/>
                <w:kern w:val="0"/>
                <w:sz w:val="24"/>
                <w:highlight w:val="none"/>
              </w:rPr>
              <w:t>职工生活垃圾由环卫部门统一清运处理</w:t>
            </w:r>
            <w:r>
              <w:rPr>
                <w:rFonts w:ascii="Times New Roman" w:eastAsia="宋体" w:cs="Times New Roman" w:hAnsi="Times New Roman" w:hint="eastAsia"/>
                <w:bCs/>
                <w:color w:val="auto"/>
                <w:kern w:val="0"/>
                <w:sz w:val="24"/>
                <w:lang w:val="zh-CN"/>
                <w:highlight w:val="none"/>
              </w:rPr>
              <w:t>。</w:t>
            </w:r>
          </w:p>
        </w:tc>
      </w:tr>
      <w:tr>
        <w:trPr>
          <w:trHeight w:val="2914"/>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土壤及地下水污染防治措施</w:t>
            </w:r>
          </w:p>
        </w:tc>
        <w:tc>
          <w:tcPr>
            <w:tcW w:w="4526" w:type="pct"/>
            <w:gridSpan w:val="4"/>
            <w:tcBorders>
              <w:left w:val="single" w:sz="4" w:space="0" w:color="auto"/>
            </w:tcBorders>
            <w:tcMar>
              <w:left w:w="11" w:type="dxa"/>
              <w:right w:w="11" w:type="dxa"/>
            </w:tcMar>
            <w:vAlign w:val="center"/>
          </w:tcPr>
          <w:p>
            <w:pPr>
              <w:rPr>
                <w:rFonts w:ascii="宋体" w:eastAsia="宋体" w:cs="宋体" w:hAnsi="宋体" w:hint="eastAsia"/>
                <w:color w:val="auto"/>
                <w:kern w:val="0"/>
                <w:sz w:val="24"/>
                <w:lang w:val="en-US" w:eastAsia="zh-CN"/>
                <w:highlight w:val="none"/>
              </w:rPr>
            </w:pPr>
            <w:r>
              <w:rPr>
                <w:rFonts w:ascii="Times New Roman" w:eastAsia="宋体" w:cs="Times New Roman" w:hAnsi="Times New Roman" w:hint="eastAsia"/>
                <w:bCs/>
                <w:color w:val="auto"/>
                <w:kern w:val="0"/>
                <w:sz w:val="24"/>
                <w:lang w:val="en-US" w:eastAsia="zh-CN"/>
                <w:highlight w:val="none"/>
              </w:rPr>
              <w:t>项目租赁闲置</w:t>
            </w:r>
            <w:r>
              <w:rPr>
                <w:rFonts w:cs="Times New Roman" w:hint="eastAsia"/>
                <w:bCs/>
                <w:color w:val="auto"/>
                <w:kern w:val="0"/>
                <w:sz w:val="24"/>
                <w:lang w:val="en-US" w:eastAsia="zh-CN"/>
                <w:highlight w:val="none"/>
              </w:rPr>
              <w:t>库房改造后用于废电池贮存</w:t>
            </w:r>
            <w:r>
              <w:rPr>
                <w:rFonts w:ascii="Times New Roman" w:eastAsia="宋体" w:cs="Times New Roman" w:hAnsi="Times New Roman" w:hint="eastAsia"/>
                <w:bCs/>
                <w:color w:val="auto"/>
                <w:kern w:val="0"/>
                <w:sz w:val="24"/>
                <w:lang w:val="en-US" w:eastAsia="zh-CN"/>
                <w:highlight w:val="none"/>
              </w:rPr>
              <w:t>，</w:t>
            </w:r>
            <w:r>
              <w:rPr>
                <w:rFonts w:cs="Times New Roman" w:hint="eastAsia"/>
                <w:bCs/>
                <w:color w:val="auto"/>
                <w:kern w:val="0"/>
                <w:sz w:val="24"/>
                <w:lang w:val="en-US" w:eastAsia="zh-CN"/>
                <w:highlight w:val="none"/>
              </w:rPr>
              <w:t>库房整体均</w:t>
            </w:r>
            <w:r>
              <w:rPr>
                <w:rFonts w:ascii="Times New Roman" w:eastAsia="宋体" w:cs="Times New Roman" w:hAnsi="Times New Roman" w:hint="eastAsia"/>
                <w:bCs/>
                <w:color w:val="auto"/>
                <w:kern w:val="0"/>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rFonts w:ascii="Times New Roman" w:eastAsia="宋体" w:cs="Times New Roman" w:hAnsi="Times New Roman" w:hint="eastAsia"/>
                <w:bCs/>
                <w:color w:val="auto"/>
                <w:kern w:val="0"/>
                <w:sz w:val="24"/>
                <w:highlight w:val="none"/>
              </w:rPr>
              <w:t>。重点防渗区按</w:t>
            </w:r>
            <w:r>
              <w:rPr>
                <w:rFonts w:ascii="Times New Roman" w:eastAsia="宋体" w:cs="Times New Roman" w:hAnsi="Times New Roman" w:hint="eastAsia"/>
                <w:bCs/>
                <w:color w:val="auto"/>
                <w:kern w:val="0"/>
                <w:sz w:val="24"/>
                <w:lang w:val="zh-CN"/>
                <w:highlight w:val="none"/>
              </w:rPr>
              <w:t>《危险废物贮存污染控制标准》（GB 18597-2023）</w:t>
            </w:r>
            <w:r>
              <w:rPr>
                <w:rFonts w:ascii="Times New Roman" w:eastAsia="宋体" w:cs="Times New Roman" w:hAnsi="Times New Roman" w:hint="eastAsia"/>
                <w:bCs/>
                <w:color w:val="auto"/>
                <w:kern w:val="0"/>
                <w:sz w:val="24"/>
                <w:highlight w:val="none"/>
              </w:rPr>
              <w:t>中相关标准进行防渗处理</w:t>
            </w:r>
            <w:r>
              <w:rPr>
                <w:rFonts w:cs="Times New Roman" w:hint="eastAsia"/>
                <w:bCs/>
                <w:color w:val="auto"/>
                <w:kern w:val="0"/>
                <w:sz w:val="24"/>
                <w:lang w:eastAsia="zh-CN"/>
                <w:highlight w:val="none"/>
              </w:rPr>
              <w:t>。</w:t>
            </w:r>
            <w:r>
              <w:rPr>
                <w:rFonts w:ascii="Times New Roman" w:eastAsia="宋体" w:cs="Times New Roman" w:hAnsi="Times New Roman" w:hint="eastAsia"/>
                <w:bCs/>
                <w:color w:val="auto"/>
                <w:kern w:val="0"/>
                <w:sz w:val="24"/>
                <w:highlight w:val="none"/>
              </w:rPr>
              <w:t>地面防渗层为</w:t>
            </w:r>
            <w:r>
              <w:rPr>
                <w:rFonts w:cs="Times New Roman" w:hint="eastAsia"/>
                <w:bCs/>
                <w:color w:val="auto"/>
                <w:kern w:val="0"/>
                <w:sz w:val="24"/>
                <w:lang w:eastAsia="zh-CN"/>
                <w:highlight w:val="none"/>
              </w:rPr>
              <w:t>环氧防腐自流平，地面处理后基层采用环氧树脂涂装，检查后铺设砂浆层和腻子层，地面平整后进行环氧面层施工，</w:t>
            </w:r>
            <w:r>
              <w:rPr>
                <w:rFonts w:ascii="Times New Roman" w:eastAsia="宋体" w:cs="Times New Roman" w:hAnsi="Times New Roman" w:hint="eastAsia"/>
                <w:bCs/>
                <w:color w:val="auto"/>
                <w:kern w:val="0"/>
                <w:sz w:val="24"/>
                <w:highlight w:val="none"/>
              </w:rPr>
              <w:t>渗透系数不大于10</w:t>
            </w:r>
            <w:r>
              <w:rPr>
                <w:rFonts w:ascii="Times New Roman" w:eastAsia="宋体" w:cs="Times New Roman" w:hAnsi="Times New Roman" w:hint="eastAsia"/>
                <w:bCs/>
                <w:color w:val="auto"/>
                <w:kern w:val="0"/>
                <w:sz w:val="24"/>
                <w:vertAlign w:val="superscript"/>
                <w:highlight w:val="none"/>
              </w:rPr>
              <w:t>-10</w:t>
            </w:r>
            <w:r>
              <w:rPr>
                <w:rFonts w:ascii="Times New Roman" w:eastAsia="宋体" w:cs="Times New Roman" w:hAnsi="Times New Roman" w:hint="eastAsia"/>
                <w:bCs/>
                <w:color w:val="auto"/>
                <w:kern w:val="0"/>
                <w:sz w:val="24"/>
                <w:highlight w:val="none"/>
              </w:rPr>
              <w:t>cm/s。</w:t>
            </w:r>
          </w:p>
        </w:tc>
      </w:tr>
      <w:tr>
        <w:trPr>
          <w:trHeight w:val="900"/>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生态保护措施</w:t>
            </w:r>
          </w:p>
        </w:tc>
        <w:tc>
          <w:tcPr>
            <w:tcW w:w="4526" w:type="pct"/>
            <w:gridSpan w:val="4"/>
            <w:tcBorders>
              <w:left w:val="single" w:sz="4" w:space="0" w:color="auto"/>
            </w:tcBorders>
            <w:tcMar>
              <w:left w:w="11" w:type="dxa"/>
              <w:right w:w="11" w:type="dxa"/>
            </w:tcMar>
            <w:vAlign w:val="center"/>
          </w:tcPr>
          <w:p>
            <w:pPr>
              <w:keepNext w:val="0"/>
              <w:keepLines w:val="0"/>
              <w:pageBreakBefore w:val="0"/>
              <w:widowControl w:val="0"/>
              <w:kinsoku/>
              <w:wordWrap/>
              <w:overflowPunct/>
              <w:topLinePunct w:val="0"/>
              <w:autoSpaceDE/>
              <w:autoSpaceDN/>
              <w:bidi w:val="0"/>
              <w:snapToGrid/>
              <w:spacing w:line="240" w:lineRule="auto"/>
              <w:jc w:val="center"/>
              <w:rPr>
                <w:bCs/>
                <w:color w:val="auto"/>
                <w:sz w:val="24"/>
                <w:highlight w:val="none"/>
              </w:rPr>
            </w:pPr>
            <w:r>
              <w:rPr>
                <w:rFonts w:hint="eastAsia"/>
                <w:bCs/>
                <w:color w:val="auto"/>
                <w:sz w:val="24"/>
                <w:highlight w:val="none"/>
              </w:rPr>
              <w:t>/</w:t>
            </w:r>
          </w:p>
        </w:tc>
      </w:tr>
      <w:tr>
        <w:trPr>
          <w:trHeight w:val="5584"/>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环境风险防范措施</w:t>
            </w:r>
          </w:p>
        </w:tc>
        <w:tc>
          <w:tcPr>
            <w:tcW w:w="4526" w:type="pct"/>
            <w:gridSpan w:val="4"/>
            <w:tcBorders>
              <w:left w:val="single" w:sz="4" w:space="0" w:color="auto"/>
            </w:tcBorders>
            <w:tcMar>
              <w:left w:w="11" w:type="dxa"/>
              <w:right w:w="11" w:type="dxa"/>
            </w:tcMar>
            <w:vAlign w:val="center"/>
          </w:tcPr>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 xml:space="preserve">为使环境风险减小到最低限度，必须加强劳动安全卫生管理，制定完备、有效的风险防范措施，尽可能降低环境风险事故发生的概率。 </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①危废暂存间必须由专人管理，按</w:t>
            </w:r>
            <w:r>
              <w:rPr>
                <w:rFonts w:ascii="Times New Roman" w:eastAsia="宋体" w:cs="Times New Roman" w:hAnsi="Times New Roman" w:hint="eastAsia"/>
                <w:bCs/>
                <w:color w:val="auto"/>
                <w:kern w:val="0"/>
                <w:sz w:val="24"/>
                <w:lang w:val="zh-CN"/>
                <w:highlight w:val="none"/>
              </w:rPr>
              <w:t>《危险废物贮存污染控制标准》（GB 18597-2023）</w:t>
            </w:r>
            <w:r>
              <w:rPr>
                <w:rFonts w:ascii="Times New Roman" w:eastAsia="宋体" w:cs="Times New Roman" w:hAnsi="Times New Roman" w:hint="eastAsia"/>
                <w:bCs/>
                <w:color w:val="auto"/>
                <w:kern w:val="0"/>
                <w:sz w:val="24"/>
                <w:highlight w:val="none"/>
              </w:rPr>
              <w:t>规定</w:t>
            </w:r>
            <w:r>
              <w:rPr>
                <w:rFonts w:ascii="Times New Roman" w:eastAsia="宋体" w:cs="Times New Roman" w:hAnsi="Times New Roman" w:hint="eastAsia"/>
                <w:bCs/>
                <w:color w:val="auto"/>
                <w:kern w:val="0"/>
                <w:sz w:val="24"/>
                <w:lang w:val="en-US" w:eastAsia="zh-CN"/>
                <w:highlight w:val="none"/>
              </w:rPr>
              <w:t>进行贮存，</w:t>
            </w:r>
            <w:r>
              <w:rPr>
                <w:rFonts w:ascii="Times New Roman" w:eastAsia="宋体" w:cs="Times New Roman" w:hAnsi="Times New Roman" w:hint="eastAsia"/>
                <w:bCs/>
                <w:color w:val="auto"/>
                <w:kern w:val="0"/>
                <w:sz w:val="24"/>
                <w:highlight w:val="none"/>
              </w:rPr>
              <w:t>防止无关人员进入。</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 xml:space="preserve">②在建筑物设计中严格按照《建筑设计防火规范》等规定，并按照《建筑灭火器配置设计规范》等要求配置相应的消防器材。 </w:t>
            </w:r>
          </w:p>
          <w:p>
            <w:pPr>
              <w:rPr>
                <w:rFonts w:ascii="Times New Roman" w:eastAsia="宋体" w:cs="Times New Roman" w:hAnsi="Times New Roman" w:hint="eastAsia"/>
                <w:bCs/>
                <w:color w:val="auto"/>
                <w:kern w:val="0"/>
                <w:sz w:val="24"/>
                <w:highlight w:val="none"/>
              </w:rPr>
            </w:pPr>
            <w:r>
              <w:rPr>
                <w:rFonts w:ascii="Times New Roman" w:eastAsia="宋体" w:cs="Times New Roman" w:hAnsi="Times New Roman" w:hint="eastAsia"/>
                <w:bCs/>
                <w:color w:val="auto"/>
                <w:kern w:val="0"/>
                <w:sz w:val="24"/>
                <w:highlight w:val="none"/>
              </w:rPr>
              <w:t>③项目</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、破损电池贮存区、危废间等</w:t>
            </w:r>
            <w:r>
              <w:rPr>
                <w:rFonts w:ascii="Times New Roman" w:eastAsia="宋体" w:cs="Times New Roman" w:hAnsi="Times New Roman" w:hint="eastAsia"/>
                <w:bCs/>
                <w:color w:val="auto"/>
                <w:kern w:val="0"/>
                <w:sz w:val="24"/>
                <w:highlight w:val="none"/>
              </w:rPr>
              <w:t>周围做好围堰</w:t>
            </w:r>
            <w:r>
              <w:rPr>
                <w:rFonts w:cs="Times New Roman" w:hint="eastAsia"/>
                <w:bCs/>
                <w:color w:val="auto"/>
                <w:kern w:val="0"/>
                <w:sz w:val="24"/>
                <w:lang w:eastAsia="zh-CN"/>
                <w:highlight w:val="none"/>
              </w:rPr>
              <w:t>，</w:t>
            </w:r>
            <w:r>
              <w:rPr>
                <w:rFonts w:ascii="Times New Roman" w:eastAsia="宋体" w:cs="Times New Roman" w:hAnsi="Times New Roman" w:hint="eastAsia"/>
                <w:bCs/>
                <w:color w:val="auto"/>
                <w:kern w:val="0"/>
                <w:sz w:val="24"/>
                <w:highlight w:val="none"/>
              </w:rPr>
              <w:t>地面做好防渗，设置堵截渗漏的裙脚。</w:t>
            </w:r>
            <w:r>
              <w:rPr>
                <w:rFonts w:cs="Times New Roman" w:hint="eastAsia"/>
                <w:bCs/>
                <w:color w:val="auto"/>
                <w:kern w:val="0"/>
                <w:sz w:val="24"/>
                <w:lang w:val="en-US" w:eastAsia="zh-CN"/>
                <w:highlight w:val="none"/>
              </w:rPr>
              <w:t>库房整体均</w:t>
            </w:r>
            <w:r>
              <w:rPr>
                <w:rFonts w:ascii="Times New Roman" w:eastAsia="宋体" w:cs="Times New Roman" w:hAnsi="Times New Roman" w:hint="eastAsia"/>
                <w:bCs/>
                <w:color w:val="auto"/>
                <w:kern w:val="0"/>
                <w:sz w:val="24"/>
                <w:highlight w:val="none"/>
              </w:rPr>
              <w:t>采取重点防渗</w:t>
            </w:r>
            <w:r>
              <w:rPr>
                <w:rFonts w:hint="eastAsia"/>
                <w:bCs/>
                <w:color w:val="auto"/>
                <w:sz w:val="24"/>
                <w:lang w:eastAsia="zh-CN"/>
                <w:highlight w:val="none"/>
              </w:rPr>
              <w:t>（</w:t>
            </w:r>
            <w:r>
              <w:rPr>
                <w:rFonts w:ascii="Times New Roman" w:eastAsia="宋体" w:cs="Times New Roman" w:hAnsi="Times New Roman" w:hint="eastAsia"/>
                <w:color w:val="auto"/>
                <w:spacing w:val="-1"/>
                <w:kern w:val="2"/>
                <w:sz w:val="24"/>
                <w:szCs w:val="24"/>
                <w:lang w:val="en-US" w:eastAsia="zh-CN" w:bidi="ar-SA"/>
                <w:highlight w:val="none"/>
              </w:rPr>
              <w:t>废铅蓄电池贮存区</w:t>
            </w:r>
            <w:r>
              <w:rPr>
                <w:rFonts w:cs="Times New Roman" w:hint="eastAsia"/>
                <w:color w:val="auto"/>
                <w:spacing w:val="-1"/>
                <w:kern w:val="2"/>
                <w:sz w:val="24"/>
                <w:szCs w:val="24"/>
                <w:lang w:val="en-US" w:eastAsia="zh-CN" w:bidi="ar-SA"/>
                <w:highlight w:val="none"/>
              </w:rPr>
              <w:t>及破损电池贮存区的</w:t>
            </w:r>
            <w:r>
              <w:rPr>
                <w:rFonts w:ascii="Times New Roman" w:eastAsia="宋体" w:cs="Times New Roman" w:hAnsi="Times New Roman" w:hint="eastAsia"/>
                <w:color w:val="auto"/>
                <w:spacing w:val="-1"/>
                <w:kern w:val="2"/>
                <w:sz w:val="24"/>
                <w:szCs w:val="24"/>
                <w:lang w:val="en-US" w:eastAsia="zh-CN" w:bidi="ar-SA"/>
                <w:highlight w:val="none"/>
              </w:rPr>
              <w:t>地面</w:t>
            </w:r>
            <w:r>
              <w:rPr>
                <w:rFonts w:cs="Times New Roman" w:hint="eastAsia"/>
                <w:color w:val="auto"/>
                <w:spacing w:val="-1"/>
                <w:kern w:val="2"/>
                <w:sz w:val="24"/>
                <w:szCs w:val="24"/>
                <w:lang w:val="en-US" w:eastAsia="zh-CN" w:bidi="ar-SA"/>
                <w:highlight w:val="none"/>
              </w:rPr>
              <w:t>和</w:t>
            </w:r>
            <w:r>
              <w:rPr>
                <w:rFonts w:ascii="Times New Roman" w:eastAsia="宋体" w:cs="Times New Roman" w:hAnsi="Times New Roman" w:hint="eastAsia"/>
                <w:color w:val="auto"/>
                <w:spacing w:val="-1"/>
                <w:kern w:val="2"/>
                <w:sz w:val="24"/>
                <w:szCs w:val="24"/>
                <w:lang w:val="en-US" w:eastAsia="zh-CN" w:bidi="ar-SA"/>
                <w:highlight w:val="none"/>
              </w:rPr>
              <w:t>墙裙</w:t>
            </w:r>
            <w:r>
              <w:rPr>
                <w:rFonts w:cs="Times New Roman" w:hint="eastAsia"/>
                <w:color w:val="auto"/>
                <w:spacing w:val="-1"/>
                <w:kern w:val="2"/>
                <w:sz w:val="24"/>
                <w:szCs w:val="24"/>
                <w:lang w:val="en-US" w:eastAsia="zh-CN" w:bidi="ar-SA"/>
                <w:highlight w:val="none"/>
              </w:rPr>
              <w:t>、废电解液导流槽和收集池、危废间等</w:t>
            </w:r>
            <w:r>
              <w:rPr>
                <w:rFonts w:hint="eastAsia"/>
                <w:bCs/>
                <w:color w:val="auto"/>
                <w:sz w:val="24"/>
                <w:lang w:eastAsia="zh-CN"/>
                <w:highlight w:val="none"/>
              </w:rPr>
              <w:t>），</w:t>
            </w:r>
            <w:r>
              <w:rPr>
                <w:rFonts w:ascii="Times New Roman" w:eastAsia="宋体" w:cs="Times New Roman" w:hAnsi="Times New Roman" w:hint="eastAsia"/>
                <w:bCs/>
                <w:color w:val="auto"/>
                <w:kern w:val="0"/>
                <w:sz w:val="24"/>
                <w:highlight w:val="none"/>
              </w:rPr>
              <w:t>地面防渗层为</w:t>
            </w:r>
            <w:r>
              <w:rPr>
                <w:rFonts w:cs="Times New Roman" w:hint="eastAsia"/>
                <w:bCs/>
                <w:color w:val="auto"/>
                <w:kern w:val="0"/>
                <w:sz w:val="24"/>
                <w:lang w:eastAsia="zh-CN"/>
                <w:highlight w:val="none"/>
              </w:rPr>
              <w:t>环氧防腐自流平，地面处理后基层采用环氧树脂涂装，检查后铺设砂浆层和腻子层，地面平整后进行环氧面层施工，</w:t>
            </w:r>
            <w:r>
              <w:rPr>
                <w:rFonts w:ascii="Times New Roman" w:eastAsia="宋体" w:cs="Times New Roman" w:hAnsi="Times New Roman" w:hint="eastAsia"/>
                <w:bCs/>
                <w:color w:val="auto"/>
                <w:kern w:val="0"/>
                <w:sz w:val="24"/>
                <w:highlight w:val="none"/>
              </w:rPr>
              <w:t>渗透系数不大于10</w:t>
            </w:r>
            <w:r>
              <w:rPr>
                <w:rFonts w:ascii="Times New Roman" w:eastAsia="宋体" w:cs="Times New Roman" w:hAnsi="Times New Roman" w:hint="eastAsia"/>
                <w:bCs/>
                <w:color w:val="auto"/>
                <w:kern w:val="0"/>
                <w:sz w:val="24"/>
                <w:vertAlign w:val="superscript"/>
                <w:highlight w:val="none"/>
              </w:rPr>
              <w:t>-10</w:t>
            </w:r>
            <w:r>
              <w:rPr>
                <w:rFonts w:ascii="Times New Roman" w:eastAsia="宋体" w:cs="Times New Roman" w:hAnsi="Times New Roman" w:hint="eastAsia"/>
                <w:bCs/>
                <w:color w:val="auto"/>
                <w:kern w:val="0"/>
                <w:sz w:val="24"/>
                <w:highlight w:val="none"/>
              </w:rPr>
              <w:t>cm/s。</w:t>
            </w:r>
          </w:p>
          <w:p>
            <w:pPr>
              <w:rPr>
                <w:color w:val="auto"/>
                <w:highlight w:val="none"/>
              </w:rPr>
            </w:pPr>
            <w:r>
              <w:rPr>
                <w:rFonts w:ascii="Times New Roman" w:eastAsia="宋体" w:cs="Times New Roman" w:hAnsi="Times New Roman" w:hint="eastAsia"/>
                <w:bCs/>
                <w:color w:val="auto"/>
                <w:kern w:val="0"/>
                <w:sz w:val="24"/>
                <w:highlight w:val="none"/>
              </w:rPr>
              <w:t>④按照要求制定《突发环境事件应急预案》，一旦发生突发事故，应及时发出警报，立即启动《突发环境事件应急预案》，并在救援小组的领导下，紧急隔离危险物品，切断电源，疏散人群，抢救受害人员，同时启动灭火、消防设备。</w:t>
            </w:r>
          </w:p>
        </w:tc>
      </w:tr>
      <w:tr>
        <w:trPr>
          <w:trHeight w:val="7833"/>
        </w:trPr>
        <w:tc>
          <w:tcPr>
            <w:tcW w:w="473" w:type="pct"/>
            <w:tcMar>
              <w:left w:w="11" w:type="dxa"/>
              <w:right w:w="11" w:type="dxa"/>
            </w:tcMar>
            <w:vAlign w:val="center"/>
          </w:tcPr>
          <w:p>
            <w:pPr>
              <w:widowControl/>
              <w:jc w:val="center"/>
              <w:textAlignment w:val="center"/>
              <w:rPr>
                <w:color w:val="auto"/>
                <w:sz w:val="24"/>
                <w:highlight w:val="none"/>
              </w:rPr>
            </w:pPr>
            <w:r>
              <w:rPr>
                <w:rFonts w:hint="eastAsia"/>
                <w:color w:val="auto"/>
                <w:sz w:val="24"/>
                <w:highlight w:val="none"/>
              </w:rPr>
              <w:t>其他环境管理要求</w:t>
            </w:r>
          </w:p>
        </w:tc>
        <w:tc>
          <w:tcPr>
            <w:tcW w:w="4526" w:type="pct"/>
            <w:gridSpan w:val="4"/>
            <w:tcBorders>
              <w:left w:val="single" w:sz="4" w:space="0" w:color="auto"/>
            </w:tcBorders>
            <w:tcMar>
              <w:left w:w="11" w:type="dxa"/>
              <w:right w:w="11" w:type="dxa"/>
            </w:tcMar>
            <w:vAlign w:val="center"/>
          </w:tcPr>
          <w:p>
            <w:pPr>
              <w:rPr>
                <w:color w:val="auto"/>
                <w:highlight w:val="none"/>
              </w:rPr>
            </w:pPr>
            <w:r>
              <w:rPr>
                <w:rFonts w:hint="eastAsia"/>
                <w:bCs/>
                <w:color w:val="auto"/>
                <w:sz w:val="24"/>
                <w:highlight w:val="none"/>
              </w:rPr>
              <w:t>公司设立环境管理人员，履行环保管理职责，按污染源监测计划实施定期监测。</w:t>
            </w:r>
          </w:p>
        </w:tc>
      </w:tr>
    </w:tbl>
    <w:p>
      <w:pPr>
        <w:pStyle w:val="35"/>
        <w:jc w:val="center"/>
        <w:outlineLvl w:val="0"/>
        <w:rPr>
          <w:rFonts w:ascii="黑体" w:eastAsia="黑体" w:hAnsi="黑体" w:hint="eastAsia"/>
          <w:snapToGrid w:val="0"/>
          <w:color w:val="auto"/>
          <w:sz w:val="30"/>
          <w:szCs w:val="30"/>
          <w:highlight w:val="none"/>
        </w:rPr>
      </w:pPr>
      <w:r>
        <w:rPr>
          <w:snapToGrid w:val="0"/>
          <w:color w:val="auto"/>
          <w:highlight w:val="none"/>
        </w:rPr>
        <w:br w:type="page"/>
      </w:r>
      <w:bookmarkStart w:id="61" w:name="_Toc10424"/>
      <w:bookmarkStart w:id="62" w:name="_Toc4605"/>
      <w:bookmarkStart w:id="63" w:name="_Toc19158"/>
      <w:bookmarkStart w:id="64" w:name="_Toc7108"/>
      <w:bookmarkStart w:id="65" w:name="_Toc20322"/>
      <w:r>
        <w:rPr>
          <w:rFonts w:ascii="黑体" w:eastAsia="黑体" w:hAnsi="黑体" w:hint="eastAsia"/>
          <w:snapToGrid w:val="0"/>
          <w:color w:val="auto"/>
          <w:sz w:val="30"/>
          <w:szCs w:val="30"/>
          <w:highlight w:val="none"/>
        </w:rPr>
        <w:t>六、结论</w:t>
      </w:r>
      <w:bookmarkEnd w:id="61"/>
      <w:bookmarkEnd w:id="62"/>
      <w:bookmarkEnd w:id="63"/>
      <w:bookmarkEnd w:id="64"/>
      <w:bookmarkEnd w:id="65"/>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865"/>
      </w:tblGrid>
      <w:tr>
        <w:trPr>
          <w:trHeight w:val="11991"/>
        </w:trPr>
        <w:tc>
          <w:tcPr>
            <w:tcW w:w="8865" w:type="dxa"/>
            <w:vAlign w:val="center"/>
          </w:tcPr>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spacing w:line="460" w:lineRule="exact"/>
              <w:ind w:firstLineChars="200" w:firstLine="480"/>
              <w:rPr>
                <w:rFonts w:ascii="宋体" w:cs="宋体" w:hAnsi="宋体" w:hint="eastAsia"/>
                <w:color w:val="auto"/>
                <w:kern w:val="0"/>
                <w:sz w:val="24"/>
                <w:highlight w:val="none"/>
              </w:rPr>
            </w:pPr>
            <w:r>
              <w:rPr>
                <w:rFonts w:ascii="宋体" w:cs="宋体" w:hAnsi="宋体" w:hint="eastAsia"/>
                <w:color w:val="auto"/>
                <w:kern w:val="0"/>
                <w:sz w:val="24"/>
                <w:highlight w:val="none"/>
              </w:rPr>
              <w:t>项目符合国家及地方产业政策，选址合理，污染源治理措施可靠有效，污染物均能够达标排放，固体废物能得到合理处置；环境风险在落实各项措施和加强管理的条件下，在可接受范围之内；污染物排放总量符合污染物总量控制要求。在全面加强监督管理，执行环保</w:t>
            </w:r>
            <w:r>
              <w:rPr>
                <w:rFonts w:ascii="宋体" w:cs="宋体" w:hAnsi="宋体" w:hint="eastAsia"/>
                <w:color w:val="auto"/>
                <w:kern w:val="0"/>
                <w:sz w:val="24"/>
                <w:lang w:eastAsia="zh-CN"/>
                <w:highlight w:val="none"/>
              </w:rPr>
              <w:t>“</w:t>
            </w:r>
            <w:r>
              <w:rPr>
                <w:rFonts w:ascii="宋体" w:cs="宋体" w:hAnsi="宋体" w:hint="eastAsia"/>
                <w:color w:val="auto"/>
                <w:kern w:val="0"/>
                <w:sz w:val="24"/>
                <w:highlight w:val="none"/>
              </w:rPr>
              <w:t>三同时</w:t>
            </w:r>
            <w:r>
              <w:rPr>
                <w:rFonts w:ascii="宋体" w:cs="宋体" w:hAnsi="宋体" w:hint="eastAsia"/>
                <w:color w:val="auto"/>
                <w:kern w:val="0"/>
                <w:sz w:val="24"/>
                <w:lang w:eastAsia="zh-CN"/>
                <w:highlight w:val="none"/>
              </w:rPr>
              <w:t>”</w:t>
            </w:r>
            <w:r>
              <w:rPr>
                <w:rFonts w:ascii="宋体" w:cs="宋体" w:hAnsi="宋体" w:hint="eastAsia"/>
                <w:color w:val="auto"/>
                <w:kern w:val="0"/>
                <w:sz w:val="24"/>
                <w:highlight w:val="none"/>
              </w:rPr>
              <w:t>制度和认真落实各项环保措施的条件下，从环境保护角度分析，项目建设可行。</w:t>
            </w: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adjustRightInd w:val="0"/>
              <w:snapToGrid w:val="0"/>
              <w:ind w:firstLineChars="200" w:firstLine="420"/>
              <w:jc w:val="left"/>
              <w:rPr>
                <w:rFonts w:ascii="宋体" w:cs="宋体" w:hAnsi="宋体" w:hint="eastAsia"/>
                <w:color w:val="auto"/>
                <w:kern w:val="0"/>
                <w:szCs w:val="21"/>
                <w:highlight w:val="none"/>
              </w:rPr>
            </w:pPr>
          </w:p>
          <w:p>
            <w:pPr>
              <w:pStyle w:val="16"/>
              <w:rPr>
                <w:rFonts w:ascii="宋体" w:cs="宋体" w:hAnsi="宋体" w:hint="eastAsia"/>
                <w:color w:val="auto"/>
                <w:szCs w:val="21"/>
                <w:highlight w:val="none"/>
              </w:rPr>
            </w:pPr>
          </w:p>
          <w:p>
            <w:pPr>
              <w:pStyle w:val="15"/>
              <w:rPr>
                <w:rFonts w:cs="宋体" w:hAnsi="宋体" w:hint="eastAsia"/>
                <w:color w:val="auto"/>
                <w:szCs w:val="21"/>
                <w:highlight w:val="none"/>
              </w:rPr>
            </w:pPr>
          </w:p>
          <w:p>
            <w:pPr>
              <w:rPr>
                <w:rFonts w:ascii="宋体" w:cs="宋体" w:hAnsi="宋体" w:hint="eastAsia"/>
                <w:color w:val="auto"/>
                <w:kern w:val="0"/>
                <w:szCs w:val="21"/>
                <w:highlight w:val="none"/>
              </w:rPr>
            </w:pPr>
          </w:p>
          <w:p>
            <w:pPr>
              <w:pStyle w:val="16"/>
              <w:rPr>
                <w:color w:val="auto"/>
                <w:highlight w:val="none"/>
              </w:rPr>
            </w:pPr>
          </w:p>
          <w:p>
            <w:pPr>
              <w:adjustRightInd w:val="0"/>
              <w:snapToGrid w:val="0"/>
              <w:jc w:val="left"/>
              <w:rPr>
                <w:rFonts w:ascii="宋体" w:cs="宋体"/>
                <w:color w:val="auto"/>
                <w:sz w:val="24"/>
                <w:highlight w:val="none"/>
              </w:rPr>
            </w:pPr>
          </w:p>
        </w:tc>
      </w:tr>
    </w:tbl>
    <w:p>
      <w:pPr>
        <w:rPr>
          <w:rFonts w:ascii="宋体"/>
          <w:color w:val="auto"/>
          <w:highlight w:val="none"/>
        </w:rPr>
        <w:sectPr>
          <w:footerReference w:type="default" r:id="rId5"/>
          <w:pgSz w:w="11906" w:h="16838"/>
          <w:pgMar w:top="1134" w:right="1134" w:bottom="1134" w:left="1134"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p>
    <w:p>
      <w:pPr>
        <w:pStyle w:val="35"/>
        <w:adjustRightInd w:val="0"/>
        <w:snapToGrid w:val="0"/>
        <w:spacing w:before="0" w:beforeAutospacing="0" w:after="0" w:afterAutospacing="0"/>
        <w:outlineLvl w:val="0"/>
        <w:rPr>
          <w:rFonts w:ascii="黑体" w:eastAsia="黑体" w:hAnsi="黑体" w:hint="eastAsia"/>
          <w:snapToGrid w:val="0"/>
          <w:color w:val="auto"/>
          <w:sz w:val="32"/>
          <w:szCs w:val="32"/>
          <w:highlight w:val="none"/>
        </w:rPr>
      </w:pPr>
      <w:bookmarkStart w:id="66" w:name="_Toc3723"/>
      <w:bookmarkStart w:id="67" w:name="_Toc10215"/>
      <w:bookmarkStart w:id="68" w:name="_Toc18692"/>
      <w:bookmarkStart w:id="69" w:name="_Toc271"/>
      <w:bookmarkStart w:id="70" w:name="_Toc14316"/>
      <w:r>
        <w:rPr>
          <w:rFonts w:ascii="黑体" w:eastAsia="黑体" w:hAnsi="黑体" w:hint="eastAsia"/>
          <w:snapToGrid w:val="0"/>
          <w:color w:val="auto"/>
          <w:sz w:val="32"/>
          <w:szCs w:val="32"/>
          <w:highlight w:val="none"/>
        </w:rPr>
        <w:t>附表</w:t>
      </w:r>
    </w:p>
    <w:p>
      <w:pPr>
        <w:pStyle w:val="35"/>
        <w:adjustRightInd w:val="0"/>
        <w:snapToGrid w:val="0"/>
        <w:spacing w:before="0" w:beforeAutospacing="0" w:after="0" w:afterAutospacing="0"/>
        <w:jc w:val="center"/>
        <w:rPr>
          <w:rFonts w:ascii="Times New Roman" w:eastAsia="方正小标宋_GBK" w:cs="Times New Roman" w:hAnsi="Times New Roman"/>
          <w:snapToGrid w:val="0"/>
          <w:color w:val="auto"/>
          <w:sz w:val="38"/>
          <w:szCs w:val="38"/>
          <w:lang w:val="en-US" w:eastAsia="zh-CN"/>
          <w:highlight w:val="none"/>
        </w:rPr>
      </w:pPr>
      <w:bookmarkStart w:id="71" w:name="_Toc14871"/>
      <w:bookmarkStart w:id="72" w:name="_Toc11004"/>
      <w:bookmarkStart w:id="73" w:name="_Toc12649"/>
      <w:bookmarkStart w:id="74" w:name="_Toc5945"/>
      <w:r>
        <w:rPr>
          <w:rFonts w:ascii="Times New Roman" w:eastAsia="方正小标宋_GBK" w:cs="Times New Roman" w:hAnsi="Times New Roman"/>
          <w:snapToGrid w:val="0"/>
          <w:color w:val="auto"/>
          <w:sz w:val="38"/>
          <w:szCs w:val="38"/>
          <w:highlight w:val="none"/>
        </w:rPr>
        <w:t>建设项目污染物排放量汇总表</w:t>
      </w:r>
      <w:bookmarkEnd w:id="71"/>
      <w:bookmarkEnd w:id="72"/>
      <w:bookmarkEnd w:id="73"/>
      <w:bookmarkEnd w:id="74"/>
      <w:r>
        <w:rPr>
          <w:rFonts w:ascii="Times New Roman" w:eastAsia="方正小标宋_GBK" w:cs="Times New Roman" w:hAnsi="Times New Roman"/>
          <w:snapToGrid w:val="0"/>
          <w:color w:val="auto"/>
          <w:sz w:val="38"/>
          <w:szCs w:val="38"/>
          <w:lang w:val="en-US" w:eastAsia="zh-CN"/>
          <w:highlight w:val="none"/>
        </w:rPr>
        <w:t xml:space="preserve">    单位：t/a</w:t>
      </w:r>
    </w:p>
    <w:tbl>
      <w:tblPr>
        <w:jc w:val="center"/>
        <w:tblW w:w="498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89"/>
        <w:gridCol w:w="2744"/>
        <w:gridCol w:w="1658"/>
        <w:gridCol w:w="1096"/>
        <w:gridCol w:w="1548"/>
        <w:gridCol w:w="1758"/>
        <w:gridCol w:w="1400"/>
        <w:gridCol w:w="2027"/>
        <w:gridCol w:w="1921"/>
      </w:tblGrid>
      <w:tr>
        <w:trPr>
          <w:trHeight w:val="340"/>
        </w:trPr>
        <w:tc>
          <w:tcPr>
            <w:tcW w:w="366" w:type="pct"/>
            <w:tcBorders>
              <w:tl2br w:val="single" w:sz="4" w:space="0" w:color="auto"/>
            </w:tcBorders>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 xml:space="preserve">     项目</w:t>
            </w:r>
          </w:p>
          <w:p>
            <w:pPr>
              <w:pStyle w:val="55"/>
              <w:keepNext w:val="0"/>
              <w:keepLines w:val="0"/>
              <w:pageBreakBefore w:val="0"/>
              <w:kinsoku/>
              <w:wordWrap/>
              <w:overflowPunct/>
              <w:topLinePunct w:val="0"/>
              <w:bidi w:val="0"/>
              <w:spacing w:beforeLines="0" w:before="10" w:afterLines="0" w:after="0" w:line="240" w:lineRule="auto"/>
              <w:ind w:firstLineChars="0" w:firstLine="0"/>
              <w:jc w:val="both"/>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分类</w:t>
            </w:r>
          </w:p>
        </w:tc>
        <w:tc>
          <w:tcPr>
            <w:tcW w:w="967"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污染物名称</w:t>
            </w:r>
          </w:p>
        </w:tc>
        <w:tc>
          <w:tcPr>
            <w:tcW w:w="567"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1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snapToGrid w:val="0"/>
                <w:color w:val="auto"/>
                <w:kern w:val="21"/>
                <w:szCs w:val="21"/>
                <w:highlight w:val="none"/>
              </w:rPr>
              <w:fldChar w:fldCharType="end"/>
            </w:r>
          </w:p>
        </w:tc>
        <w:tc>
          <w:tcPr>
            <w:tcW w:w="39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许可排放量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2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snapToGrid w:val="0"/>
                <w:color w:val="auto"/>
                <w:kern w:val="21"/>
                <w:szCs w:val="21"/>
                <w:highlight w:val="none"/>
              </w:rPr>
              <w:t>②</w:t>
            </w:r>
            <w:r>
              <w:rPr>
                <w:rFonts w:ascii="Times New Roman" w:hAnsi="Times New Roman" w:hint="eastAsia"/>
                <w:snapToGrid w:val="0"/>
                <w:color w:val="auto"/>
                <w:kern w:val="21"/>
                <w:szCs w:val="21"/>
                <w:highlight w:val="none"/>
              </w:rPr>
              <w:fldChar w:fldCharType="end"/>
            </w:r>
          </w:p>
        </w:tc>
        <w:tc>
          <w:tcPr>
            <w:tcW w:w="51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在建工程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3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③</w:t>
            </w:r>
            <w:r>
              <w:rPr>
                <w:rFonts w:ascii="Times New Roman" w:hAnsi="Times New Roman" w:hint="eastAsia"/>
                <w:snapToGrid w:val="0"/>
                <w:color w:val="auto"/>
                <w:kern w:val="21"/>
                <w:szCs w:val="21"/>
                <w:highlight w:val="none"/>
              </w:rPr>
              <w:fldChar w:fldCharType="end"/>
            </w:r>
          </w:p>
        </w:tc>
        <w:tc>
          <w:tcPr>
            <w:tcW w:w="513"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本项目</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4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④</w:t>
            </w:r>
            <w:r>
              <w:rPr>
                <w:rFonts w:ascii="Times New Roman" w:hAnsi="Times New Roman" w:hint="eastAsia"/>
                <w:snapToGrid w:val="0"/>
                <w:color w:val="auto"/>
                <w:kern w:val="21"/>
                <w:szCs w:val="21"/>
                <w:highlight w:val="none"/>
              </w:rPr>
              <w:fldChar w:fldCharType="end"/>
            </w:r>
          </w:p>
        </w:tc>
        <w:tc>
          <w:tcPr>
            <w:tcW w:w="443"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以新带老削减量（新建项目不填）</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5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⑤</w:t>
            </w:r>
            <w:r>
              <w:rPr>
                <w:rFonts w:ascii="Times New Roman" w:hAnsi="Times New Roman" w:hint="eastAsia"/>
                <w:snapToGrid w:val="0"/>
                <w:color w:val="auto"/>
                <w:kern w:val="21"/>
                <w:szCs w:val="21"/>
                <w:highlight w:val="none"/>
              </w:rPr>
              <w:fldChar w:fldCharType="end"/>
            </w:r>
          </w:p>
        </w:tc>
        <w:tc>
          <w:tcPr>
            <w:tcW w:w="642"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本项目建成后</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全厂排放量（固体废物产生量）</w:t>
            </w: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6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snapToGrid w:val="0"/>
                <w:color w:val="auto"/>
                <w:kern w:val="21"/>
                <w:szCs w:val="21"/>
                <w:highlight w:val="none"/>
              </w:rPr>
              <w:fldChar w:fldCharType="end"/>
            </w:r>
          </w:p>
        </w:tc>
        <w:tc>
          <w:tcPr>
            <w:tcW w:w="591"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变化量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fldChar w:fldCharType="begin"/>
            </w:r>
            <w:r>
              <w:rPr>
                <w:rFonts w:ascii="Times New Roman" w:hAnsi="Times New Roman" w:hint="eastAsia"/>
                <w:snapToGrid w:val="0"/>
                <w:color w:val="auto"/>
                <w:kern w:val="21"/>
                <w:szCs w:val="21"/>
                <w:highlight w:val="none"/>
              </w:rPr>
              <w:instrText xml:space="preserve"> = 7 \* GB3 \* MERGEFORMAT </w:instrText>
            </w:r>
            <w:r>
              <w:rPr>
                <w:rFonts w:ascii="Times New Roman" w:hAnsi="Times New Roman" w:hint="eastAsia"/>
                <w:snapToGrid w:val="0"/>
                <w:color w:val="auto"/>
                <w:kern w:val="21"/>
                <w:szCs w:val="21"/>
                <w:highlight w:val="none"/>
              </w:rPr>
              <w:fldChar w:fldCharType="separate"/>
            </w:r>
            <w:r>
              <w:rPr>
                <w:rFonts w:ascii="Times New Roman" w:hAnsi="Times New Roman" w:hint="eastAsia"/>
                <w:color w:val="auto"/>
                <w:kern w:val="2"/>
                <w:szCs w:val="21"/>
                <w:highlight w:val="none"/>
              </w:rPr>
              <w:t>⑦</w:t>
            </w:r>
            <w:r>
              <w:rPr>
                <w:rFonts w:ascii="Times New Roman" w:hAnsi="Times New Roman" w:hint="eastAsia"/>
                <w:snapToGrid w:val="0"/>
                <w:color w:val="auto"/>
                <w:kern w:val="21"/>
                <w:szCs w:val="21"/>
                <w:highlight w:val="none"/>
              </w:rPr>
              <w:fldChar w:fldCharType="end"/>
            </w:r>
          </w:p>
        </w:tc>
      </w:tr>
      <w:tr>
        <w:trPr>
          <w:trHeight w:val="397"/>
        </w:trPr>
        <w:tc>
          <w:tcPr>
            <w:tcW w:w="36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auto"/>
                <w:kern w:val="21"/>
                <w:szCs w:val="21"/>
                <w:highlight w:val="none"/>
              </w:rPr>
            </w:pPr>
            <w:r>
              <w:rPr>
                <w:rFonts w:ascii="Times New Roman" w:hAnsi="Times New Roman" w:hint="eastAsia"/>
                <w:snapToGrid w:val="0"/>
                <w:color w:val="auto"/>
                <w:kern w:val="21"/>
                <w:szCs w:val="21"/>
                <w:highlight w:val="none"/>
              </w:rPr>
              <w:t>废气</w:t>
            </w:r>
          </w:p>
        </w:tc>
        <w:tc>
          <w:tcPr>
            <w:tcW w:w="967" w:type="pct"/>
            <w:tcBorders>
              <w:left w:val="single" w:sz="4" w:space="0" w:color="auto"/>
            </w:tcBorders>
            <w:vAlign w:val="center"/>
          </w:tcPr>
          <w:p>
            <w:pPr>
              <w:jc w:val="center"/>
              <w:rPr>
                <w:rFonts w:eastAsia="宋体" w:hint="eastAsia"/>
                <w:snapToGrid w:val="0"/>
                <w:color w:val="auto"/>
                <w:kern w:val="21"/>
                <w:szCs w:val="21"/>
                <w:lang w:eastAsia="zh-CN"/>
                <w:highlight w:val="none"/>
              </w:rPr>
            </w:pPr>
            <w:r>
              <w:rPr>
                <w:rFonts w:hint="eastAsia"/>
                <w:color w:val="auto"/>
                <w:sz w:val="21"/>
                <w:szCs w:val="21"/>
                <w:lang w:val="en-US" w:eastAsia="zh-CN"/>
                <w:highlight w:val="none"/>
              </w:rPr>
              <w:t>硫酸雾</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auto"/>
                <w:kern w:val="21"/>
                <w:szCs w:val="21"/>
                <w:lang w:val="en-US" w:eastAsia="zh-CN"/>
                <w:highlight w:val="none"/>
              </w:rPr>
            </w:pPr>
            <w:r>
              <w:rPr>
                <w:rFonts w:hint="eastAsia"/>
                <w:snapToGrid w:val="0"/>
                <w:color w:val="auto"/>
                <w:kern w:val="21"/>
                <w:szCs w:val="21"/>
                <w:lang w:val="en-US" w:eastAsia="zh-CN"/>
                <w:highlight w:val="none"/>
              </w:rPr>
              <w:t>0.009</w:t>
            </w:r>
          </w:p>
        </w:tc>
        <w:tc>
          <w:tcPr>
            <w:tcW w:w="443"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color w:val="auto"/>
                <w:highlight w:val="none"/>
              </w:rPr>
            </w:pPr>
            <w:r>
              <w:rPr>
                <w:rFonts w:hint="eastAsia"/>
                <w:snapToGrid w:val="0"/>
                <w:color w:val="auto"/>
                <w:kern w:val="21"/>
                <w:szCs w:val="21"/>
                <w:highlight w:val="none"/>
              </w:rPr>
              <w:t>/</w:t>
            </w:r>
          </w:p>
        </w:tc>
        <w:tc>
          <w:tcPr>
            <w:tcW w:w="64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auto"/>
                <w:kern w:val="21"/>
                <w:szCs w:val="21"/>
                <w:highlight w:val="none"/>
              </w:rPr>
            </w:pPr>
            <w:r>
              <w:rPr>
                <w:rFonts w:hint="eastAsia"/>
                <w:snapToGrid w:val="0"/>
                <w:color w:val="auto"/>
                <w:kern w:val="21"/>
                <w:szCs w:val="21"/>
                <w:lang w:val="en-US" w:eastAsia="zh-CN"/>
                <w:highlight w:val="none"/>
              </w:rPr>
              <w:t>0.009</w:t>
            </w:r>
          </w:p>
        </w:tc>
        <w:tc>
          <w:tcPr>
            <w:tcW w:w="591"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snapToGrid w:val="0"/>
                <w:color w:val="auto"/>
                <w:kern w:val="21"/>
                <w:szCs w:val="21"/>
                <w:lang w:eastAsia="zh-CN"/>
                <w:highlight w:val="none"/>
              </w:rPr>
            </w:pPr>
            <w:r>
              <w:rPr>
                <w:rFonts w:hint="eastAsia"/>
                <w:snapToGrid w:val="0"/>
                <w:color w:val="auto"/>
                <w:kern w:val="21"/>
                <w:szCs w:val="21"/>
                <w:lang w:val="en-US" w:eastAsia="zh-CN"/>
                <w:highlight w:val="none"/>
              </w:rPr>
              <w:t>+0.009</w:t>
            </w:r>
          </w:p>
        </w:tc>
      </w:tr>
      <w:tr>
        <w:trPr>
          <w:trHeight w:val="397"/>
        </w:trPr>
        <w:tc>
          <w:tcPr>
            <w:tcW w:w="36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auto"/>
                <w:kern w:val="21"/>
                <w:szCs w:val="21"/>
                <w:lang w:val="en-US" w:eastAsia="zh-CN"/>
                <w:highlight w:val="none"/>
              </w:rPr>
            </w:pPr>
            <w:r>
              <w:rPr>
                <w:rFonts w:ascii="Times New Roman" w:hAnsi="Times New Roman" w:hint="eastAsia"/>
                <w:snapToGrid w:val="0"/>
                <w:color w:val="auto"/>
                <w:kern w:val="21"/>
                <w:szCs w:val="21"/>
                <w:lang w:val="en-US" w:eastAsia="zh-CN"/>
                <w:highlight w:val="none"/>
              </w:rPr>
              <w:t>废水</w:t>
            </w:r>
          </w:p>
        </w:tc>
        <w:tc>
          <w:tcPr>
            <w:tcW w:w="967"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COD</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w:t>
            </w:r>
          </w:p>
        </w:tc>
      </w:tr>
      <w:tr>
        <w:trPr>
          <w:trHeight w:val="397"/>
        </w:trPr>
        <w:tc>
          <w:tcPr>
            <w:tcW w:w="366" w:type="pct"/>
            <w:vMerge/>
            <w:vAlign w:val="center"/>
          </w:tcPr>
          <w:p/>
        </w:tc>
        <w:tc>
          <w:tcPr>
            <w:tcW w:w="967"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BOD</w:t>
            </w:r>
            <w:r>
              <w:rPr>
                <w:rFonts w:ascii="Times New Roman" w:eastAsia="宋体" w:cs="Times New Roman" w:hAnsi="Times New Roman"/>
                <w:color w:val="auto"/>
                <w:sz w:val="21"/>
                <w:szCs w:val="21"/>
                <w:vertAlign w:val="subscript"/>
                <w:lang w:val="en-US" w:eastAsia="zh-CN"/>
                <w:highlight w:val="none"/>
              </w:rPr>
              <w:t>5</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366" w:type="pct"/>
            <w:vMerge/>
            <w:vAlign w:val="center"/>
          </w:tcPr>
          <w:p/>
        </w:tc>
        <w:tc>
          <w:tcPr>
            <w:tcW w:w="967"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SS</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366" w:type="pct"/>
            <w:vMerge/>
            <w:vAlign w:val="center"/>
          </w:tcPr>
          <w:p/>
        </w:tc>
        <w:tc>
          <w:tcPr>
            <w:tcW w:w="967"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auto"/>
                <w:spacing w:val="0"/>
                <w:kern w:val="0"/>
                <w:sz w:val="21"/>
                <w:szCs w:val="21"/>
                <w:shd w:val="clear" w:color="auto" w:fill="FFFFFF"/>
                <w:lang w:val="en-US" w:eastAsia="zh-CN" w:bidi="ar-SA"/>
                <w:highlight w:val="none"/>
              </w:rPr>
            </w:pPr>
            <w:r>
              <w:rPr>
                <w:rFonts w:ascii="Times New Roman" w:eastAsia="宋体" w:cs="Times New Roman" w:hAnsi="Times New Roman"/>
                <w:color w:val="auto"/>
                <w:sz w:val="21"/>
                <w:szCs w:val="21"/>
                <w:lang w:val="en-US" w:eastAsia="zh-CN"/>
                <w:highlight w:val="none"/>
              </w:rPr>
              <w:t>氨氮</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b w:val="0"/>
                <w:bCs w:val="0"/>
                <w:color w:val="auto"/>
                <w:sz w:val="21"/>
                <w:szCs w:val="21"/>
                <w:lang w:val="en-US" w:eastAsia="zh-CN"/>
                <w:highlight w:val="none"/>
              </w:rPr>
              <w:t>0</w:t>
            </w:r>
          </w:p>
        </w:tc>
      </w:tr>
      <w:tr>
        <w:trPr>
          <w:trHeight w:val="397"/>
        </w:trPr>
        <w:tc>
          <w:tcPr>
            <w:tcW w:w="36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auto"/>
                <w:kern w:val="21"/>
                <w:szCs w:val="21"/>
                <w:lang w:val="en-US" w:eastAsia="zh-CN"/>
                <w:highlight w:val="none"/>
              </w:rPr>
            </w:pPr>
            <w:r>
              <w:rPr>
                <w:rFonts w:ascii="Times New Roman" w:hAnsi="Times New Roman" w:hint="eastAsia"/>
                <w:snapToGrid w:val="0"/>
                <w:color w:val="auto"/>
                <w:kern w:val="21"/>
                <w:szCs w:val="21"/>
                <w:lang w:val="en-US" w:eastAsia="zh-CN"/>
                <w:highlight w:val="none"/>
              </w:rPr>
              <w:t>危险废物</w:t>
            </w:r>
          </w:p>
        </w:tc>
        <w:tc>
          <w:tcPr>
            <w:tcW w:w="5000"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废电解液</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4.5</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495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4.5</w:t>
            </w:r>
          </w:p>
        </w:tc>
        <w:tc>
          <w:tcPr>
            <w:tcW w:w="591"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+4.5</w:t>
            </w:r>
          </w:p>
        </w:tc>
      </w:tr>
      <w:tr>
        <w:trPr>
          <w:trHeight w:val="397"/>
        </w:trPr>
        <w:tc>
          <w:tcPr>
            <w:tcW w:w="366" w:type="pct"/>
            <w:vMerge/>
            <w:vAlign w:val="center"/>
          </w:tcPr>
          <w:p/>
        </w:tc>
        <w:tc>
          <w:tcPr>
            <w:tcW w:w="5000"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废碱液</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auto"/>
                <w:kern w:val="2"/>
                <w:sz w:val="21"/>
                <w:szCs w:val="21"/>
                <w:lang w:val="en-US" w:eastAsia="zh-CN" w:bidi="ar-SA"/>
                <w:highlight w:val="none"/>
              </w:rPr>
            </w:pPr>
            <w:r>
              <w:rPr>
                <w:rFonts w:hint="eastAsia"/>
                <w:color w:val="auto"/>
                <w:sz w:val="21"/>
                <w:szCs w:val="21"/>
                <w:lang w:val="en-US" w:eastAsia="zh-CN"/>
                <w:highlight w:val="none"/>
              </w:rPr>
              <w:t>0.7</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495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0.7</w:t>
            </w:r>
          </w:p>
        </w:tc>
        <w:tc>
          <w:tcPr>
            <w:tcW w:w="591"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hint="eastAsia"/>
                <w:color w:val="auto"/>
                <w:sz w:val="21"/>
                <w:szCs w:val="21"/>
                <w:lang w:val="en-US" w:eastAsia="zh-CN"/>
                <w:highlight w:val="none"/>
              </w:rPr>
              <w:t>+0.7</w:t>
            </w:r>
          </w:p>
        </w:tc>
      </w:tr>
      <w:tr>
        <w:trPr>
          <w:trHeight w:val="397"/>
        </w:trPr>
        <w:tc>
          <w:tcPr>
            <w:tcW w:w="366" w:type="pct"/>
            <w:vMerge/>
            <w:vAlign w:val="center"/>
          </w:tcPr>
          <w:p/>
        </w:tc>
        <w:tc>
          <w:tcPr>
            <w:tcW w:w="5000"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废防护用具</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auto"/>
                <w:kern w:val="21"/>
                <w:szCs w:val="21"/>
                <w:highlight w:val="none"/>
              </w:rPr>
            </w:pPr>
            <w:r>
              <w:rPr>
                <w:rFonts w:hint="eastAsia"/>
                <w:snapToGrid w:val="0"/>
                <w:color w:val="auto"/>
                <w:kern w:val="21"/>
                <w:szCs w:val="21"/>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 w:val="21"/>
                <w:szCs w:val="21"/>
                <w:lang w:val="en-US" w:eastAsia="zh-CN"/>
                <w:highlight w:val="none"/>
              </w:rPr>
              <w:t>0.45</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auto"/>
                <w:kern w:val="21"/>
                <w:szCs w:val="21"/>
                <w:highlight w:val="none"/>
              </w:rPr>
            </w:pPr>
            <w:r>
              <w:rPr>
                <w:rFonts w:hint="eastAsia"/>
                <w:snapToGrid w:val="0"/>
                <w:color w:val="auto"/>
                <w:kern w:val="21"/>
                <w:szCs w:val="21"/>
                <w:lang w:val="en-US" w:eastAsia="zh-CN"/>
                <w:highlight w:val="none"/>
              </w:rPr>
              <w:t>/</w:t>
            </w:r>
          </w:p>
        </w:tc>
        <w:tc>
          <w:tcPr>
            <w:tcW w:w="495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0.45</w:t>
            </w:r>
          </w:p>
        </w:tc>
        <w:tc>
          <w:tcPr>
            <w:tcW w:w="591"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auto"/>
                <w:sz w:val="21"/>
                <w:szCs w:val="21"/>
                <w:lang w:val="en-US" w:eastAsia="zh-CN"/>
                <w:highlight w:val="none"/>
              </w:rPr>
            </w:pPr>
            <w:r>
              <w:rPr>
                <w:rFonts w:cs="Times New Roman" w:hint="eastAsia"/>
                <w:color w:val="auto"/>
                <w:sz w:val="21"/>
                <w:szCs w:val="21"/>
                <w:lang w:val="en-US" w:eastAsia="zh-CN"/>
                <w:highlight w:val="none"/>
              </w:rPr>
              <w:t>+0.45</w:t>
            </w:r>
          </w:p>
        </w:tc>
      </w:tr>
      <w:tr>
        <w:trPr>
          <w:trHeight w:val="397"/>
        </w:trPr>
        <w:tc>
          <w:tcPr>
            <w:tcW w:w="366" w:type="pct"/>
            <w:vMerge/>
            <w:vAlign w:val="center"/>
          </w:tcPr>
          <w:p/>
        </w:tc>
        <w:tc>
          <w:tcPr>
            <w:tcW w:w="5000"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废抹布</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auto"/>
                <w:szCs w:val="21"/>
                <w:highlight w:val="none"/>
              </w:rPr>
            </w:pPr>
            <w:r>
              <w:rPr>
                <w:rFonts w:hint="eastAsia"/>
                <w:snapToGrid w:val="0"/>
                <w:color w:val="auto"/>
                <w:kern w:val="21"/>
                <w:szCs w:val="21"/>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auto"/>
                <w:szCs w:val="21"/>
                <w:highlight w:val="none"/>
              </w:rPr>
            </w:pPr>
            <w:r>
              <w:rPr>
                <w:rFonts w:hint="eastAsia"/>
                <w:snapToGrid w:val="0"/>
                <w:color w:val="auto"/>
                <w:kern w:val="21"/>
                <w:szCs w:val="21"/>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auto"/>
                <w:szCs w:val="21"/>
                <w:highlight w:val="none"/>
              </w:rPr>
            </w:pPr>
            <w:r>
              <w:rPr>
                <w:rFonts w:hint="eastAsia"/>
                <w:snapToGrid w:val="0"/>
                <w:color w:val="auto"/>
                <w:kern w:val="21"/>
                <w:szCs w:val="21"/>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color w:val="auto"/>
                <w:szCs w:val="21"/>
                <w:highlight w:val="none"/>
              </w:rPr>
            </w:pPr>
            <w:r>
              <w:rPr>
                <w:rFonts w:hint="eastAsia"/>
                <w:snapToGrid w:val="0"/>
                <w:color w:val="auto"/>
                <w:kern w:val="21"/>
                <w:szCs w:val="21"/>
                <w:highlight w:val="none"/>
              </w:rPr>
              <w:t>/</w:t>
            </w:r>
          </w:p>
        </w:tc>
        <w:tc>
          <w:tcPr>
            <w:tcW w:w="4952" w:type="pct"/>
            <w:tcBorders>
              <w:left w:val="single" w:sz="4" w:space="0" w:color="auto"/>
            </w:tcBorders>
            <w:vAlign w:val="center"/>
          </w:tcPr>
          <w:p>
            <w:pPr>
              <w:autoSpaceDE w:val="0"/>
              <w:autoSpaceDN w:val="0"/>
              <w:adjustRightInd w:val="0"/>
              <w:jc w:val="center"/>
              <w:rPr>
                <w:rFonts w:hint="eastAsia"/>
                <w:color w:val="auto"/>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c>
          <w:tcPr>
            <w:tcW w:w="591" w:type="pct"/>
            <w:tcBorders>
              <w:left w:val="single" w:sz="4" w:space="0" w:color="auto"/>
            </w:tcBorders>
            <w:vAlign w:val="center"/>
          </w:tcPr>
          <w:p>
            <w:pPr>
              <w:autoSpaceDE w:val="0"/>
              <w:autoSpaceDN w:val="0"/>
              <w:adjustRightInd w:val="0"/>
              <w:jc w:val="center"/>
              <w:rPr>
                <w:rFonts w:hint="eastAsia"/>
                <w:color w:val="auto"/>
                <w:szCs w:val="21"/>
                <w:lang w:val="en-US" w:eastAsia="zh-CN"/>
                <w:highlight w:val="none"/>
              </w:rPr>
            </w:pPr>
            <w:r>
              <w:rPr>
                <w:rFonts w:cs="Times New Roman" w:hint="eastAsia"/>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0.0</w:t>
            </w:r>
            <w:r>
              <w:rPr>
                <w:rFonts w:cs="Times New Roman" w:hint="eastAsia"/>
                <w:color w:val="auto"/>
                <w:sz w:val="21"/>
                <w:szCs w:val="21"/>
                <w:lang w:val="en-US" w:eastAsia="zh-CN"/>
                <w:highlight w:val="none"/>
              </w:rPr>
              <w:t>1</w:t>
            </w:r>
          </w:p>
        </w:tc>
      </w:tr>
      <w:tr>
        <w:trPr>
          <w:trHeight w:val="397"/>
        </w:trPr>
        <w:tc>
          <w:tcPr>
            <w:tcW w:w="36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hint="eastAsia"/>
                <w:snapToGrid w:val="0"/>
                <w:color w:val="auto"/>
                <w:kern w:val="21"/>
                <w:szCs w:val="21"/>
                <w:highlight w:val="none"/>
              </w:rPr>
            </w:pPr>
            <w:r>
              <w:rPr>
                <w:rFonts w:hint="eastAsia"/>
                <w:color w:val="auto"/>
                <w:szCs w:val="21"/>
                <w:highlight w:val="none"/>
              </w:rPr>
              <w:t>职工生活</w:t>
            </w:r>
          </w:p>
        </w:tc>
        <w:tc>
          <w:tcPr>
            <w:tcW w:w="967" w:type="pct"/>
            <w:tcBorders>
              <w:left w:val="single" w:sz="4" w:space="0" w:color="auto"/>
            </w:tcBorders>
            <w:shd w:val="clear" w:color="auto" w:fill="auto"/>
            <w:vAlign w:val="center"/>
          </w:tcPr>
          <w:p>
            <w:pPr>
              <w:pStyle w:val="16"/>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zh-CN" w:eastAsia="zh-CN"/>
                <w:highlight w:val="none"/>
              </w:rPr>
              <w:t>生活垃圾</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color w:val="auto"/>
                <w:szCs w:val="21"/>
                <w:lang w:val="en-US" w:eastAsia="zh-CN"/>
                <w:highlight w:val="none"/>
              </w:rPr>
            </w:pPr>
            <w:r>
              <w:rPr>
                <w:rFonts w:hint="eastAsia"/>
                <w:color w:val="auto"/>
                <w:szCs w:val="21"/>
                <w:lang w:val="en-US" w:eastAsia="zh-CN"/>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eastAsia="宋体" w:hint="eastAsia"/>
                <w:color w:val="auto"/>
                <w:szCs w:val="21"/>
                <w:lang w:val="en-US" w:eastAsia="zh-CN"/>
                <w:highlight w:val="none"/>
              </w:rPr>
            </w:pPr>
            <w:r>
              <w:rPr>
                <w:rFonts w:hint="eastAsia"/>
                <w:color w:val="auto"/>
                <w:szCs w:val="21"/>
                <w:lang w:val="en-US" w:eastAsia="zh-CN"/>
                <w:highlight w:val="none"/>
              </w:rPr>
              <w:t>/</w:t>
            </w:r>
          </w:p>
        </w:tc>
        <w:tc>
          <w:tcPr>
            <w:tcW w:w="513" w:type="pct"/>
            <w:tcBorders>
              <w:left w:val="single" w:sz="4" w:space="0" w:color="auto"/>
            </w:tcBorders>
            <w:vAlign w:val="center"/>
          </w:tcPr>
          <w:p>
            <w:pPr>
              <w:autoSpaceDE/>
              <w:autoSpaceDN/>
              <w:adjustRightInd w:val="0"/>
              <w:snapToGrid w:val="0"/>
              <w:spacing w:line="240" w:lineRule="auto"/>
              <w:ind w:firstLine="0"/>
              <w:jc w:val="center"/>
              <w:rPr>
                <w:color w:val="auto"/>
                <w:szCs w:val="21"/>
                <w:lang w:val="en-US" w:eastAsia="zh-CN"/>
                <w:highlight w:val="none"/>
              </w:rPr>
            </w:pPr>
            <w:r>
              <w:rPr>
                <w:rFonts w:cs="Times New Roman" w:hint="eastAsia"/>
                <w:color w:val="auto"/>
                <w:szCs w:val="21"/>
                <w:lang w:val="en-US" w:eastAsia="zh-CN"/>
                <w:highlight w:val="none"/>
              </w:rPr>
              <w:t>0.9</w:t>
            </w:r>
          </w:p>
        </w:tc>
        <w:tc>
          <w:tcPr>
            <w:tcW w:w="44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w:t>
            </w:r>
          </w:p>
        </w:tc>
        <w:tc>
          <w:tcPr>
            <w:tcW w:w="4952" w:type="pct"/>
            <w:tcBorders>
              <w:left w:val="single" w:sz="4" w:space="0" w:color="auto"/>
            </w:tcBorders>
            <w:vAlign w:val="center"/>
          </w:tcPr>
          <w:p>
            <w:pPr>
              <w:autoSpaceDE/>
              <w:autoSpaceDN/>
              <w:adjustRightInd w:val="0"/>
              <w:snapToGrid w:val="0"/>
              <w:spacing w:line="240" w:lineRule="auto"/>
              <w:ind w:firstLine="0"/>
              <w:jc w:val="center"/>
              <w:rPr>
                <w:color w:val="auto"/>
                <w:szCs w:val="21"/>
                <w:lang w:val="en-US" w:eastAsia="zh-CN"/>
                <w:highlight w:val="none"/>
              </w:rPr>
            </w:pPr>
            <w:r>
              <w:rPr>
                <w:rFonts w:cs="Times New Roman" w:hint="eastAsia"/>
                <w:color w:val="auto"/>
                <w:szCs w:val="21"/>
                <w:lang w:val="en-US" w:eastAsia="zh-CN"/>
                <w:highlight w:val="none"/>
              </w:rPr>
              <w:t>0.9</w:t>
            </w:r>
          </w:p>
        </w:tc>
        <w:tc>
          <w:tcPr>
            <w:tcW w:w="591" w:type="pct"/>
            <w:tcBorders>
              <w:left w:val="single" w:sz="4" w:space="0" w:color="auto"/>
            </w:tcBorders>
            <w:vAlign w:val="center"/>
          </w:tcPr>
          <w:p>
            <w:pPr>
              <w:autoSpaceDE/>
              <w:autoSpaceDN/>
              <w:adjustRightInd w:val="0"/>
              <w:snapToGrid w:val="0"/>
              <w:spacing w:line="240" w:lineRule="auto"/>
              <w:ind w:firstLine="0"/>
              <w:jc w:val="center"/>
              <w:rPr>
                <w:rFonts w:hint="eastAsia"/>
                <w:color w:val="auto"/>
                <w:szCs w:val="21"/>
                <w:lang w:val="en-US" w:eastAsia="zh-CN"/>
                <w:highlight w:val="none"/>
              </w:rPr>
            </w:pPr>
            <w:r>
              <w:rPr>
                <w:rFonts w:cs="Times New Roman" w:hint="eastAsia"/>
                <w:color w:val="auto"/>
                <w:sz w:val="21"/>
                <w:szCs w:val="21"/>
                <w:lang w:val="en-US" w:eastAsia="zh-CN"/>
                <w:highlight w:val="none"/>
              </w:rPr>
              <w:t>+</w:t>
            </w:r>
            <w:r>
              <w:rPr>
                <w:rFonts w:cs="Times New Roman" w:hint="eastAsia"/>
                <w:color w:val="auto"/>
                <w:szCs w:val="21"/>
                <w:lang w:val="en-US" w:eastAsia="zh-CN"/>
                <w:highlight w:val="none"/>
              </w:rPr>
              <w:t>0.9</w:t>
            </w:r>
          </w:p>
        </w:tc>
      </w:tr>
    </w:tbl>
    <w:p>
      <w:pPr>
        <w:pStyle w:val="55"/>
        <w:spacing w:beforeLines="0" w:before="10" w:afterLines="0" w:after="10" w:line="240" w:lineRule="auto"/>
        <w:jc w:val="left"/>
        <w:rPr>
          <w:rFonts w:hint="eastAsia"/>
          <w:color w:val="auto"/>
          <w:highlight w:val="none"/>
        </w:rPr>
      </w:pPr>
      <w:r>
        <w:rPr>
          <w:rFonts w:ascii="Times New Roman" w:hAnsi="Times New Roman" w:hint="eastAsia"/>
          <w:color w:val="auto"/>
          <w:kern w:val="2"/>
          <w:szCs w:val="21"/>
          <w:highlight w:val="none"/>
        </w:rPr>
        <w:t>注：</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6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1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3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③</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4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④</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5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⑤</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7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⑦</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6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⑥</w:t>
      </w:r>
      <w:r>
        <w:rPr>
          <w:rFonts w:ascii="Times New Roman" w:hAnsi="Times New Roman" w:hint="eastAsia"/>
          <w:color w:val="auto"/>
          <w:kern w:val="2"/>
          <w:szCs w:val="21"/>
          <w:highlight w:val="none"/>
        </w:rPr>
        <w:fldChar w:fldCharType="end"/>
      </w:r>
      <w:r>
        <w:rPr>
          <w:rFonts w:ascii="Times New Roman" w:hAnsi="Times New Roman" w:hint="eastAsia"/>
          <w:color w:val="auto"/>
          <w:kern w:val="2"/>
          <w:szCs w:val="21"/>
          <w:highlight w:val="none"/>
        </w:rPr>
        <w:t>-</w:t>
      </w:r>
      <w:r>
        <w:rPr>
          <w:rFonts w:ascii="Times New Roman" w:hAnsi="Times New Roman" w:hint="eastAsia"/>
          <w:color w:val="auto"/>
          <w:kern w:val="2"/>
          <w:szCs w:val="21"/>
          <w:highlight w:val="none"/>
        </w:rPr>
        <w:fldChar w:fldCharType="begin"/>
      </w:r>
      <w:r>
        <w:rPr>
          <w:rFonts w:ascii="Times New Roman" w:hAnsi="Times New Roman" w:hint="eastAsia"/>
          <w:color w:val="auto"/>
          <w:kern w:val="2"/>
          <w:szCs w:val="21"/>
          <w:highlight w:val="none"/>
        </w:rPr>
        <w:instrText xml:space="preserve"> = 1 \* GB3 \* MERGEFORMAT </w:instrText>
      </w:r>
      <w:r>
        <w:rPr>
          <w:rFonts w:ascii="Times New Roman" w:hAnsi="Times New Roman" w:hint="eastAsia"/>
          <w:color w:val="auto"/>
          <w:kern w:val="2"/>
          <w:szCs w:val="21"/>
          <w:highlight w:val="none"/>
        </w:rPr>
        <w:fldChar w:fldCharType="separate"/>
      </w:r>
      <w:r>
        <w:rPr>
          <w:rFonts w:ascii="Times New Roman" w:hAnsi="Times New Roman" w:hint="eastAsia"/>
          <w:color w:val="auto"/>
          <w:kern w:val="2"/>
          <w:szCs w:val="21"/>
          <w:highlight w:val="none"/>
        </w:rPr>
        <w:t>①</w:t>
      </w:r>
      <w:r>
        <w:rPr>
          <w:rFonts w:ascii="Times New Roman" w:hAnsi="Times New Roman" w:hint="eastAsia"/>
          <w:color w:val="auto"/>
          <w:kern w:val="2"/>
          <w:szCs w:val="21"/>
          <w:highlight w:val="none"/>
        </w:rPr>
        <w:fldChar w:fldCharType="end"/>
      </w:r>
      <w:bookmarkEnd w:id="66"/>
      <w:bookmarkEnd w:id="67"/>
      <w:bookmarkEnd w:id="68"/>
      <w:bookmarkEnd w:id="69"/>
      <w:bookmarkEnd w:id="70"/>
    </w:p>
    <w:sectPr>
      <w:pgSz w:w="16838" w:h="11906" w:orient="landscape"/>
      <w:pgMar w:top="720" w:right="720" w:bottom="720" w:left="720" w:header="851" w:footer="992" w:gutter="0"/>
      <w:pgBorders>
        <w:top w:val="none" w:sz="0" w:space="0" w:color="auto"/>
        <w:left w:val="none" w:sz="0" w:space="0" w:color="auto"/>
        <w:bottom w:val="none" w:sz="0" w:space="0" w:color="auto"/>
        <w:right w:val="none" w:sz="0" w:space="0" w:color="auto"/>
      </w:pgBorders>
      <w:pgNumType/>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楷体_GB2312">
    <w:altName w:val="楷体"/>
    <w:panose1 w:val="02010609030101010101"/>
    <w:charset w:val="86"/>
    <w:family w:val="modern"/>
    <w:pitch w:val="variable"/>
    <w:sig w:usb0="00000000" w:usb1="00000000" w:usb2="00000000" w:usb3="00000000" w:csb0="00040000"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86"/>
    <w:family w:val="auto"/>
    <w:pitch w:val="variable"/>
    <w:sig w:usb0="E0002AFF" w:usb1="C0007841"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 w:name="宋体">
    <w:panose1 w:val="02010600030101010101"/>
    <w:charset w:val="81"/>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Segoe UI">
    <w:panose1 w:val="020B0502040204020203"/>
    <w:charset w:val="00"/>
    <w:family w:val="auto"/>
    <w:pitch w:val="variable"/>
    <w:sig w:usb0="E10022FF" w:usb1="C000E47F" w:usb2="00000029" w:usb3="00000000" w:csb0="200001DF" w:csb1="20000000"/>
  </w:font>
  <w:font w:name="Calibri">
    <w:panose1 w:val="020F0502020204030204"/>
    <w:charset w:val="00"/>
    <w:family w:val="swiss"/>
    <w:pitch w:val="variable"/>
    <w:sig w:usb0="E00002FF" w:usb1="4000ACFF" w:usb2="00000001" w:usb3="00000000" w:csb0="2000019F" w:csb1="00000000"/>
  </w:font>
  <w:font w:name="微软雅黑">
    <w:panose1 w:val="020B0503020204020204"/>
    <w:charset w:val="86"/>
    <w:family w:val="auto"/>
    <w:pitch w:val="variable"/>
    <w:sig w:usb0="80000287" w:usb1="280F3C52" w:usb2="00000016" w:usb3="00000000" w:csb0="0004001F" w:csb1="00000000"/>
  </w:font>
  <w:font w:name="Arial">
    <w:panose1 w:val="020B0604020202020204"/>
    <w:charset w:val="01"/>
    <w:family w:val="swiss"/>
    <w:pitch w:val="variable"/>
    <w:sig w:usb0="E0002AFF" w:usb1="C0007843" w:usb2="00000009" w:usb3="00000000" w:csb0="400001FF" w:csb1="FFFF0000"/>
  </w:font>
  <w:font w:name="Calibri Light">
    <w:panose1 w:val="020F0302020204030204"/>
    <w:charset w:val="00"/>
    <w:family w:val="swiss"/>
    <w:pitch w:val="variable"/>
    <w:sig w:usb0="A00002EF" w:usb1="4000207B" w:usb2="00000000" w:usb3="00000000" w:csb0="2000019F" w:csb1="00000000"/>
  </w:font>
  <w:font w:name="Courier New">
    <w:panose1 w:val="02070309020205020404"/>
    <w:charset w:val="01"/>
    <w:family w:val="modern"/>
    <w:pitch w:val="variable"/>
    <w:sig w:usb0="E0002AFF" w:usb1="C0007843" w:usb2="00000009" w:usb3="00000000" w:csb0="400001FF" w:csb1="FFFF0000"/>
  </w:font>
  <w:font w:name="monospace">
    <w:altName w:val="幼圆"/>
    <w:panose1 w:val="00000000000000000000"/>
    <w:charset w:val="00"/>
    <w:family w:val="auto"/>
    <w:pitch w:val="variable"/>
    <w:sig w:usb0="00000000" w:usb1="00000000" w:usb2="00000000" w:usb3="00000000" w:csb0="00040001" w:csb1="00000000"/>
  </w:font>
  <w:font w:name="楷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r>
      <w:rPr>
        <w:sz w:val="18"/>
      </w:rPr>
      <mc:AlternateContent>
        <mc:Choice Requires="wps">
          <w:drawing>
            <wp:anchor distT="0" distB="0" distL="114300" distR="114300" simplePos="0" relativeHeight="198" behindDoc="0" locked="0" layoutInCell="1" hidden="0" allowOverlap="1">
              <wp:simplePos x="0" y="0"/>
              <wp:positionH relativeFrom="margin">
                <wp:align>right</wp:align>
              </wp:positionH>
              <wp:positionV relativeFrom="paragraph">
                <wp:posOffset>0</wp:posOffset>
              </wp:positionV>
              <wp:extent cx="400050" cy="131433"/>
              <wp:wrapNone/>
              <wp:docPr id="45" name="文本框 45"/>
              <wp:cNvGraphicFramePr>
                <a:graphicFrameLocks noChangeAspect="0"/>
              </wp:cNvGraphicFramePr>
              <a:graphic>
                <a:graphicData uri="http://schemas.microsoft.com/office/word/2010/wordprocessingShape">
                  <wps:wsp>
                    <wps:cNvSpPr/>
                    <wps:spPr>
                      <a:xfrm rot="0">
                        <a:off x="0" y="0"/>
                        <a:ext cx="400050" cy="131433"/>
                      </a:xfrm>
                      <a:prstGeom prst="rect"/>
                      <a:noFill/>
                      <a:ln w="6350" cmpd="sng" cap="flat">
                        <a:noFill/>
                        <a:prstDash val="solid"/>
                        <a:round/>
                      </a:ln>
                    </wps:spPr>
                    <wps:txbx id="1">
                      <w:txbxContent>
                        <w:p>
                          <w:pPr>
                            <w:pStyle w:val="26"/>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5" o:spid="_x0000_s2" filled="f" stroked="f" strokeweight="0.5pt" style="position:absolute;margin-left:0.0pt;margin-top:0.0pt;width:31.5pt;height:10.349121pt;z-index:198;mso-position-horizontal:right;mso-position-horizontal-relative:margin;mso-position-vertical:absolute;mso-wrap-style:none;">
              <v:stroke/>
              <v:textbox id="931" inset="0mm,0mm,0mm,0mm" o:insetmode="custom" style="layout-flow:horizontal;v-text-anchor:top;mso-fit-shape-to-text:t;">
                <w:txbxContent>
                  <w:p>
                    <w:pPr>
                      <w:pStyle w:val="26"/>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6"/>
      <w:tabs>
        <w:tab w:val="center" w:pos="4153"/>
        <w:tab w:val="right" w:pos="8306"/>
      </w:tabs>
      <w:ind w:right="360" w:firstLine="360"/>
    </w:pPr>
    <w:r>
      <w:rPr>
        <w:sz w:val="18"/>
      </w:rPr>
      <mc:AlternateContent>
        <mc:Choice Requires="wps">
          <w:drawing>
            <wp:anchor distT="0" distB="0" distL="114300" distR="114300" simplePos="0" relativeHeight="200" behindDoc="0" locked="0" layoutInCell="1" hidden="0" allowOverlap="1">
              <wp:simplePos x="0" y="0"/>
              <wp:positionH relativeFrom="margin">
                <wp:align>right</wp:align>
              </wp:positionH>
              <wp:positionV relativeFrom="paragraph">
                <wp:posOffset>0</wp:posOffset>
              </wp:positionV>
              <wp:extent cx="400050" cy="131433"/>
              <wp:wrapNone/>
              <wp:docPr id="46" name="文本框 46"/>
              <wp:cNvGraphicFramePr>
                <a:graphicFrameLocks noChangeAspect="0"/>
              </wp:cNvGraphicFramePr>
              <a:graphic>
                <a:graphicData uri="http://schemas.microsoft.com/office/word/2010/wordprocessingShape">
                  <wps:wsp>
                    <wps:cNvSpPr/>
                    <wps:spPr>
                      <a:xfrm rot="0">
                        <a:off x="0" y="0"/>
                        <a:ext cx="400050" cy="131433"/>
                      </a:xfrm>
                      <a:prstGeom prst="rect"/>
                      <a:noFill/>
                      <a:ln w="6350" cmpd="sng" cap="flat">
                        <a:noFill/>
                        <a:prstDash val="solid"/>
                        <a:round/>
                      </a:ln>
                    </wps:spPr>
                    <wps:txbx id="123">
                      <w:txbxContent>
                        <w:p>
                          <w:pPr>
                            <w:pStyle w:val="26"/>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6" o:spid="_x0000_s124" filled="f" stroked="f" strokeweight="0.5pt" style="position:absolute;margin-left:0.0pt;margin-top:0.0pt;width:31.5pt;height:10.349121pt;z-index:200;mso-position-horizontal:right;mso-position-horizontal-relative:margin;mso-position-vertical:absolute;mso-wrap-style:none;">
              <v:stroke/>
              <v:textbox id="932" inset="0mm,0mm,0mm,0mm" o:insetmode="custom" style="layout-flow:horizontal;v-text-anchor:top;mso-fit-shape-to-text:t;">
                <w:txbxContent>
                  <w:p>
                    <w:pPr>
                      <w:pStyle w:val="26"/>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1A99585"/>
    <w:multiLevelType w:val="singleLevel"/>
    <w:tmpl w:val="81A99585"/>
    <w:lvl w:ilvl="0">
      <w:start w:val="7"/>
      <w:numFmt w:val="decimal"/>
      <w:lvlRestart w:val="0"/>
      <w:suff w:val="nothing"/>
      <w:lvlText w:val="%1、"/>
      <w:lvlJc w:val="left"/>
      <w:pPr/>
    </w:lvl>
  </w:abstractNum>
  <w:abstractNum w:abstractNumId="1">
    <w:nsid w:val="BEB5720A"/>
    <w:multiLevelType w:val="singleLevel"/>
    <w:tmpl w:val="BEB5720A"/>
    <w:lvl w:ilvl="0">
      <w:start w:val="10"/>
      <w:numFmt w:val="decimal"/>
      <w:lvlRestart w:val="0"/>
      <w:suff w:val="nothing"/>
      <w:lvlText w:val="（%1）"/>
      <w:lvlJc w:val="left"/>
      <w:pPr/>
    </w:lvl>
  </w:abstractNum>
  <w:abstractNum w:abstractNumId="2">
    <w:nsid w:val="CD933211"/>
    <w:multiLevelType w:val="singleLevel"/>
    <w:tmpl w:val="CD933211"/>
    <w:lvl w:ilvl="0">
      <w:start w:val="2"/>
      <w:numFmt w:val="chineseCounting"/>
      <w:lvlRestart w:val="0"/>
      <w:suff w:val="nothing"/>
      <w:lvlText w:val="%1、"/>
      <w:lvlJc w:val="left"/>
      <w:pPr/>
      <w:rPr>
        <w:rFonts w:hint="eastAsia"/>
      </w:rPr>
    </w:lvl>
  </w:abstractNum>
  <w:abstractNum w:abstractNumId="3">
    <w:nsid w:val="A66E5D0F"/>
    <w:multiLevelType w:val="singleLevel"/>
    <w:tmpl w:val="A66E5D0F"/>
    <w:lvl w:ilvl="0">
      <w:start w:val="3"/>
      <w:numFmt w:val="decimal"/>
      <w:lvlRestart w:val="0"/>
      <w:suff w:val="nothing"/>
      <w:lvlText w:val="%1、"/>
      <w:lvlJc w:val="left"/>
      <w:pPr/>
    </w:lvl>
  </w:abstractNum>
  <w:abstractNum w:abstractNumId="4">
    <w:nsid w:val="66CA1CFE"/>
    <w:multiLevelType w:val="multilevel"/>
    <w:tmpl w:val="66CA1CFE"/>
    <w:lvl w:ilvl="0">
      <w:start w:val="1"/>
      <w:numFmt w:val="decimal"/>
      <w:lvlRestart w:val="0"/>
      <w:pStyle w:val="89"/>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5">
    <w:nsid w:val="A62D457C"/>
    <w:multiLevelType w:val="multilevel"/>
    <w:tmpl w:val="5FFBAFD8"/>
    <w:lvl w:ilvl="0">
      <w:start w:val="1"/>
      <w:numFmt w:val="decimal"/>
      <w:lvlRestart w:val="0"/>
      <w:suff w:val="nothing"/>
      <w:lvlText w:val="%1"/>
      <w:lvlJc w:val="left"/>
      <w:pPr>
        <w:ind w:left="0" w:hanging="0"/>
      </w:pPr>
      <w:rPr>
        <w:rFonts w:ascii="Times New Roman" w:hAnsi="Times New Roman" w:eastAsia="宋体" w:cs="Times New Roman" w:hint="default"/>
        <w:snapToGrid w:val="0"/>
        <w:kern w:val="2"/>
        <w:sz w:val="32"/>
        <w:szCs w:val="32"/>
      </w:rPr>
    </w:lvl>
    <w:lvl w:ilvl="1">
      <w:start w:val="1"/>
      <w:numFmt w:val="decimal"/>
      <w:suff w:val="nothing"/>
      <w:lvlText w:val="%1.%2"/>
      <w:lvlJc w:val="left"/>
      <w:pPr>
        <w:tabs>
          <w:tab w:val="num" w:pos="2001"/>
        </w:tabs>
        <w:ind w:left="113" w:hanging="0"/>
      </w:pPr>
      <w:rPr>
        <w:rFonts w:ascii="Times New Roman" w:hAnsi="Times New Roman" w:eastAsia="宋体" w:cs="Times New Roman" w:hint="default"/>
        <w:snapToGrid w:val="0"/>
        <w:color w:val="auto"/>
        <w:spacing w:val="0"/>
        <w:kern w:val="2"/>
        <w:position w:val="0"/>
        <w:sz w:val="30"/>
        <w:szCs w:val="30"/>
      </w:rPr>
    </w:lvl>
    <w:lvl w:ilvl="2">
      <w:start w:val="1"/>
      <w:numFmt w:val="decimal"/>
      <w:suff w:val="nothing"/>
      <w:lvlText w:val="%1.%2.%3"/>
      <w:lvlJc w:val="left"/>
      <w:pPr>
        <w:tabs>
          <w:tab w:val="num" w:pos="0"/>
        </w:tabs>
        <w:ind w:left="284" w:hanging="0"/>
      </w:pPr>
      <w:rPr>
        <w:rFonts w:ascii="Times New Roman" w:hAnsi="Times New Roman" w:eastAsia="宋体" w:cs="Times New Roman" w:hint="default"/>
        <w:b/>
        <w:snapToGrid w:val="0"/>
        <w:color w:val="auto"/>
        <w:spacing w:val="0"/>
        <w:kern w:val="2"/>
        <w:position w:val="0"/>
        <w:sz w:val="28"/>
        <w:szCs w:val="28"/>
      </w:rPr>
    </w:lvl>
    <w:lvl w:ilvl="3">
      <w:start w:val="1"/>
      <w:numFmt w:val="decimal"/>
      <w:suff w:val="nothing"/>
      <w:lvlText w:val="%1.%2.%3.%4"/>
      <w:lvlJc w:val="left"/>
      <w:pPr>
        <w:ind w:left="0" w:firstLine="471"/>
      </w:pPr>
      <w:rPr>
        <w:rFonts w:ascii="Times New Roman" w:hAnsi="Times New Roman" w:eastAsia="宋体" w:cs="Times New Roman" w:hint="default"/>
        <w:b/>
        <w:snapToGrid w:val="0"/>
        <w:color w:val="auto"/>
        <w:spacing w:val="0"/>
        <w:kern w:val="2"/>
        <w:position w:val="0"/>
        <w:sz w:val="24"/>
        <w:szCs w:val="24"/>
      </w:rPr>
    </w:lvl>
    <w:lvl w:ilvl="4">
      <w:start w:val="1"/>
      <w:numFmt w:val="decimal"/>
      <w:lvlText w:val="%1.%2.%3.%4.%5"/>
      <w:lvlJc w:val="left"/>
      <w:pPr>
        <w:tabs>
          <w:tab w:val="num" w:pos="420"/>
        </w:tabs>
        <w:ind w:left="0" w:hanging="0"/>
      </w:pPr>
      <w:rPr>
        <w:rFonts w:hint="default"/>
      </w:rPr>
    </w:lvl>
    <w:lvl w:ilvl="5">
      <w:start w:val="1"/>
      <w:numFmt w:val="decimal"/>
      <w:pStyle w:val="108"/>
      <w:lvlText w:val="表%1.%2.%3-%6"/>
      <w:lvlJc w:val="center"/>
      <w:pPr>
        <w:tabs>
          <w:tab w:val="num" w:pos="0"/>
        </w:tabs>
        <w:ind w:left="0" w:hanging="0"/>
      </w:pPr>
      <w:rPr>
        <w:rFonts w:ascii="Times New Roman" w:hAnsi="Times New Roman" w:eastAsia="宋体" w:cs="Times New Roman" w:hint="default"/>
        <w:sz w:val="24"/>
        <w:szCs w:val="24"/>
      </w:rPr>
    </w:lvl>
    <w:lvl w:ilvl="6">
      <w:start w:val="1"/>
      <w:numFmt w:val="decimal"/>
      <w:lvlText w:val="%1.%2.%3.%4.%5.%6.%7"/>
      <w:lvlJc w:val="left"/>
      <w:pPr>
        <w:tabs>
          <w:tab w:val="num" w:pos="2147"/>
        </w:tabs>
        <w:ind w:left="0" w:hanging="0"/>
      </w:pPr>
      <w:rPr>
        <w:rFonts w:hint="eastAsia"/>
      </w:rPr>
    </w:lvl>
    <w:lvl w:ilvl="7">
      <w:start w:val="1"/>
      <w:numFmt w:val="decimal"/>
      <w:lvlText w:val="%1.%2.%3.%4.%5.%6.%7.%8"/>
      <w:lvlJc w:val="left"/>
      <w:pPr>
        <w:tabs>
          <w:tab w:val="num" w:pos="2291"/>
        </w:tabs>
        <w:ind w:left="0" w:hanging="0"/>
      </w:pPr>
      <w:rPr>
        <w:rFonts w:hint="eastAsia"/>
      </w:rPr>
    </w:lvl>
    <w:lvl w:ilvl="8">
      <w:start w:val="1"/>
      <w:numFmt w:val="decimal"/>
      <w:lvlText w:val="%1.%2.%3.%4.%5.%6.%7.%8.%9"/>
      <w:lvlJc w:val="left"/>
      <w:pPr>
        <w:tabs>
          <w:tab w:val="num" w:pos="2435"/>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doNotDisplayPageBoundaries/>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compat>
    <w:balanceSingleByteDoubleByteWidth/>
    <w:ulTrailSpace/>
    <w:doNotExpandShiftReturn/>
    <w:adjustLineHeightInTable/>
    <w:doNotUseIndentAsNumberingTabStop/>
    <w:compatSetting w:name="compatibilityMode" w:uri="http://schemas.microsoft.com/office/word" w:val="15"/>
  </w:compat>
  <w:docVars>
    <w:docVar w:name="commondata" w:val="eyJoZGlkIjoiZDQ4YjhmN2MxNWRhOWEzMzJjMGI3YmZlMjYzYzI4Zjk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customStyle="1" w:styleId="1Char">
    <w:name w:val="heading 1 Char"/>
    <w:basedOn w:val="10"/>
    <w:link w:val="1"/>
    <w:rPr>
      <w:rFonts w:ascii="Times New Roman" w:eastAsia="黑体" w:cs="Times New Roman" w:hAnsi="Times New Roman"/>
      <w:b/>
      <w:bCs/>
      <w:color w:val="000000"/>
      <w:kern w:val="44"/>
      <w:sz w:val="30"/>
      <w:szCs w:val="30"/>
      <w:lang w:val="en-US" w:eastAsia="zh-CN" w:bidi="ar-SA"/>
    </w:rPr>
  </w:style>
  <w:style w:type="paragraph" w:styleId="2">
    <w:name w:val="heading 2"/>
    <w:qFormat/>
    <w:basedOn w:val="0"/>
    <w:next w:val="0"/>
    <w:link w:val="2Char"/>
    <w:pPr>
      <w:keepNext/>
      <w:keepLines/>
      <w:spacing w:before="260" w:after="260" w:line="415" w:lineRule="auto"/>
      <w:outlineLvl w:val="1"/>
    </w:pPr>
    <w:rPr>
      <w:rFonts w:ascii="Arial" w:eastAsia="黑体" w:hAnsi="Arial"/>
      <w:b/>
      <w:bCs/>
      <w:sz w:val="32"/>
      <w:szCs w:val="32"/>
    </w:rPr>
  </w:style>
  <w:style w:type="character" w:customStyle="1" w:styleId="2Char">
    <w:name w:val="heading 2 Char"/>
    <w:basedOn w:val="10"/>
    <w:link w:val="2"/>
    <w:rPr>
      <w:rFonts w:ascii="Arial" w:eastAsia="黑体" w:cs="Times New Roman" w:hAnsi="Arial"/>
      <w:b/>
      <w:bCs/>
      <w:kern w:val="2"/>
      <w:sz w:val="32"/>
      <w:szCs w:val="32"/>
      <w:lang w:val="en-US" w:eastAsia="zh-CN" w:bidi="ar-SA"/>
    </w:rPr>
  </w:style>
  <w:style w:type="paragraph" w:styleId="3">
    <w:name w:val="heading 3"/>
    <w:qFormat/>
    <w:basedOn w:val="0"/>
    <w:next w:val="0"/>
    <w:link w:val="3Char"/>
    <w:pPr>
      <w:keepNext/>
      <w:keepLines/>
      <w:spacing w:before="260" w:after="260" w:line="360" w:lineRule="auto"/>
      <w:outlineLvl w:val="2"/>
    </w:pPr>
    <w:rPr>
      <w:b/>
      <w:bCs/>
      <w:sz w:val="24"/>
      <w:szCs w:val="32"/>
    </w:rPr>
  </w:style>
  <w:style w:type="character" w:customStyle="1" w:styleId="3Char">
    <w:name w:val="heading 3 Char"/>
    <w:basedOn w:val="10"/>
    <w:link w:val="3"/>
    <w:rPr>
      <w:rFonts w:ascii="Times New Roman" w:eastAsia="宋体" w:cs="Times New Roman" w:hAnsi="Times New Roman"/>
      <w:b/>
      <w:bCs/>
      <w:kern w:val="2"/>
      <w:sz w:val="24"/>
      <w:szCs w:val="32"/>
      <w:lang w:val="en-US" w:eastAsia="zh-CN" w:bidi="ar-SA"/>
    </w:rPr>
  </w:style>
  <w:style w:type="paragraph" w:styleId="4">
    <w:name w:val="heading 4"/>
    <w:qFormat/>
    <w:basedOn w:val="0"/>
    <w:next w:val="0"/>
    <w:link w:val="4Char"/>
    <w:pPr>
      <w:keepNext/>
      <w:keepLines/>
      <w:spacing w:line="440" w:lineRule="exact"/>
      <w:ind w:firstLineChars="200" w:firstLine="200"/>
      <w:outlineLvl w:val="3"/>
    </w:pPr>
    <w:rPr>
      <w:rFonts w:ascii="Calibri Light" w:hAnsi="Calibri Light"/>
      <w:bCs/>
      <w:kern w:val="0"/>
      <w:sz w:val="24"/>
      <w:szCs w:val="28"/>
    </w:rPr>
  </w:style>
  <w:style w:type="character" w:customStyle="1" w:styleId="4Char">
    <w:name w:val="heading 4 Char"/>
    <w:basedOn w:val="10"/>
    <w:link w:val="4"/>
    <w:rPr>
      <w:rFonts w:ascii="Calibri Light" w:eastAsia="宋体" w:cs="Times New Roman" w:hAnsi="Calibri Light"/>
      <w:bCs/>
      <w:kern w:val="0"/>
      <w:sz w:val="24"/>
      <w:szCs w:val="28"/>
      <w:lang w:val="en-US" w:eastAsia="zh-CN" w:bidi="ar-SA"/>
    </w:rPr>
  </w:style>
  <w:style w:type="character" w:default="1" w:styleId="10">
    <w:name w:val="Default Paragraph Font"/>
    <w:qFormat/>
  </w:style>
  <w:style w:type="paragraph" w:styleId="15">
    <w:name w:val="Note Heading"/>
    <w:qFormat/>
    <w:basedOn w:val="0"/>
    <w:next w:val="0"/>
    <w:pPr>
      <w:jc w:val="center"/>
    </w:pPr>
    <w:rPr>
      <w:rFonts w:ascii="宋体" w:hAnsi="Calibri"/>
      <w:kern w:val="0"/>
      <w:sz w:val="24"/>
    </w:rPr>
  </w:style>
  <w:style w:type="paragraph" w:styleId="16">
    <w:name w:val="Normal Indent"/>
    <w:qFormat/>
    <w:basedOn w:val="0"/>
    <w:next w:val="17"/>
    <w:pPr>
      <w:adjustRightInd w:val="0"/>
      <w:snapToGrid w:val="0"/>
      <w:spacing w:line="460" w:lineRule="atLeast"/>
      <w:ind w:firstLineChars="200" w:firstLine="200"/>
    </w:pPr>
    <w:rPr>
      <w:rFonts w:ascii="Calibri" w:hAnsi="Calibri"/>
      <w:kern w:val="0"/>
      <w:sz w:val="28"/>
    </w:rPr>
  </w:style>
  <w:style w:type="paragraph" w:styleId="17">
    <w:name w:val="Plain Text"/>
    <w:qFormat/>
    <w:basedOn w:val="0"/>
    <w:rPr>
      <w:rFonts w:ascii="宋体" w:hAnsi="Courier New"/>
      <w:kern w:val="0"/>
      <w:sz w:val="20"/>
    </w:rPr>
  </w:style>
  <w:style w:type="paragraph" w:styleId="18">
    <w:name w:val="caption"/>
    <w:qFormat/>
    <w:basedOn w:val="0"/>
    <w:next w:val="0"/>
    <w:pPr>
      <w:spacing w:before="152" w:after="160"/>
      <w:jc w:val="center"/>
    </w:pPr>
    <w:rPr>
      <w:rFonts w:ascii="黑体" w:eastAsia="黑体" w:cs="Arial" w:hAnsi="Arial"/>
      <w:szCs w:val="20"/>
    </w:rPr>
  </w:style>
  <w:style w:type="paragraph" w:styleId="19">
    <w:name w:val="Document Map"/>
    <w:qFormat/>
    <w:basedOn w:val="0"/>
    <w:rPr>
      <w:rFonts w:ascii="微软雅黑" w:hAnsi="微软雅黑"/>
      <w:sz w:val="18"/>
      <w:szCs w:val="18"/>
    </w:rPr>
  </w:style>
  <w:style w:type="paragraph" w:styleId="20">
    <w:name w:val="annotation text"/>
    <w:qFormat/>
    <w:basedOn w:val="0"/>
    <w:pPr>
      <w:jc w:val="left"/>
    </w:pPr>
    <w:rPr>
      <w:kern w:val="0"/>
      <w:sz w:val="24"/>
      <w:szCs w:val="20"/>
    </w:rPr>
  </w:style>
  <w:style w:type="paragraph" w:styleId="21">
    <w:name w:val="Body Text"/>
    <w:qFormat/>
    <w:basedOn w:val="0"/>
    <w:next w:val="0"/>
    <w:pPr>
      <w:widowControl/>
      <w:snapToGrid w:val="0"/>
      <w:spacing w:before="60" w:after="160" w:line="259" w:lineRule="auto"/>
      <w:ind w:right="113"/>
    </w:pPr>
    <w:rPr>
      <w:kern w:val="0"/>
      <w:sz w:val="18"/>
      <w:szCs w:val="20"/>
    </w:rPr>
  </w:style>
  <w:style w:type="paragraph" w:styleId="22">
    <w:name w:val="Body Text Indent"/>
    <w:qFormat/>
    <w:basedOn w:val="0"/>
    <w:next w:val="0"/>
    <w:pPr>
      <w:spacing w:after="120"/>
      <w:ind w:leftChars="200" w:left="200"/>
    </w:pPr>
    <w:rPr>
      <w:kern w:val="0"/>
      <w:sz w:val="24"/>
      <w:szCs w:val="20"/>
    </w:rPr>
  </w:style>
  <w:style w:type="paragraph" w:styleId="23">
    <w:name w:val="toc 8"/>
    <w:qFormat/>
    <w:basedOn w:val="0"/>
    <w:next w:val="0"/>
    <w:pPr>
      <w:ind w:leftChars="1400" w:left="1400"/>
    </w:pPr>
  </w:style>
  <w:style w:type="paragraph" w:styleId="24">
    <w:name w:val="Date"/>
    <w:qFormat/>
    <w:basedOn w:val="0"/>
    <w:next w:val="0"/>
    <w:pPr>
      <w:ind w:leftChars="2500" w:left="2500"/>
    </w:pPr>
    <w:rPr>
      <w:kern w:val="0"/>
      <w:sz w:val="24"/>
      <w:szCs w:val="20"/>
    </w:rPr>
  </w:style>
  <w:style w:type="paragraph" w:styleId="25">
    <w:name w:val="Balloon Text"/>
    <w:qFormat/>
    <w:basedOn w:val="0"/>
    <w:rPr>
      <w:kern w:val="0"/>
      <w:sz w:val="18"/>
      <w:szCs w:val="20"/>
    </w:rPr>
  </w:style>
  <w:style w:type="paragraph" w:styleId="26">
    <w:name w:val="footer"/>
    <w:qFormat/>
    <w:basedOn w:val="0"/>
    <w:pPr>
      <w:tabs>
        <w:tab w:val="center" w:pos="4153"/>
        <w:tab w:val="right" w:pos="8306"/>
      </w:tabs>
      <w:snapToGrid w:val="0"/>
      <w:jc w:val="left"/>
    </w:pPr>
    <w:rPr>
      <w:kern w:val="0"/>
      <w:sz w:val="18"/>
      <w:szCs w:val="20"/>
    </w:rPr>
  </w:style>
  <w:style w:type="paragraph" w:styleId="27">
    <w:name w:val="header"/>
    <w:qFormat/>
    <w:basedOn w:val="0"/>
    <w:next w:val="30"/>
    <w:pPr>
      <w:pBdr>
        <w:bottom w:val="single" w:sz="6" w:space="1" w:color="auto"/>
      </w:pBdr>
      <w:tabs>
        <w:tab w:val="center" w:pos="4153"/>
        <w:tab w:val="right" w:pos="8306"/>
      </w:tabs>
      <w:snapToGrid w:val="0"/>
      <w:jc w:val="center"/>
    </w:pPr>
    <w:rPr>
      <w:kern w:val="0"/>
      <w:sz w:val="18"/>
      <w:szCs w:val="20"/>
    </w:rPr>
  </w:style>
  <w:style w:type="paragraph" w:styleId="28">
    <w:name w:val="Body Text 2"/>
    <w:qFormat/>
    <w:basedOn w:val="0"/>
    <w:pPr>
      <w:spacing w:after="120" w:line="480" w:lineRule="auto"/>
    </w:pPr>
    <w:rPr>
      <w:rFonts w:ascii="Calibri" w:hAnsi="Calibri"/>
      <w:kern w:val="0"/>
      <w:sz w:val="20"/>
    </w:rPr>
  </w:style>
  <w:style w:type="paragraph" w:customStyle="1" w:yozoId="4094" w:styleId="29">
    <w:name w:val="正文1"/>
    <w:qFormat/>
    <w:basedOn w:val="28"/>
    <w:next w:val="28"/>
    <w:pPr>
      <w:adjustRightInd w:val="0"/>
      <w:snapToGrid w:val="0"/>
      <w:spacing w:line="480" w:lineRule="exact"/>
      <w:ind w:firstLineChars="200" w:firstLine="200"/>
    </w:pPr>
    <w:rPr>
      <w:kern w:val="0"/>
      <w:sz w:val="24"/>
    </w:rPr>
  </w:style>
  <w:style w:type="paragraph" w:customStyle="1" w:yozoId="4094" w:styleId="30">
    <w:name w:val="样式5"/>
    <w:qFormat/>
    <w:basedOn w:val="29"/>
    <w:pPr>
      <w:adjustRightInd w:val="0"/>
      <w:snapToGrid w:val="0"/>
      <w:spacing w:line="360" w:lineRule="auto"/>
    </w:pPr>
    <w:rPr>
      <w:rFonts w:ascii="Calibri" w:hAnsi="Calibri"/>
      <w:sz w:val="24"/>
    </w:rPr>
  </w:style>
  <w:style w:type="paragraph" w:styleId="31">
    <w:name w:val="toc 1"/>
    <w:qFormat/>
    <w:basedOn w:val="0"/>
    <w:next w:val="0"/>
  </w:style>
  <w:style w:type="paragraph" w:styleId="32">
    <w:name w:val="List"/>
    <w:qFormat/>
    <w:basedOn w:val="0"/>
    <w:pPr>
      <w:ind w:left="200" w:hangingChars="200" w:hanging="200"/>
    </w:pPr>
  </w:style>
  <w:style w:type="paragraph" w:styleId="33">
    <w:name w:val="toc 2"/>
    <w:qFormat/>
    <w:basedOn w:val="0"/>
    <w:next w:val="0"/>
    <w:pPr>
      <w:spacing w:line="440" w:lineRule="exact"/>
      <w:ind w:firstLineChars="200" w:firstLine="200"/>
    </w:pPr>
  </w:style>
  <w:style w:type="paragraph" w:styleId="34">
    <w:name w:val="HTML Preformatted"/>
    <w:qFormat/>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qFormat/>
    <w:basedOn w:val="0"/>
    <w:next w:val="23"/>
    <w:pPr>
      <w:widowControl/>
      <w:spacing w:before="100" w:beforeAutospacing="1" w:after="100" w:afterAutospacing="1"/>
      <w:jc w:val="left"/>
    </w:pPr>
    <w:rPr>
      <w:rFonts w:ascii="宋体" w:hAnsi="宋体"/>
      <w:kern w:val="0"/>
      <w:sz w:val="24"/>
      <w:szCs w:val="20"/>
    </w:rPr>
  </w:style>
  <w:style w:type="paragraph" w:styleId="36">
    <w:name w:val="index 1"/>
    <w:qFormat/>
    <w:basedOn w:val="0"/>
    <w:next w:val="0"/>
    <w:pPr>
      <w:spacing w:line="240" w:lineRule="atLeast"/>
      <w:ind w:firstLine="420"/>
      <w:jc w:val="center"/>
    </w:pPr>
    <w:rPr>
      <w:szCs w:val="21"/>
    </w:rPr>
  </w:style>
  <w:style w:type="paragraph" w:styleId="37">
    <w:name w:val="Title"/>
    <w:qFormat/>
    <w:basedOn w:val="0"/>
    <w:next w:val="0"/>
    <w:pPr>
      <w:adjustRightInd w:val="0"/>
      <w:spacing w:before="240" w:after="60" w:line="420" w:lineRule="atLeast"/>
      <w:jc w:val="center"/>
      <w:textAlignment w:val="baseline"/>
      <w:outlineLvl w:val="0"/>
    </w:pPr>
    <w:rPr>
      <w:rFonts w:ascii="Arial" w:hAnsi="Arial"/>
      <w:b/>
      <w:kern w:val="0"/>
      <w:sz w:val="32"/>
    </w:rPr>
  </w:style>
  <w:style w:type="paragraph" w:styleId="38">
    <w:name w:val="annotation subject"/>
    <w:qFormat/>
    <w:basedOn w:val="20"/>
    <w:next w:val="20"/>
    <w:rPr>
      <w:b/>
      <w:kern w:val="2"/>
    </w:rPr>
  </w:style>
  <w:style w:type="paragraph" w:styleId="39">
    <w:name w:val="Body Text First Indent"/>
    <w:qFormat/>
    <w:basedOn w:val="21"/>
  </w:style>
  <w:style w:type="paragraph" w:styleId="40">
    <w:name w:val="Body Text First Indent 2"/>
    <w:qFormat/>
    <w:basedOn w:val="22"/>
    <w:next w:val="0"/>
    <w:pPr>
      <w:ind w:firstLineChars="200" w:firstLine="200"/>
    </w:pPr>
  </w:style>
  <w:style w:type="character" w:styleId="41">
    <w:name w:val="Strong"/>
    <w:qFormat/>
    <w:rPr>
      <w:b/>
    </w:rPr>
  </w:style>
  <w:style w:type="character" w:styleId="42">
    <w:name w:val="page number"/>
    <w:qFormat/>
  </w:style>
  <w:style w:type="character" w:styleId="43">
    <w:name w:val="FollowedHyperlink"/>
    <w:qFormat/>
    <w:rPr>
      <w:color w:val="666666"/>
      <w:u w:val="none"/>
    </w:rPr>
  </w:style>
  <w:style w:type="character" w:styleId="44">
    <w:name w:val="Emphasis"/>
    <w:qFormat/>
  </w:style>
  <w:style w:type="character" w:styleId="45">
    <w:name w:val="HTML Definition"/>
    <w:qFormat/>
    <w:rPr>
      <w:i/>
      <w:u w:val="single"/>
    </w:rPr>
  </w:style>
  <w:style w:type="character" w:styleId="46">
    <w:name w:val="HTML Typewriter"/>
    <w:qFormat/>
    <w:rPr>
      <w:rFonts w:ascii="monospace" w:eastAsia="monospace" w:cs="monospace" w:hAnsi="monospace"/>
      <w:sz w:val="20"/>
    </w:rPr>
  </w:style>
  <w:style w:type="character" w:styleId="47">
    <w:name w:val="HTML Acronym"/>
    <w:qFormat/>
  </w:style>
  <w:style w:type="character" w:styleId="48">
    <w:name w:val="HTML Variable"/>
    <w:qFormat/>
  </w:style>
  <w:style w:type="character" w:styleId="49">
    <w:name w:val="Hyperlink"/>
    <w:qFormat/>
    <w:rPr>
      <w:color w:val="666666"/>
      <w:u w:val="none"/>
    </w:rPr>
  </w:style>
  <w:style w:type="character" w:styleId="50">
    <w:name w:val="HTML Code"/>
    <w:qFormat/>
    <w:rPr>
      <w:rFonts w:ascii="monospace" w:eastAsia="monospace" w:cs="monospace" w:hAnsi="monospace"/>
      <w:sz w:val="20"/>
    </w:rPr>
  </w:style>
  <w:style w:type="character" w:styleId="51">
    <w:name w:val="annotation reference"/>
    <w:qFormat/>
    <w:basedOn w:val="10"/>
    <w:rPr>
      <w:sz w:val="21"/>
    </w:rPr>
  </w:style>
  <w:style w:type="character" w:styleId="52">
    <w:name w:val="HTML Cite"/>
    <w:qFormat/>
  </w:style>
  <w:style w:type="character" w:styleId="53">
    <w:name w:val="HTML Keyboard"/>
    <w:qFormat/>
    <w:rPr>
      <w:rFonts w:ascii="monospace" w:eastAsia="monospace" w:cs="monospace" w:hAnsi="monospace"/>
      <w:sz w:val="20"/>
    </w:rPr>
  </w:style>
  <w:style w:type="character" w:styleId="54">
    <w:name w:val="HTML Sample"/>
    <w:qFormat/>
    <w:rPr>
      <w:rFonts w:ascii="monospace" w:eastAsia="monospace" w:cs="monospace" w:hAnsi="monospace"/>
    </w:rPr>
  </w:style>
  <w:style w:type="paragraph" w:customStyle="1" w:yozoId="4094" w:styleId="55">
    <w:name w:val="表格"/>
    <w:qFormat/>
    <w:basedOn w:val="29"/>
    <w:next w:val="0"/>
    <w:pPr>
      <w:adjustRightInd w:val="0"/>
      <w:snapToGrid w:val="0"/>
      <w:spacing w:beforeLines="10" w:before="10" w:afterLines="10" w:after="10" w:line="259" w:lineRule="auto"/>
      <w:jc w:val="center"/>
    </w:pPr>
    <w:rPr>
      <w:rFonts w:ascii="宋体" w:eastAsia="宋体" w:cs="Times New Roman" w:hAnsi="Times New Roman"/>
      <w:sz w:val="21"/>
      <w:lang w:val="en-US" w:eastAsia="zh-CN" w:bidi="ar-SA"/>
    </w:rPr>
  </w:style>
  <w:style w:type="paragraph" w:customStyle="1" w:yozoId="4094" w:styleId="56">
    <w:name w:val="报告表正文"/>
    <w:qFormat/>
    <w:basedOn w:val="0"/>
    <w:link w:val="56Char"/>
    <w:pPr>
      <w:adjustRightInd w:val="0"/>
      <w:spacing w:line="460" w:lineRule="exact"/>
      <w:ind w:firstLineChars="200" w:firstLine="200"/>
      <w:textAlignment w:val="baseline"/>
    </w:pPr>
    <w:rPr>
      <w:kern w:val="0"/>
      <w:sz w:val="24"/>
      <w:szCs w:val="20"/>
    </w:rPr>
  </w:style>
  <w:style w:type="character" w:customStyle="1" w:styleId="56Char">
    <w:name w:val="报告表正文 Char"/>
    <w:basedOn w:val="10"/>
    <w:link w:val="56"/>
    <w:rPr>
      <w:rFonts w:ascii="Times New Roman" w:eastAsia="宋体" w:cs="Times New Roman" w:hAnsi="Times New Roman"/>
      <w:kern w:val="0"/>
      <w:sz w:val="24"/>
      <w:szCs w:val="20"/>
      <w:lang w:val="en-US" w:eastAsia="zh-CN" w:bidi="ar-SA"/>
    </w:rPr>
  </w:style>
  <w:style w:type="paragraph" w:customStyle="1" w:yozoId="4094" w:styleId="57">
    <w:name w:val="A-表格文字"/>
    <w:qFormat/>
    <w:basedOn w:val="0"/>
    <w:next w:val="0"/>
    <w:pPr>
      <w:autoSpaceDE w:val="0"/>
      <w:autoSpaceDN w:val="0"/>
      <w:adjustRightInd w:val="0"/>
      <w:jc w:val="center"/>
      <w:textAlignment w:val="center"/>
    </w:pPr>
    <w:rPr>
      <w:kern w:val="0"/>
      <w:szCs w:val="21"/>
    </w:rPr>
  </w:style>
  <w:style w:type="paragraph" w:customStyle="1" w:yozoId="4094" w:styleId="58">
    <w:name w:val="表格样式"/>
    <w:qFormat/>
    <w:basedOn w:val="0"/>
    <w:pPr>
      <w:jc w:val="center"/>
    </w:pPr>
  </w:style>
  <w:style w:type="paragraph" w:customStyle="1" w:yozoId="4094" w:styleId="59">
    <w:name w:val="表格正文"/>
    <w:qFormat/>
    <w:basedOn w:val="0"/>
    <w:next w:val="16"/>
    <w:pPr>
      <w:jc w:val="center"/>
    </w:pPr>
    <w:rPr>
      <w:kern w:val="0"/>
    </w:rPr>
  </w:style>
  <w:style w:type="paragraph" w:customStyle="1" w:yozoId="4094" w:styleId="60">
    <w:name w:val="表格格式"/>
    <w:qFormat/>
    <w:basedOn w:val="0"/>
    <w:next w:val="0"/>
    <w:pPr>
      <w:jc w:val="center"/>
    </w:pPr>
    <w:rPr>
      <w:snapToGrid w:val="0"/>
      <w:sz w:val="20"/>
    </w:rPr>
  </w:style>
  <w:style w:type="paragraph" w:customStyle="1" w:yozoId="4094" w:styleId="61">
    <w:name w:val="表格居中"/>
    <w:qFormat/>
    <w:pPr>
      <w:spacing w:line="440" w:lineRule="exact"/>
      <w:jc w:val="center"/>
    </w:pPr>
    <w:rPr>
      <w:rFonts w:ascii="Times New Roman" w:eastAsia="宋体" w:cs="Times New Roman" w:hAnsi="Times New Roman"/>
      <w:kern w:val="2"/>
      <w:sz w:val="24"/>
      <w:szCs w:val="24"/>
      <w:lang w:val="en-US" w:eastAsia="zh-CN" w:bidi="ar-SA"/>
    </w:rPr>
  </w:style>
  <w:style w:type="paragraph" w:customStyle="1" w:yozoId="4094" w:styleId="62">
    <w:name w:val="表格内容"/>
    <w:qFormat/>
    <w:basedOn w:val="40"/>
    <w:pPr>
      <w:adjustRightInd w:val="0"/>
      <w:snapToGrid w:val="0"/>
      <w:spacing w:line="360" w:lineRule="exact"/>
      <w:jc w:val="center"/>
    </w:pPr>
    <w:rPr>
      <w:color w:val="000000"/>
      <w:kern w:val="2"/>
      <w:sz w:val="21"/>
      <w:szCs w:val="24"/>
    </w:rPr>
  </w:style>
  <w:style w:type="paragraph" w:customStyle="1" w:yozoId="4094" w:styleId="63">
    <w:name w:val="修订1"/>
    <w:qFormat/>
    <w:rPr>
      <w:rFonts w:ascii="Times New Roman" w:eastAsia="宋体" w:cs="Times New Roman" w:hAnsi="Times New Roman"/>
      <w:kern w:val="2"/>
      <w:sz w:val="21"/>
      <w:szCs w:val="24"/>
      <w:lang w:val="en-US" w:eastAsia="zh-CN" w:bidi="ar-SA"/>
    </w:rPr>
  </w:style>
  <w:style w:type="paragraph" w:customStyle="1" w:yozoId="4094" w:styleId="64">
    <w:name w:val="0-5表格外"/>
    <w:qFormat/>
    <w:pPr>
      <w:adjustRightInd w:val="0"/>
      <w:snapToGrid w:val="0"/>
      <w:spacing w:beforeLines="50" w:before="50"/>
      <w:jc w:val="center"/>
    </w:pPr>
    <w:rPr>
      <w:rFonts w:ascii="Times New Roman" w:eastAsia="宋体" w:cs="Times New Roman" w:hAnsi="Times New Roman"/>
      <w:b/>
      <w:sz w:val="20"/>
      <w:szCs w:val="20"/>
      <w:lang w:val="en-US" w:eastAsia="zh-CN" w:bidi="ar-SA"/>
    </w:rPr>
  </w:style>
  <w:style w:type="paragraph" w:customStyle="1" w:yozoId="4094" w:styleId="65">
    <w:name w:val="0--表格文字"/>
    <w:qFormat/>
    <w:basedOn w:val="0"/>
    <w:pPr>
      <w:contextualSpacing/>
      <w:jc w:val="center"/>
    </w:pPr>
    <w:rPr>
      <w:bCs/>
      <w:szCs w:val="21"/>
    </w:rPr>
  </w:style>
  <w:style w:type="paragraph" w:customStyle="1" w:yozoId="4094" w:styleId="66">
    <w:name w:val="列出段落1"/>
    <w:qFormat/>
    <w:basedOn w:val="0"/>
    <w:pPr>
      <w:ind w:firstLineChars="200" w:firstLine="200"/>
    </w:pPr>
    <w:rPr>
      <w:rFonts w:ascii="Calibri" w:hAnsi="Calibri"/>
      <w:szCs w:val="22"/>
    </w:rPr>
  </w:style>
  <w:style w:type="paragraph" w:customStyle="1" w:yozoId="4094" w:styleId="67">
    <w:name w:val="表格2"/>
    <w:qFormat/>
    <w:basedOn w:val="0"/>
    <w:pPr>
      <w:spacing w:line="320" w:lineRule="exact"/>
      <w:jc w:val="center"/>
    </w:pPr>
    <w:rPr>
      <w:sz w:val="24"/>
      <w:szCs w:val="28"/>
    </w:rPr>
  </w:style>
  <w:style w:type="paragraph" w:customStyle="1" w:yozoId="4094" w:styleId="68">
    <w:name w:val="1表格文字"/>
    <w:qFormat/>
    <w:basedOn w:val="67"/>
    <w:next w:val="0"/>
    <w:pPr>
      <w:tabs>
        <w:tab w:val="left" w:pos="0"/>
        <w:tab w:val="left" w:pos="360"/>
        <w:tab w:val="left" w:pos="900"/>
      </w:tabs>
      <w:topLinePunct/>
      <w:autoSpaceDE w:val="0"/>
      <w:autoSpaceDN w:val="0"/>
      <w:adjustRightInd w:val="0"/>
      <w:snapToGrid w:val="0"/>
      <w:spacing w:line="320" w:lineRule="exact"/>
      <w:jc w:val="center"/>
      <w:textAlignment w:val="baseline"/>
    </w:pPr>
    <w:rPr>
      <w:rFonts w:ascii="Times New Roman" w:eastAsia="宋体" w:cs="Times New Roman" w:hAnsi="Times New Roman"/>
      <w:bCs/>
      <w:sz w:val="21"/>
      <w:lang w:val="en-US" w:eastAsia="zh-CN" w:bidi="ar-SA"/>
    </w:rPr>
  </w:style>
  <w:style w:type="paragraph" w:customStyle="1" w:yozoId="4094" w:styleId="69">
    <w:name w:val="Table Text"/>
    <w:qFormat/>
    <w:basedOn w:val="0"/>
    <w:pPr>
      <w:widowControl/>
      <w:kinsoku w:val="0"/>
      <w:autoSpaceDE w:val="0"/>
      <w:autoSpaceDN w:val="0"/>
      <w:adjustRightInd w:val="0"/>
      <w:snapToGrid w:val="0"/>
      <w:jc w:val="left"/>
      <w:textAlignment w:val="baseline"/>
    </w:pPr>
    <w:rPr>
      <w:rFonts w:ascii="宋体" w:cs="宋体" w:hAnsi="宋体"/>
      <w:color w:val="000000"/>
      <w:kern w:val="0"/>
      <w:sz w:val="20"/>
      <w:szCs w:val="20"/>
    </w:rPr>
  </w:style>
  <w:style w:type="character" w:customStyle="1" w:yozoId="4094" w:styleId="70">
    <w:name w:val="font51"/>
    <w:qFormat/>
    <w:basedOn w:val="10"/>
    <w:rPr>
      <w:rFonts w:ascii="楷体" w:eastAsia="楷体" w:cs="楷体" w:hAnsi="楷体"/>
      <w:color w:val="000000"/>
      <w:sz w:val="22"/>
      <w:szCs w:val="22"/>
      <w:u w:val="none"/>
    </w:rPr>
  </w:style>
  <w:style w:type="character" w:customStyle="1" w:yozoId="4094" w:styleId="71">
    <w:name w:val="font41"/>
    <w:qFormat/>
    <w:basedOn w:val="10"/>
    <w:rPr>
      <w:rFonts w:ascii="楷体" w:eastAsia="楷体" w:cs="楷体" w:hAnsi="楷体"/>
      <w:color w:val="000000"/>
      <w:sz w:val="22"/>
      <w:szCs w:val="22"/>
      <w:u w:val="none"/>
    </w:rPr>
  </w:style>
  <w:style w:type="character" w:customStyle="1" w:yozoId="4094" w:styleId="72">
    <w:name w:val="font11"/>
    <w:qFormat/>
    <w:basedOn w:val="10"/>
    <w:rPr>
      <w:rFonts w:ascii="Times New Roman" w:cs="Times New Roman" w:hAnsi="Times New Roman"/>
      <w:color w:val="000000"/>
      <w:sz w:val="22"/>
      <w:szCs w:val="22"/>
      <w:u w:val="none"/>
    </w:rPr>
  </w:style>
  <w:style w:type="character" w:customStyle="1" w:yozoId="4094" w:styleId="73">
    <w:name w:val="font101"/>
    <w:qFormat/>
    <w:basedOn w:val="10"/>
    <w:rPr>
      <w:rFonts w:ascii="楷体" w:eastAsia="楷体" w:cs="楷体" w:hAnsi="楷体"/>
      <w:color w:val="000000"/>
      <w:sz w:val="22"/>
      <w:szCs w:val="22"/>
      <w:u w:val="none"/>
    </w:rPr>
  </w:style>
  <w:style w:type="character" w:customStyle="1" w:yozoId="4094" w:styleId="74">
    <w:name w:val="font61"/>
    <w:qFormat/>
    <w:basedOn w:val="10"/>
    <w:rPr>
      <w:rFonts w:ascii="楷体" w:eastAsia="楷体" w:cs="楷体" w:hAnsi="楷体"/>
      <w:color w:val="000000"/>
      <w:sz w:val="22"/>
      <w:szCs w:val="22"/>
      <w:u w:val="none"/>
    </w:rPr>
  </w:style>
  <w:style w:type="character" w:customStyle="1" w:yozoId="4094" w:styleId="75">
    <w:name w:val="font71"/>
    <w:qFormat/>
    <w:basedOn w:val="10"/>
    <w:rPr>
      <w:rFonts w:ascii="楷体" w:eastAsia="楷体" w:cs="楷体" w:hAnsi="楷体"/>
      <w:color w:val="000000"/>
      <w:sz w:val="21"/>
      <w:szCs w:val="21"/>
      <w:u w:val="none"/>
    </w:rPr>
  </w:style>
  <w:style w:type="character" w:customStyle="1" w:yozoId="4094" w:styleId="76">
    <w:name w:val="font31"/>
    <w:qFormat/>
    <w:basedOn w:val="10"/>
    <w:rPr>
      <w:rFonts w:ascii="楷体" w:eastAsia="楷体" w:cs="楷体" w:hAnsi="楷体"/>
      <w:color w:val="000000"/>
      <w:sz w:val="21"/>
      <w:szCs w:val="21"/>
      <w:u w:val="none"/>
    </w:rPr>
  </w:style>
  <w:style w:type="character" w:customStyle="1" w:yozoId="4094" w:styleId="77">
    <w:name w:val="font21"/>
    <w:qFormat/>
    <w:basedOn w:val="10"/>
    <w:rPr>
      <w:rFonts w:ascii="Times New Roman" w:cs="Times New Roman" w:hAnsi="Times New Roman"/>
      <w:color w:val="000000"/>
      <w:sz w:val="21"/>
      <w:szCs w:val="21"/>
      <w:u w:val="none"/>
    </w:rPr>
  </w:style>
  <w:style w:type="paragraph" w:customStyle="1" w:yozoId="4094" w:styleId="78">
    <w:name w:val="样式 正文文本 + 首行缩进:  2 字符"/>
    <w:qFormat/>
    <w:basedOn w:val="21"/>
    <w:pPr>
      <w:spacing w:line="480" w:lineRule="exact"/>
      <w:ind w:firstLineChars="200" w:firstLine="200"/>
    </w:pPr>
    <w:rPr>
      <w:rFonts w:ascii="宋体" w:eastAsia="宋体" w:cs="宋体" w:hAnsi="宋体"/>
      <w:sz w:val="24"/>
      <w:szCs w:val="20"/>
    </w:rPr>
  </w:style>
  <w:style w:type="paragraph" w:customStyle="1" w:yozoId="4094" w:styleId="79">
    <w:name w:val="【正文】"/>
    <w:qFormat/>
    <w:basedOn w:val="0"/>
    <w:pPr>
      <w:ind w:firstLineChars="200" w:firstLine="200"/>
    </w:pPr>
    <w:rPr>
      <w:sz w:val="24"/>
    </w:rPr>
  </w:style>
  <w:style w:type="paragraph" w:customStyle="1" w:yozoId="4094" w:styleId="80">
    <w:name w:val="...正文"/>
    <w:qFormat/>
    <w:basedOn w:val="0"/>
    <w:pPr>
      <w:widowControl/>
      <w:spacing w:line="480" w:lineRule="exact"/>
      <w:ind w:firstLineChars="200" w:firstLine="200"/>
    </w:pPr>
    <w:rPr>
      <w:sz w:val="24"/>
    </w:rPr>
  </w:style>
  <w:style w:type="paragraph" w:customStyle="1" w:yozoId="4094" w:styleId="81">
    <w:name w:val="WPSOffice手动目录 1"/>
    <w:qFormat/>
    <w:rPr>
      <w:rFonts w:ascii="Times New Roman" w:eastAsia="宋体" w:cs="Times New Roman" w:hAnsi="Times New Roman"/>
      <w:sz w:val="20"/>
      <w:szCs w:val="20"/>
      <w:lang w:val="en-US" w:eastAsia="zh-CN" w:bidi="ar-SA"/>
    </w:rPr>
  </w:style>
  <w:style w:type="character" w:customStyle="1" w:yozoId="4094" w:styleId="82">
    <w:name w:val="fontstyle01"/>
    <w:qFormat/>
    <w:rPr>
      <w:rFonts w:ascii="宋体" w:eastAsia="宋体" w:hAnsi="宋体"/>
      <w:color w:val="000000"/>
      <w:sz w:val="24"/>
      <w:szCs w:val="24"/>
    </w:rPr>
  </w:style>
  <w:style w:type="paragraph" w:customStyle="1" w:yozoId="4094" w:styleId="83">
    <w:name w:val="正文_0"/>
    <w:qFormat/>
    <w:next w:val="84"/>
    <w:pPr>
      <w:widowControl w:val="0"/>
      <w:jc w:val="both"/>
    </w:pPr>
    <w:rPr>
      <w:rFonts w:ascii="Calibri" w:eastAsia="仿宋_GB2312" w:cs="Times New Roman" w:hAnsi="Calibri"/>
      <w:kern w:val="2"/>
      <w:sz w:val="32"/>
      <w:szCs w:val="24"/>
      <w:lang w:val="en-US" w:eastAsia="zh-CN" w:bidi="ar-SA"/>
    </w:rPr>
  </w:style>
  <w:style w:type="paragraph" w:customStyle="1" w:yozoId="4094" w:styleId="84">
    <w:name w:val="纯文本1"/>
    <w:qFormat/>
    <w:basedOn w:val="83"/>
    <w:pPr>
      <w:adjustRightInd w:val="0"/>
      <w:snapToGrid w:val="0"/>
      <w:spacing w:line="312" w:lineRule="atLeast"/>
      <w:textAlignment w:val="baseline"/>
    </w:pPr>
    <w:rPr>
      <w:rFonts w:hAnsi="Courier New"/>
      <w:kern w:val="0"/>
    </w:rPr>
  </w:style>
  <w:style w:type="paragraph" w:customStyle="1" w:yozoId="4094" w:styleId="85">
    <w:name w:val="Default"/>
    <w:qFormat/>
    <w:basedOn w:val="84"/>
    <w:next w:val="0"/>
    <w:pPr>
      <w:widowControl w:val="0"/>
      <w:autoSpaceDE w:val="0"/>
      <w:autoSpaceDN w:val="0"/>
      <w:adjustRightInd w:val="0"/>
      <w:snapToGrid w:val="0"/>
    </w:pPr>
    <w:rPr>
      <w:rFonts w:ascii="宋体" w:cs="宋体" w:hAnsi="宋体"/>
      <w:color w:val="000000"/>
      <w:sz w:val="24"/>
      <w:szCs w:val="24"/>
      <w:lang w:val="en-US" w:eastAsia="zh-CN" w:bidi="ar-SA"/>
    </w:rPr>
  </w:style>
  <w:style w:type="paragraph" w:customStyle="1" w:yozoId="4094" w:styleId="86">
    <w:name w:val="1正文"/>
    <w:qFormat/>
    <w:basedOn w:val="0"/>
    <w:next w:val="21"/>
    <w:pPr>
      <w:spacing w:line="440" w:lineRule="exact"/>
      <w:ind w:firstLineChars="200" w:firstLine="200"/>
    </w:pPr>
    <w:rPr>
      <w:snapToGrid w:val="0"/>
      <w:sz w:val="24"/>
      <w:szCs w:val="24"/>
    </w:rPr>
  </w:style>
  <w:style w:type="paragraph" w:customStyle="1" w:yozoId="4094" w:styleId="87">
    <w:name w:val="【表头】"/>
    <w:qFormat/>
    <w:basedOn w:val="0"/>
    <w:pPr>
      <w:widowControl/>
      <w:jc w:val="center"/>
    </w:pPr>
    <w:rPr>
      <w:b/>
      <w:kern w:val="0"/>
      <w:sz w:val="24"/>
      <w:szCs w:val="24"/>
    </w:rPr>
  </w:style>
  <w:style w:type="paragraph" w:customStyle="1" w:yozoId="4094" w:styleId="88">
    <w:name w:val="【表中文字】"/>
    <w:qFormat/>
    <w:basedOn w:val="0"/>
    <w:pPr>
      <w:jc w:val="center"/>
    </w:pPr>
    <w:rPr>
      <w:kern w:val="0"/>
    </w:rPr>
  </w:style>
  <w:style w:type="paragraph" w:customStyle="1" w:yozoId="4094" w:styleId="89">
    <w:name w:val="默认段落字体 Para Char Char Char Char Char Char Char Char Char"/>
    <w:qFormat/>
    <w:basedOn w:val="0"/>
    <w:pPr>
      <w:numPr>
        <w:ilvl w:val="0"/>
        <w:numId w:val="5"/>
      </w:numPr>
    </w:pPr>
    <w:rPr>
      <w:rFonts w:ascii="Calibri" w:hAnsi="Calibri"/>
      <w:sz w:val="24"/>
      <w:szCs w:val="24"/>
    </w:rPr>
  </w:style>
  <w:style w:type="paragraph" w:customStyle="1" w:yozoId="4094" w:styleId="90">
    <w:name w:val="04 正文"/>
    <w:qFormat/>
    <w:basedOn w:val="0"/>
    <w:pPr>
      <w:spacing w:line="400" w:lineRule="exact"/>
      <w:ind w:firstLineChars="200" w:firstLine="200"/>
    </w:pPr>
    <w:rPr>
      <w:bCs/>
      <w:color w:val="000000"/>
      <w:sz w:val="24"/>
      <w:szCs w:val="21"/>
    </w:rPr>
  </w:style>
  <w:style w:type="paragraph" w:customStyle="1" w:yozoId="4094" w:styleId="91">
    <w:name w:val="0正文"/>
    <w:qFormat/>
    <w:basedOn w:val="0"/>
    <w:next w:val="16"/>
    <w:pPr>
      <w:adjustRightInd w:val="0"/>
      <w:snapToGrid w:val="0"/>
      <w:spacing w:line="440" w:lineRule="exact"/>
      <w:ind w:firstLineChars="200" w:firstLine="200"/>
    </w:pPr>
    <w:rPr>
      <w:color w:val="000000"/>
      <w:kern w:val="0"/>
      <w:sz w:val="24"/>
      <w:szCs w:val="20"/>
    </w:rPr>
  </w:style>
  <w:style w:type="paragraph" w:customStyle="1" w:yozoId="4094" w:styleId="92">
    <w:name w:val="Table Paragraph"/>
    <w:qFormat/>
    <w:basedOn w:val="0"/>
    <w:pPr>
      <w:widowControl w:val="0"/>
      <w:spacing w:line="240" w:lineRule="auto"/>
      <w:jc w:val="both"/>
    </w:pPr>
    <w:rPr>
      <w:sz w:val="24"/>
      <w:szCs w:val="24"/>
    </w:rPr>
  </w:style>
  <w:style w:type="paragraph" w:customStyle="1" w:yozoId="4094" w:styleId="93">
    <w:name w:val="A表头"/>
    <w:qFormat/>
    <w:basedOn w:val="0"/>
    <w:pPr>
      <w:spacing w:beforeLines="30" w:before="30" w:line="240" w:lineRule="atLeast"/>
      <w:jc w:val="left"/>
    </w:pPr>
    <w:rPr>
      <w:rFonts w:eastAsia="黑体" w:cs="宋体"/>
      <w:szCs w:val="20"/>
    </w:rPr>
  </w:style>
  <w:style w:type="paragraph" w:customStyle="1" w:yozoId="4094" w:styleId="94">
    <w:name w:val="A表内"/>
    <w:qFormat/>
    <w:basedOn w:val="0"/>
    <w:pPr>
      <w:spacing w:line="0" w:lineRule="atLeast"/>
      <w:jc w:val="center"/>
    </w:pPr>
    <w:rPr>
      <w:rFonts w:cs="宋体"/>
      <w:szCs w:val="20"/>
    </w:rPr>
  </w:style>
  <w:style w:type="paragraph" w:customStyle="1" w:yozoId="4094" w:styleId="95">
    <w:name w:val="A图名"/>
    <w:qFormat/>
    <w:basedOn w:val="93"/>
    <w:pPr>
      <w:spacing w:beforeLines="0" w:before="0" w:afterLines="50" w:after="50"/>
      <w:jc w:val="center"/>
    </w:pPr>
    <w:rPr>
      <w:sz w:val="22"/>
    </w:rPr>
  </w:style>
  <w:style w:type="paragraph" w:customStyle="1" w:yozoId="4094" w:styleId="96">
    <w:name w:val="正文(罗)"/>
    <w:qFormat/>
    <w:basedOn w:val="0"/>
    <w:pPr>
      <w:snapToGrid w:val="0"/>
      <w:spacing w:line="360" w:lineRule="auto"/>
      <w:ind w:firstLine="480"/>
    </w:pPr>
    <w:rPr>
      <w:rFonts w:ascii="Times New Roman" w:hAnsi="Times New Roman"/>
      <w:sz w:val="24"/>
      <w:szCs w:val="24"/>
      <w:lang w:bidi="en-US"/>
    </w:rPr>
  </w:style>
  <w:style w:type="paragraph" w:customStyle="1" w:yozoId="4094" w:styleId="97">
    <w:name w:val="BT"/>
    <w:qFormat/>
    <w:basedOn w:val="96"/>
    <w:pPr>
      <w:adjustRightInd w:val="0"/>
      <w:snapToGrid w:val="0"/>
      <w:spacing w:line="240" w:lineRule="auto"/>
      <w:jc w:val="center"/>
    </w:pPr>
    <w:rPr>
      <w:rFonts w:ascii="Times New Roman" w:hAnsi="Times New Roman"/>
      <w:b/>
      <w:szCs w:val="20"/>
    </w:rPr>
  </w:style>
  <w:style w:type="paragraph" w:customStyle="1" w:yozoId="4094" w:styleId="98">
    <w:name w:val="D图表"/>
    <w:qFormat/>
    <w:basedOn w:val="0"/>
    <w:pPr>
      <w:jc w:val="center"/>
    </w:pPr>
    <w:rPr>
      <w:b/>
      <w:szCs w:val="21"/>
    </w:rPr>
  </w:style>
  <w:style w:type="paragraph" w:customStyle="1" w:yozoId="4094" w:styleId="99">
    <w:name w:val="A0正文"/>
    <w:qFormat/>
    <w:basedOn w:val="0"/>
    <w:pPr>
      <w:spacing w:line="500" w:lineRule="exact"/>
      <w:ind w:firstLineChars="200" w:firstLine="200"/>
    </w:pPr>
    <w:rPr>
      <w:rFonts w:cs="宋体"/>
      <w:sz w:val="24"/>
      <w:szCs w:val="20"/>
    </w:rPr>
  </w:style>
  <w:style w:type="paragraph" w:customStyle="1" w:yozoId="4094" w:styleId="100">
    <w:name w:val="文"/>
    <w:qFormat/>
    <w:basedOn w:val="0"/>
    <w:pPr>
      <w:spacing w:line="360" w:lineRule="auto"/>
      <w:ind w:firstLineChars="200" w:firstLine="200"/>
    </w:pPr>
    <w:rPr>
      <w:sz w:val="24"/>
    </w:rPr>
  </w:style>
  <w:style w:type="paragraph" w:customStyle="1" w:yozoId="4094" w:styleId="101">
    <w:name w:val="Default1"/>
    <w:qFormat/>
    <w:pPr>
      <w:widowControl w:val="0"/>
      <w:autoSpaceDE w:val="0"/>
      <w:autoSpaceDN w:val="0"/>
      <w:adjustRightInd w:val="0"/>
    </w:pPr>
    <w:rPr>
      <w:rFonts w:ascii="宋体" w:eastAsia="宋体" w:cs="宋体" w:hAnsi="Times New Roman"/>
      <w:color w:val="000000"/>
      <w:sz w:val="24"/>
      <w:szCs w:val="24"/>
      <w:lang w:val="en-US" w:eastAsia="zh-CN" w:bidi="ar-SA"/>
    </w:rPr>
  </w:style>
  <w:style w:type="paragraph" w:customStyle="1" w:yozoId="4094" w:styleId="102">
    <w:name w:val="样式2"/>
    <w:qFormat/>
    <w:basedOn w:val="0"/>
    <w:pPr>
      <w:spacing w:line="360" w:lineRule="auto"/>
      <w:ind w:firstLineChars="200" w:firstLine="200"/>
    </w:pPr>
    <w:rPr>
      <w:sz w:val="24"/>
    </w:rPr>
  </w:style>
  <w:style w:type="paragraph" w:customStyle="1" w:yozoId="4094" w:styleId="103">
    <w:name w:val="样式 四号 左侧:  1.53 厘米"/>
    <w:qFormat/>
    <w:basedOn w:val="0"/>
    <w:pPr>
      <w:adjustRightInd w:val="0"/>
    </w:pPr>
    <w:rPr>
      <w:w w:val="90"/>
      <w:sz w:val="28"/>
      <w:szCs w:val="28"/>
    </w:rPr>
  </w:style>
  <w:style w:type="paragraph" w:customStyle="1" w:yozoId="4094" w:styleId="104">
    <w:name w:val="样式 样式 四号 左侧:  1.53 厘米 + 首行缩进:  2 字符"/>
    <w:qFormat/>
    <w:basedOn w:val="103"/>
    <w:pPr>
      <w:ind w:leftChars="200" w:left="200"/>
    </w:pPr>
    <w:rPr>
      <w:szCs w:val="20"/>
    </w:rPr>
  </w:style>
  <w:style w:type="paragraph" w:customStyle="1" w:yozoId="4094" w:styleId="105">
    <w:name w:val="样式 样式 样式 四号 左侧:  1.53 厘米 + 首行缩进:  2 字符 + 居中 左侧:  2 字符 首行缩进:  2..."/>
    <w:qFormat/>
    <w:basedOn w:val="104"/>
    <w:pPr>
      <w:jc w:val="center"/>
    </w:pPr>
  </w:style>
  <w:style w:type="paragraph" w:customStyle="1" w:yozoId="4094" w:styleId="106">
    <w:name w:val="书正文"/>
    <w:qFormat/>
    <w:basedOn w:val="0"/>
    <w:pPr>
      <w:spacing w:line="500" w:lineRule="exact"/>
      <w:ind w:firstLineChars="200" w:firstLine="200"/>
    </w:pPr>
  </w:style>
  <w:style w:type="paragraph" w:customStyle="1" w:yozoId="4094" w:styleId="107">
    <w:name w:val="1"/>
    <w:qFormat/>
    <w:basedOn w:val="0"/>
    <w:next w:val="22"/>
    <w:pPr>
      <w:adjustRightInd w:val="0"/>
      <w:snapToGrid w:val="0"/>
      <w:spacing w:line="360" w:lineRule="auto"/>
      <w:ind w:firstLineChars="200" w:firstLine="200"/>
      <w:jc w:val="left"/>
    </w:pPr>
    <w:rPr>
      <w:rFonts w:ascii="Times New Roman" w:eastAsia="宋体" w:hAnsi="Times New Roman"/>
      <w:kern w:val="0"/>
      <w:sz w:val="24"/>
      <w:szCs w:val="24"/>
    </w:rPr>
  </w:style>
  <w:style w:type="paragraph" w:customStyle="1" w:yozoId="4094" w:styleId="108">
    <w:name w:val="表格表头"/>
    <w:qFormat/>
    <w:next w:val="0"/>
    <w:pPr>
      <w:widowControl w:val="0"/>
      <w:numPr>
        <w:ilvl w:val="5"/>
        <w:numId w:val="6"/>
      </w:numPr>
      <w:tabs>
        <w:tab w:val="left" w:pos="420"/>
        <w:tab w:val="left" w:pos="460"/>
        <w:tab w:val="left" w:pos="583"/>
        <w:tab w:val="left" w:pos="2003"/>
      </w:tabs>
      <w:adjustRightInd w:val="0"/>
      <w:snapToGrid w:val="0"/>
      <w:spacing w:line="240" w:lineRule="auto"/>
      <w:ind w:left="0" w:firstLine="0"/>
      <w:jc w:val="center"/>
      <w:outlineLvl w:val="4"/>
    </w:pPr>
    <w:rPr>
      <w:rFonts w:ascii="Times New Roman" w:eastAsia="宋体" w:cs="Times New Roman" w:hAnsi="Times New Roman"/>
      <w:b/>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image" Target="media/125.jpeg"/><Relationship Id="rId7" Type="http://schemas.openxmlformats.org/officeDocument/2006/relationships/image" Target="media/127.jpeg"/><Relationship Id="rId8" Type="http://schemas.openxmlformats.org/officeDocument/2006/relationships/image" Target="media/129.jpeg"/><Relationship Id="rId9" Type="http://schemas.openxmlformats.org/officeDocument/2006/relationships/image" Target="media/131.jpeg"/><Relationship Id="rId10" Type="http://schemas.openxmlformats.org/officeDocument/2006/relationships/image" Target="media/133.jpeg"/><Relationship Id="rId11" Type="http://schemas.openxmlformats.org/officeDocument/2006/relationships/image" Target="media/135.jpeg"/><Relationship Id="rId12" Type="http://schemas.openxmlformats.org/officeDocument/2006/relationships/image" Target="media/137.jpeg"/><Relationship Id="rId13" Type="http://schemas.openxmlformats.org/officeDocument/2006/relationships/image" Target="media/139.jpeg"/><Relationship Id="rId14" Type="http://schemas.openxmlformats.org/officeDocument/2006/relationships/image" Target="media/141.jpeg"/><Relationship Id="rId15" Type="http://schemas.openxmlformats.org/officeDocument/2006/relationships/image" Target="media/143.jpeg"/><Relationship Id="rId16" Type="http://schemas.openxmlformats.org/officeDocument/2006/relationships/image" Target="media/145.jpeg"/><Relationship Id="rId17" Type="http://schemas.openxmlformats.org/officeDocument/2006/relationships/image" Target="media/147.jpeg"/><Relationship Id="rId18" Type="http://schemas.openxmlformats.org/officeDocument/2006/relationships/image" Target="media/149.jpeg"/><Relationship Id="rId19" Type="http://schemas.openxmlformats.org/officeDocument/2006/relationships/image" Target="media/151.jpeg"/><Relationship Id="rId20" Type="http://schemas.openxmlformats.org/officeDocument/2006/relationships/image" Target="media/133.jpeg"/><Relationship Id="rId21" Type="http://schemas.openxmlformats.org/officeDocument/2006/relationships/image" Target="media/154.jpeg"/><Relationship Id="rId22" Type="http://schemas.openxmlformats.org/officeDocument/2006/relationships/image" Target="media/156.jpeg"/><Relationship Id="rId23" Type="http://schemas.openxmlformats.org/officeDocument/2006/relationships/image" Target="media/158.jpeg"/><Relationship Id="rId24" Type="http://schemas.openxmlformats.org/officeDocument/2006/relationships/image" Target="media/160.jpeg"/><Relationship Id="rId25" Type="http://schemas.openxmlformats.org/officeDocument/2006/relationships/image" Target="media/162.jpeg"/><Relationship Id="rId26" Type="http://schemas.openxmlformats.org/officeDocument/2006/relationships/image" Target="media/164.jpeg"/><Relationship Id="rId27" Type="http://schemas.openxmlformats.org/officeDocument/2006/relationships/image" Target="media/166.jpeg"/><Relationship Id="rId28" Type="http://schemas.openxmlformats.org/officeDocument/2006/relationships/image" Target="media/168.jpeg"/><Relationship Id="rId29" Type="http://schemas.openxmlformats.org/officeDocument/2006/relationships/image" Target="media/170.jpeg"/><Relationship Id="rId30" Type="http://schemas.openxmlformats.org/officeDocument/2006/relationships/image" Target="media/166.jpeg"/><Relationship Id="rId31" Type="http://schemas.openxmlformats.org/officeDocument/2006/relationships/image" Target="media/173.jpeg"/><Relationship Id="rId32" Type="http://schemas.openxmlformats.org/officeDocument/2006/relationships/image" Target="media/175.jpeg"/><Relationship Id="rId33" Type="http://schemas.openxmlformats.org/officeDocument/2006/relationships/image" Target="media/166.jpeg"/><Relationship Id="rId34" Type="http://schemas.openxmlformats.org/officeDocument/2006/relationships/image" Target="media/178.jpeg"/><Relationship Id="rId35" Type="http://schemas.openxmlformats.org/officeDocument/2006/relationships/image" Target="media/180.jpeg"/><Relationship Id="rId36" Type="http://schemas.openxmlformats.org/officeDocument/2006/relationships/image" Target="media/182.jpeg"/><Relationship Id="rId37" Type="http://schemas.openxmlformats.org/officeDocument/2006/relationships/image" Target="media/166.jpeg"/><Relationship Id="rId38" Type="http://schemas.openxmlformats.org/officeDocument/2006/relationships/image" Target="media/185.jpeg"/><Relationship Id="rId39" Type="http://schemas.openxmlformats.org/officeDocument/2006/relationships/image" Target="media/166.jpeg"/><Relationship Id="rId40" Type="http://schemas.openxmlformats.org/officeDocument/2006/relationships/image" Target="media/188.jpeg"/><Relationship Id="rId41" Type="http://schemas.openxmlformats.org/officeDocument/2006/relationships/image" Target="media/190.jpeg"/><Relationship Id="rId42" Type="http://schemas.openxmlformats.org/officeDocument/2006/relationships/image" Target="media/154.jpeg"/><Relationship Id="rId43" Type="http://schemas.openxmlformats.org/officeDocument/2006/relationships/image" Target="media/193.jpeg"/><Relationship Id="rId44" Type="http://schemas.openxmlformats.org/officeDocument/2006/relationships/image" Target="media/195.jpeg"/><Relationship Id="rId45" Type="http://schemas.openxmlformats.org/officeDocument/2006/relationships/image" Target="media/197.jpeg"/><Relationship Id="rId46" Type="http://schemas.openxmlformats.org/officeDocument/2006/relationships/image" Target="media/199.jpeg"/><Relationship Id="rId47" Type="http://schemas.openxmlformats.org/officeDocument/2006/relationships/image" Target="media/201.jpeg"/><Relationship Id="rId48" Type="http://schemas.openxmlformats.org/officeDocument/2006/relationships/image" Target="media/203.jpeg"/><Relationship Id="rId49" Type="http://schemas.openxmlformats.org/officeDocument/2006/relationships/image" Target="media/166.jpeg"/><Relationship Id="rId50" Type="http://schemas.openxmlformats.org/officeDocument/2006/relationships/image" Target="media/206.jpeg"/><Relationship Id="rId51" Type="http://schemas.openxmlformats.org/officeDocument/2006/relationships/image" Target="media/208.jpeg"/><Relationship Id="rId52" Type="http://schemas.openxmlformats.org/officeDocument/2006/relationships/image" Target="media/175.jpeg"/><Relationship Id="rId53" Type="http://schemas.openxmlformats.org/officeDocument/2006/relationships/image" Target="media/211.jpeg"/><Relationship Id="rId54" Type="http://schemas.openxmlformats.org/officeDocument/2006/relationships/image" Target="media/213.jpeg"/><Relationship Id="rId55" Type="http://schemas.openxmlformats.org/officeDocument/2006/relationships/image" Target="media/215.jpeg"/><Relationship Id="rId56" Type="http://schemas.openxmlformats.org/officeDocument/2006/relationships/image" Target="media/217.jpeg"/><Relationship Id="rId57" Type="http://schemas.openxmlformats.org/officeDocument/2006/relationships/image" Target="media/219.jpeg"/><Relationship Id="rId58" Type="http://schemas.openxmlformats.org/officeDocument/2006/relationships/image" Target="media/221.jpeg"/><Relationship Id="rId59" Type="http://schemas.openxmlformats.org/officeDocument/2006/relationships/image" Target="media/223.jpeg"/><Relationship Id="rId60" Type="http://schemas.openxmlformats.org/officeDocument/2006/relationships/image" Target="media/225.png"/><Relationship Id="rId61" Type="http://schemas.openxmlformats.org/officeDocument/2006/relationships/image" Target="media/227.png"/><Relationship Id="rId62" Type="http://schemas.openxmlformats.org/officeDocument/2006/relationships/image" Target="media/229.png"/><Relationship Id="rId63" Type="http://schemas.openxmlformats.org/officeDocument/2006/relationships/image" Target="media/231.png"/><Relationship Id="rId64" Type="http://schemas.openxmlformats.org/officeDocument/2006/relationships/image" Target="media/233.png"/><Relationship Id="rId65" Type="http://schemas.openxmlformats.org/officeDocument/2006/relationships/image" Target="media/235.png"/><Relationship Id="rId66" Type="http://schemas.openxmlformats.org/officeDocument/2006/relationships/image" Target="media/237.png"/><Relationship Id="rId67" Type="http://schemas.openxmlformats.org/officeDocument/2006/relationships/styles" Target="styles.xml"/><Relationship Id="rId68" Type="http://schemas.openxmlformats.org/officeDocument/2006/relationships/numbering" Target="numbering.xml"/><Relationship Id="rId69" Type="http://schemas.openxmlformats.org/officeDocument/2006/relationships/fontTable" Target="fontTable.xml"/><Relationship Id="rId70" Type="http://schemas.openxmlformats.org/officeDocument/2006/relationships/customXml" Target="../customXml/item1.xml"/><Relationship Id="rId71"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sectPr/>
    <sectPr/>
    <sectPr/>
  </customProps>
</customData>
</file>

<file path=customXml/itemProps1.xml><?xml version="1.0" encoding="utf-8"?>
<ds:datastoreItem xmlns:ds="http://schemas.openxmlformats.org/officeDocument/2006/customXml" ds:itemID="{F8E11028-847D-4856-B59D-E9F86A772FCC}">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9</TotalTime>
  <Application>WPS_Yozo_Office9.0.5847.101ZH.S1</Application>
  <Pages>92</Pages>
  <Words>0</Words>
  <Characters>58198</Characters>
  <Lines>0</Lines>
  <Paragraphs>41</Paragraphs>
  <CharactersWithSpaces>77598</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附件2</dc:title>
  <dc:creator>lhj</dc:creator>
  <cp:lastModifiedBy>Administrator</cp:lastModifiedBy>
  <cp:revision>12</cp:revision>
  <cp:lastPrinted>2025-12-20T03:14:00Z</cp:lastPrinted>
  <dcterms:created xsi:type="dcterms:W3CDTF">2024-11-06T01:06:00Z</dcterms:created>
  <dcterms:modified xsi:type="dcterms:W3CDTF">2026-08-31T01:00:11Z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0D9BF5CB24824B29BFD839AD885BD167_13</vt:lpwstr>
  </property>
  <property fmtid="{D5CDD505-2E9C-101B-9397-08002B2CF9AE}" pid="4" name="commondata">
    <vt:lpwstr>eyJoZGlkIjoiNTBiM2JjMGY3YTk1NzY0ZmE1YTRkNzBkYTZhMTViZjAifQ==</vt:lpwstr>
  </property>
  <property fmtid="{D5CDD505-2E9C-101B-9397-08002B2CF9AE}" pid="5" name="KSOTemplateDocerSaveRecord">
    <vt:lpwstr>eyJoZGlkIjoiMjNmMjQ0YzVkMTZlNmZkYTA2YWRhODU5NTMxOGRlMzkiLCJ1c2VySWQiOiIxMzEzMjY5Mzc0In0=</vt:lpwstr>
  </property>
</Properties>
</file>