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settings.xml" ContentType="application/vnd.openxmlformats-officedocument.wordprocessingml.setting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customXml/itemProps1.xml" ContentType="application/vnd.openxmlformats-officedocument.customXmlProperties+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adjustRightInd w:val="0"/>
        <w:snapToGrid w:val="0"/>
        <w:spacing w:beforeLines="80" w:before="192"/>
        <w:rPr>
          <w:rFonts w:ascii="楷体_GB2312" w:eastAsia="楷体_GB2312"/>
          <w:bCs/>
          <w:color w:val="auto"/>
          <w:sz w:val="48"/>
          <w:szCs w:val="48"/>
          <w:highlight w:val="none"/>
        </w:rPr>
      </w:pPr>
    </w:p>
    <w:p>
      <w:pPr>
        <w:pStyle w:val="16"/>
        <w:rPr>
          <w:color w:val="auto"/>
          <w:highlight w:val="none"/>
        </w:rPr>
      </w:pPr>
    </w:p>
    <w:p>
      <w:pPr>
        <w:adjustRightInd w:val="0"/>
        <w:snapToGrid w:val="0"/>
        <w:spacing w:beforeLines="80" w:before="192"/>
        <w:jc w:val="center"/>
        <w:rPr>
          <w:rFonts w:ascii="楷体_GB2312" w:eastAsia="楷体_GB2312"/>
          <w:bCs/>
          <w:color w:val="auto"/>
          <w:sz w:val="48"/>
          <w:szCs w:val="48"/>
          <w:highlight w:val="none"/>
        </w:rPr>
      </w:pPr>
    </w:p>
    <w:p>
      <w:pPr>
        <w:adjustRightInd w:val="0"/>
        <w:snapToGrid w:val="0"/>
        <w:spacing w:beforeLines="80" w:before="192"/>
        <w:jc w:val="center"/>
        <w:rPr>
          <w:rFonts w:ascii="楷体_GB2312" w:eastAsia="楷体_GB2312"/>
          <w:bCs/>
          <w:color w:val="auto"/>
          <w:sz w:val="48"/>
          <w:szCs w:val="48"/>
          <w:highlight w:val="none"/>
        </w:rPr>
      </w:pPr>
    </w:p>
    <w:p>
      <w:pPr>
        <w:adjustRightInd w:val="0"/>
        <w:snapToGrid w:val="0"/>
        <w:jc w:val="center"/>
        <w:rPr>
          <w:rFonts w:ascii="方正小标宋_GBK" w:eastAsia="方正小标宋_GBK"/>
          <w:bCs/>
          <w:color w:val="auto"/>
          <w:sz w:val="72"/>
          <w:szCs w:val="72"/>
          <w:highlight w:val="none"/>
        </w:rPr>
      </w:pPr>
      <w:bookmarkStart w:id="0" w:name="_Toc12558"/>
      <w:bookmarkStart w:id="1" w:name="_Toc20198"/>
      <w:bookmarkStart w:id="2" w:name="_Toc7020"/>
      <w:bookmarkStart w:id="3" w:name="_Toc32754"/>
      <w:r>
        <w:rPr>
          <w:rFonts w:ascii="方正小标宋_GBK" w:eastAsia="方正小标宋_GBK" w:hint="eastAsia"/>
          <w:bCs/>
          <w:color w:val="auto"/>
          <w:sz w:val="72"/>
          <w:szCs w:val="72"/>
          <w:highlight w:val="none"/>
        </w:rPr>
        <w:t>建设项目</w:t>
      </w:r>
      <w:r>
        <w:rPr>
          <w:rFonts w:ascii="方正小标宋_GBK" w:eastAsia="方正小标宋_GBK"/>
          <w:bCs/>
          <w:color w:val="auto"/>
          <w:sz w:val="72"/>
          <w:szCs w:val="72"/>
          <w:highlight w:val="none"/>
        </w:rPr>
        <w:t>生态</w:t>
      </w:r>
      <w:r>
        <w:rPr>
          <w:rFonts w:ascii="方正小标宋_GBK" w:eastAsia="方正小标宋_GBK" w:hint="eastAsia"/>
          <w:bCs/>
          <w:color w:val="auto"/>
          <w:sz w:val="72"/>
          <w:szCs w:val="72"/>
          <w:highlight w:val="none"/>
        </w:rPr>
        <w:t>环境影响报告表</w:t>
      </w:r>
      <w:bookmarkEnd w:id="0"/>
      <w:bookmarkEnd w:id="1"/>
      <w:bookmarkEnd w:id="2"/>
      <w:bookmarkEnd w:id="3"/>
    </w:p>
    <w:p>
      <w:pPr>
        <w:adjustRightInd w:val="0"/>
        <w:snapToGrid w:val="0"/>
        <w:spacing w:beforeLines="80" w:before="192"/>
        <w:jc w:val="center"/>
        <w:rPr>
          <w:rFonts w:ascii="楷体_GB2312" w:eastAsia="楷体_GB2312"/>
          <w:bCs/>
          <w:color w:val="auto"/>
          <w:sz w:val="48"/>
          <w:szCs w:val="48"/>
          <w:highlight w:val="none"/>
        </w:rPr>
      </w:pPr>
      <w:r>
        <w:rPr>
          <w:rFonts w:ascii="楷体_GB2312" w:eastAsia="楷体_GB2312" w:hint="eastAsia"/>
          <w:bCs/>
          <w:color w:val="auto"/>
          <w:sz w:val="48"/>
          <w:szCs w:val="48"/>
          <w:highlight w:val="none"/>
        </w:rPr>
        <w:t>（污染影响类）</w:t>
      </w:r>
    </w:p>
    <w:p>
      <w:pPr>
        <w:adjustRightInd w:val="0"/>
        <w:snapToGrid w:val="0"/>
        <w:spacing w:beforeLines="80" w:before="192"/>
        <w:jc w:val="center"/>
        <w:rPr>
          <w:rFonts w:ascii="楷体_GB2312" w:eastAsia="楷体_GB2312"/>
          <w:bCs/>
          <w:color w:val="auto"/>
          <w:sz w:val="48"/>
          <w:szCs w:val="48"/>
          <w:highlight w:val="none"/>
        </w:rPr>
      </w:pPr>
    </w:p>
    <w:p>
      <w:pPr>
        <w:adjustRightInd w:val="0"/>
        <w:snapToGrid w:val="0"/>
        <w:spacing w:beforeLines="80" w:before="192"/>
        <w:jc w:val="center"/>
        <w:rPr>
          <w:rFonts w:ascii="楷体_GB2312" w:eastAsia="楷体_GB2312"/>
          <w:bCs/>
          <w:color w:val="auto"/>
          <w:sz w:val="48"/>
          <w:szCs w:val="48"/>
          <w:highlight w:val="none"/>
        </w:rPr>
      </w:pPr>
    </w:p>
    <w:p>
      <w:pPr>
        <w:adjustRightInd w:val="0"/>
        <w:snapToGrid w:val="0"/>
        <w:spacing w:beforeLines="80" w:before="192"/>
        <w:jc w:val="center"/>
        <w:rPr>
          <w:rFonts w:ascii="Times New Roman" w:eastAsia="楷体_GB2312" w:cs="Times New Roman" w:hAnsi="Times New Roman"/>
          <w:bCs/>
          <w:color w:val="auto"/>
          <w:sz w:val="48"/>
          <w:szCs w:val="48"/>
          <w:highlight w:val="none"/>
        </w:rPr>
      </w:pPr>
    </w:p>
    <w:p>
      <w:pPr>
        <w:adjustRightInd w:val="0"/>
        <w:snapToGrid w:val="0"/>
        <w:spacing w:beforeLines="80" w:before="192"/>
        <w:jc w:val="center"/>
        <w:rPr>
          <w:rFonts w:ascii="Times New Roman" w:eastAsia="楷体_GB2312" w:cs="Times New Roman" w:hAnsi="Times New Roman"/>
          <w:bCs/>
          <w:color w:val="auto"/>
          <w:sz w:val="48"/>
          <w:szCs w:val="48"/>
          <w:highlight w:val="none"/>
        </w:rPr>
      </w:pPr>
    </w:p>
    <w:p>
      <w:pPr>
        <w:adjustRightInd w:val="0"/>
        <w:snapToGrid w:val="0"/>
        <w:spacing w:line="288" w:lineRule="auto"/>
        <w:ind w:leftChars="513" w:left="2877" w:hangingChars="500" w:hanging="1800"/>
        <w:jc w:val="both"/>
        <w:rPr>
          <w:rFonts w:ascii="Times New Roman" w:eastAsia="宋体" w:cs="Times New Roman" w:hAnsi="Times New Roman"/>
          <w:color w:val="auto"/>
          <w:sz w:val="36"/>
          <w:szCs w:val="36"/>
          <w:u w:val="single"/>
          <w:lang w:val="en-US" w:eastAsia="zh-CN"/>
          <w:highlight w:val="none"/>
        </w:rPr>
      </w:pPr>
      <w:r>
        <w:rPr>
          <w:rFonts w:ascii="Times New Roman" w:eastAsia="仿宋_GB2312" w:cs="Times New Roman" w:hAnsi="Times New Roman"/>
          <w:color w:val="auto"/>
          <w:sz w:val="36"/>
          <w:szCs w:val="36"/>
          <w:highlight w:val="none"/>
        </w:rPr>
        <w:t>项目名称：</w:t>
      </w:r>
      <w:r>
        <w:rPr>
          <w:rFonts w:cs="Times New Roman" w:hint="eastAsia"/>
          <w:color w:val="auto"/>
          <w:w w:val="94"/>
          <w:sz w:val="36"/>
          <w:szCs w:val="36"/>
          <w:u w:val="single"/>
          <w:lang w:eastAsia="zh-CN"/>
          <w:highlight w:val="none"/>
        </w:rPr>
        <w:fldChar w:fldCharType="begin"/>
      </w:r>
      <w:r>
        <w:instrText>HYPERLINK "http://tzxm.hbzwfw.gov.cn/sbgl/declarationItemList"</w:instrText>
      </w:r>
      <w:r>
        <w:rPr>
          <w:rFonts w:cs="Times New Roman" w:hint="eastAsia"/>
          <w:color w:val="auto"/>
          <w:w w:val="94"/>
          <w:sz w:val="36"/>
          <w:szCs w:val="36"/>
          <w:u w:val="single"/>
          <w:lang w:eastAsia="zh-CN"/>
          <w:highlight w:val="none"/>
        </w:rPr>
        <w:fldChar w:fldCharType="separate"/>
      </w:r>
      <w:r>
        <w:rPr>
          <w:rFonts w:cs="Times New Roman" w:hint="eastAsia"/>
          <w:color w:val="auto"/>
          <w:w w:val="94"/>
          <w:sz w:val="36"/>
          <w:szCs w:val="36"/>
          <w:u w:val="single"/>
          <w:lang w:eastAsia="zh-CN"/>
          <w:highlight w:val="none"/>
        </w:rPr>
        <w:t>河北嘉道环保科技有限公司</w:t>
      </w:r>
      <w:r>
        <w:rPr>
          <w:rFonts w:cs="Times New Roman" w:hint="eastAsia"/>
          <w:color w:val="auto"/>
          <w:w w:val="94"/>
          <w:sz w:val="36"/>
          <w:szCs w:val="36"/>
          <w:u w:val="single"/>
          <w:lang w:eastAsia="zh-CN"/>
          <w:highlight w:val="none"/>
        </w:rPr>
        <w:fldChar w:fldCharType="end"/>
      </w:r>
      <w:r>
        <w:rPr>
          <w:rFonts w:cs="Times New Roman" w:hint="eastAsia"/>
          <w:color w:val="auto"/>
          <w:w w:val="94"/>
          <w:sz w:val="36"/>
          <w:szCs w:val="36"/>
          <w:u w:val="single"/>
          <w:lang w:val="en-US" w:eastAsia="zh-CN"/>
          <w:highlight w:val="none"/>
        </w:rPr>
        <w:fldChar w:fldCharType="begin"/>
      </w:r>
      <w:r>
        <w:instrText>HYPERLINK "http://tzxm.hbzwfw.gov.cn/sbgl/declarationItemList"</w:instrText>
      </w:r>
      <w:r>
        <w:rPr>
          <w:rFonts w:cs="Times New Roman" w:hint="eastAsia"/>
          <w:color w:val="auto"/>
          <w:w w:val="94"/>
          <w:sz w:val="36"/>
          <w:szCs w:val="36"/>
          <w:u w:val="single"/>
          <w:lang w:val="en-US" w:eastAsia="zh-CN"/>
          <w:highlight w:val="none"/>
        </w:rPr>
        <w:fldChar w:fldCharType="separate"/>
      </w:r>
      <w:r>
        <w:rPr>
          <w:rFonts w:cs="Times New Roman" w:hint="eastAsia"/>
          <w:color w:val="auto"/>
          <w:w w:val="94"/>
          <w:sz w:val="36"/>
          <w:szCs w:val="36"/>
          <w:u w:val="single"/>
          <w:lang w:val="en-US" w:eastAsia="zh-CN"/>
          <w:highlight w:val="none"/>
        </w:rPr>
        <w:t>废旧电池中转项目</w:t>
      </w:r>
      <w:r>
        <w:rPr>
          <w:rFonts w:cs="Times New Roman" w:hint="eastAsia"/>
          <w:color w:val="auto"/>
          <w:w w:val="94"/>
          <w:sz w:val="36"/>
          <w:szCs w:val="36"/>
          <w:u w:val="single"/>
          <w:lang w:val="en-US" w:eastAsia="zh-CN"/>
          <w:highlight w:val="none"/>
        </w:rPr>
        <w:fldChar w:fldCharType="end"/>
      </w:r>
      <w:r>
        <w:rPr>
          <w:rFonts w:cs="Times New Roman" w:hint="eastAsia"/>
          <w:color w:val="auto"/>
          <w:sz w:val="36"/>
          <w:szCs w:val="36"/>
          <w:u w:val="single"/>
          <w:lang w:val="en-US" w:eastAsia="zh-CN"/>
          <w:highlight w:val="none"/>
        </w:rPr>
        <w:t xml:space="preserve">            </w:t>
      </w:r>
    </w:p>
    <w:p>
      <w:pPr>
        <w:adjustRightInd w:val="0"/>
        <w:snapToGrid w:val="0"/>
        <w:spacing w:line="288" w:lineRule="auto"/>
        <w:ind w:leftChars="513" w:left="2877" w:hangingChars="500" w:hanging="1800"/>
        <w:rPr>
          <w:rFonts w:ascii="Times New Roman" w:eastAsia="宋体" w:cs="Times New Roman" w:hAnsi="Times New Roman"/>
          <w:color w:val="auto"/>
          <w:sz w:val="36"/>
          <w:szCs w:val="36"/>
          <w:lang w:val="en-US" w:eastAsia="zh-CN"/>
          <w:highlight w:val="none"/>
        </w:rPr>
      </w:pPr>
      <w:r>
        <w:rPr>
          <w:rFonts w:ascii="Times New Roman" w:eastAsia="仿宋_GB2312" w:cs="Times New Roman" w:hAnsi="Times New Roman"/>
          <w:color w:val="auto"/>
          <w:sz w:val="36"/>
          <w:szCs w:val="36"/>
          <w:highlight w:val="none"/>
        </w:rPr>
        <w:t>建设单位（盖章）：</w:t>
      </w:r>
      <w:r>
        <w:rPr>
          <w:rFonts w:ascii="Times New Roman" w:cs="Times New Roman" w:hAnsi="Times New Roman"/>
          <w:color w:val="auto"/>
          <w:sz w:val="36"/>
          <w:szCs w:val="36"/>
          <w:u w:val="single"/>
          <w:lang w:val="en-US" w:eastAsia="zh-CN"/>
          <w:highlight w:val="none"/>
        </w:rPr>
        <w:t xml:space="preserve">  </w:t>
      </w:r>
      <w:r>
        <w:rPr>
          <w:rFonts w:cs="Times New Roman" w:hint="eastAsia"/>
          <w:color w:val="auto"/>
          <w:sz w:val="36"/>
          <w:szCs w:val="36"/>
          <w:u w:val="single"/>
          <w:lang w:eastAsia="zh-CN"/>
          <w:highlight w:val="none"/>
        </w:rPr>
        <w:fldChar w:fldCharType="begin"/>
      </w:r>
      <w:r>
        <w:instrText>HYPERLINK "http://tzxm.hbzwfw.gov.cn/sbgl/declarationItemList"</w:instrText>
      </w:r>
      <w:r>
        <w:rPr>
          <w:rFonts w:cs="Times New Roman" w:hint="eastAsia"/>
          <w:color w:val="auto"/>
          <w:sz w:val="36"/>
          <w:szCs w:val="36"/>
          <w:u w:val="single"/>
          <w:lang w:eastAsia="zh-CN"/>
          <w:highlight w:val="none"/>
        </w:rPr>
        <w:fldChar w:fldCharType="separate"/>
      </w:r>
      <w:r>
        <w:rPr>
          <w:rFonts w:cs="Times New Roman" w:hint="eastAsia"/>
          <w:color w:val="auto"/>
          <w:sz w:val="36"/>
          <w:szCs w:val="36"/>
          <w:u w:val="single"/>
          <w:lang w:eastAsia="zh-CN"/>
          <w:highlight w:val="none"/>
        </w:rPr>
        <w:t>河北嘉道环保科技有限公司</w:t>
      </w:r>
      <w:r>
        <w:rPr>
          <w:rFonts w:cs="Times New Roman" w:hint="eastAsia"/>
          <w:color w:val="auto"/>
          <w:sz w:val="36"/>
          <w:szCs w:val="36"/>
          <w:u w:val="single"/>
          <w:lang w:eastAsia="zh-CN"/>
          <w:highlight w:val="none"/>
        </w:rPr>
        <w:fldChar w:fldCharType="end"/>
      </w:r>
      <w:r>
        <w:rPr>
          <w:rFonts w:ascii="Times New Roman" w:cs="Times New Roman" w:hAnsi="Times New Roman"/>
          <w:color w:val="auto"/>
          <w:sz w:val="36"/>
          <w:szCs w:val="36"/>
          <w:u w:val="single"/>
          <w:lang w:val="en-US" w:eastAsia="zh-CN"/>
          <w:highlight w:val="none"/>
        </w:rPr>
        <w:t xml:space="preserve"> </w:t>
      </w:r>
      <w:r>
        <w:rPr>
          <w:rFonts w:cs="Times New Roman" w:hint="eastAsia"/>
          <w:color w:val="auto"/>
          <w:sz w:val="36"/>
          <w:szCs w:val="36"/>
          <w:u w:val="single"/>
          <w:lang w:val="en-US" w:eastAsia="zh-CN"/>
          <w:highlight w:val="none"/>
        </w:rPr>
        <w:t xml:space="preserve">   </w:t>
      </w:r>
      <w:r>
        <w:rPr>
          <w:rFonts w:ascii="Times New Roman" w:cs="Times New Roman" w:hAnsi="Times New Roman"/>
          <w:color w:val="auto"/>
          <w:sz w:val="36"/>
          <w:szCs w:val="36"/>
          <w:u w:val="single"/>
          <w:lang w:val="en-US" w:eastAsia="zh-CN"/>
          <w:highlight w:val="none"/>
        </w:rPr>
        <w:t xml:space="preserve"> </w:t>
      </w:r>
    </w:p>
    <w:p>
      <w:pPr>
        <w:adjustRightInd w:val="0"/>
        <w:snapToGrid w:val="0"/>
        <w:spacing w:line="288" w:lineRule="auto"/>
        <w:ind w:leftChars="513" w:left="2877" w:hangingChars="500" w:hanging="1800"/>
        <w:rPr>
          <w:rFonts w:ascii="仿宋_GB2312" w:eastAsia="仿宋_GB2312"/>
          <w:color w:val="auto"/>
          <w:sz w:val="36"/>
          <w:szCs w:val="36"/>
          <w:highlight w:val="none"/>
        </w:rPr>
      </w:pPr>
      <w:r>
        <w:rPr>
          <w:rFonts w:ascii="Times New Roman" w:eastAsia="仿宋_GB2312" w:cs="Times New Roman" w:hAnsi="Times New Roman"/>
          <w:color w:val="auto"/>
          <w:sz w:val="36"/>
          <w:szCs w:val="36"/>
          <w:highlight w:val="none"/>
        </w:rPr>
        <w:t>编制日期：</w:t>
      </w:r>
      <w:r>
        <w:rPr>
          <w:rFonts w:ascii="Times New Roman" w:eastAsia="仿宋_GB2312" w:cs="Times New Roman" w:hAnsi="Times New Roman"/>
          <w:color w:val="auto"/>
          <w:sz w:val="36"/>
          <w:szCs w:val="36"/>
          <w:u w:val="single"/>
          <w:highlight w:val="none"/>
        </w:rPr>
        <w:t xml:space="preserve">         </w:t>
      </w:r>
      <w:r>
        <w:rPr>
          <w:rFonts w:ascii="Times New Roman" w:cs="Times New Roman" w:hAnsi="Times New Roman"/>
          <w:color w:val="auto"/>
          <w:sz w:val="36"/>
          <w:szCs w:val="36"/>
          <w:u w:val="single"/>
          <w:highlight w:val="none"/>
        </w:rPr>
        <w:t xml:space="preserve"> 202</w:t>
      </w:r>
      <w:r>
        <w:rPr>
          <w:rFonts w:cs="Times New Roman" w:hint="eastAsia"/>
          <w:color w:val="auto"/>
          <w:sz w:val="36"/>
          <w:szCs w:val="36"/>
          <w:u w:val="single"/>
          <w:lang w:val="en-US" w:eastAsia="zh-CN"/>
          <w:highlight w:val="none"/>
        </w:rPr>
        <w:t>6</w:t>
      </w:r>
      <w:r>
        <w:rPr>
          <w:rFonts w:ascii="Times New Roman" w:cs="Times New Roman" w:hAnsi="Times New Roman"/>
          <w:color w:val="auto"/>
          <w:sz w:val="36"/>
          <w:szCs w:val="36"/>
          <w:u w:val="single"/>
          <w:highlight w:val="none"/>
        </w:rPr>
        <w:t>年</w:t>
      </w:r>
      <w:r>
        <w:rPr>
          <w:rFonts w:cs="Times New Roman" w:hint="eastAsia"/>
          <w:color w:val="auto"/>
          <w:sz w:val="36"/>
          <w:szCs w:val="36"/>
          <w:u w:val="single"/>
          <w:lang w:val="en-US" w:eastAsia="zh-CN"/>
          <w:highlight w:val="none"/>
        </w:rPr>
        <w:t>8</w:t>
      </w:r>
      <w:r>
        <w:rPr>
          <w:rFonts w:ascii="Times New Roman" w:cs="Times New Roman" w:hAnsi="Times New Roman"/>
          <w:color w:val="auto"/>
          <w:sz w:val="36"/>
          <w:szCs w:val="36"/>
          <w:u w:val="single"/>
          <w:highlight w:val="none"/>
        </w:rPr>
        <w:t>月</w:t>
      </w:r>
      <w:r>
        <w:rPr>
          <w:rFonts w:ascii="仿宋_GB2312" w:eastAsia="仿宋_GB2312" w:hint="eastAsia"/>
          <w:color w:val="auto"/>
          <w:sz w:val="36"/>
          <w:szCs w:val="36"/>
          <w:u w:val="single"/>
          <w:highlight w:val="none"/>
        </w:rPr>
        <w:t xml:space="preserve">            </w:t>
      </w:r>
      <w:r>
        <w:rPr>
          <w:rFonts w:ascii="仿宋_GB2312" w:eastAsia="仿宋_GB2312" w:hint="eastAsia"/>
          <w:color w:val="auto"/>
          <w:sz w:val="36"/>
          <w:szCs w:val="36"/>
          <w:u w:val="single"/>
          <w:lang w:val="en-US" w:eastAsia="zh-CN"/>
          <w:highlight w:val="none"/>
        </w:rPr>
        <w:t xml:space="preserve">    </w:t>
      </w:r>
      <w:r>
        <w:rPr>
          <w:rFonts w:ascii="仿宋_GB2312" w:eastAsia="仿宋_GB2312" w:hint="eastAsia"/>
          <w:color w:val="auto"/>
          <w:sz w:val="36"/>
          <w:szCs w:val="36"/>
          <w:u w:val="single"/>
          <w:highlight w:val="none"/>
        </w:rPr>
        <w:t xml:space="preserve"> </w:t>
      </w:r>
    </w:p>
    <w:p>
      <w:pPr>
        <w:adjustRightInd w:val="0"/>
        <w:snapToGrid w:val="0"/>
        <w:spacing w:line="288" w:lineRule="auto"/>
        <w:ind w:firstLine="1040"/>
        <w:rPr>
          <w:rFonts w:ascii="仿宋_GB2312" w:eastAsia="仿宋_GB2312"/>
          <w:color w:val="auto"/>
          <w:sz w:val="36"/>
          <w:szCs w:val="36"/>
          <w:highlight w:val="none"/>
        </w:rPr>
      </w:pPr>
      <w:bookmarkStart w:id="4" w:name="_Hlk57884087"/>
    </w:p>
    <w:p>
      <w:pPr>
        <w:adjustRightInd w:val="0"/>
        <w:snapToGrid w:val="0"/>
        <w:spacing w:line="288" w:lineRule="auto"/>
        <w:ind w:firstLine="1040"/>
        <w:rPr>
          <w:rFonts w:ascii="仿宋_GB2312" w:eastAsia="仿宋_GB2312"/>
          <w:color w:val="auto"/>
          <w:sz w:val="36"/>
          <w:szCs w:val="36"/>
          <w:highlight w:val="none"/>
        </w:rPr>
      </w:pPr>
    </w:p>
    <w:p>
      <w:pPr>
        <w:adjustRightInd w:val="0"/>
        <w:snapToGrid w:val="0"/>
        <w:spacing w:line="288" w:lineRule="auto"/>
        <w:ind w:firstLine="1040"/>
        <w:rPr>
          <w:rFonts w:ascii="仿宋_GB2312" w:eastAsia="仿宋_GB2312"/>
          <w:color w:val="auto"/>
          <w:sz w:val="36"/>
          <w:szCs w:val="36"/>
          <w:highlight w:val="none"/>
        </w:rPr>
      </w:pPr>
    </w:p>
    <w:p>
      <w:pPr>
        <w:adjustRightInd w:val="0"/>
        <w:snapToGrid w:val="0"/>
        <w:spacing w:line="288" w:lineRule="auto"/>
        <w:ind w:firstLine="1040"/>
        <w:rPr>
          <w:rFonts w:ascii="仿宋_GB2312" w:eastAsia="仿宋_GB2312"/>
          <w:color w:val="auto"/>
          <w:sz w:val="36"/>
          <w:szCs w:val="36"/>
          <w:highlight w:val="none"/>
        </w:rPr>
      </w:pPr>
    </w:p>
    <w:p>
      <w:pPr>
        <w:adjustRightInd w:val="0"/>
        <w:snapToGrid w:val="0"/>
        <w:spacing w:line="288" w:lineRule="auto"/>
        <w:ind w:firstLine="1040"/>
        <w:rPr>
          <w:rFonts w:ascii="仿宋_GB2312" w:eastAsia="仿宋_GB2312"/>
          <w:color w:val="auto"/>
          <w:sz w:val="36"/>
          <w:szCs w:val="36"/>
          <w:highlight w:val="none"/>
        </w:rPr>
      </w:pPr>
    </w:p>
    <w:p>
      <w:pPr>
        <w:adjustRightInd w:val="0"/>
        <w:snapToGrid w:val="0"/>
        <w:spacing w:line="288" w:lineRule="auto"/>
        <w:jc w:val="center"/>
        <w:rPr>
          <w:rFonts w:ascii="楷体_GB2312" w:eastAsia="楷体_GB2312"/>
          <w:color w:val="auto"/>
          <w:sz w:val="36"/>
          <w:szCs w:val="36"/>
          <w:highlight w:val="none"/>
        </w:rPr>
      </w:pPr>
      <w:bookmarkStart w:id="5" w:name="_Toc32600"/>
      <w:bookmarkStart w:id="6" w:name="_Toc23051"/>
      <w:bookmarkStart w:id="7" w:name="_Toc20207"/>
      <w:bookmarkEnd w:id="4"/>
      <w:r>
        <w:rPr>
          <w:rFonts w:ascii="楷体_GB2312" w:eastAsia="楷体_GB2312" w:hint="eastAsia"/>
          <w:color w:val="auto"/>
          <w:sz w:val="36"/>
          <w:szCs w:val="36"/>
          <w:highlight w:val="none"/>
        </w:rPr>
        <w:t>中华人民共和国生态环境部制</w:t>
      </w:r>
      <w:bookmarkEnd w:id="5"/>
      <w:bookmarkEnd w:id="6"/>
      <w:bookmarkEnd w:id="7"/>
    </w:p>
    <w:p>
      <w:pPr>
        <w:pStyle w:val="35"/>
        <w:jc w:val="center"/>
        <w:rPr>
          <w:rFonts w:ascii="黑体" w:eastAsia="黑体" w:hAnsi="黑体" w:hint="eastAsia"/>
          <w:snapToGrid w:val="0"/>
          <w:color w:val="auto"/>
          <w:sz w:val="30"/>
          <w:szCs w:val="30"/>
          <w:highlight w:val="none"/>
        </w:rPr>
        <w:sectPr>
          <w:footerReference w:type="default" r:id="rId2"/>
          <w:pgSz w:w="11906" w:h="16838"/>
          <w:pgMar w:top="1134" w:right="1134" w:bottom="1134" w:left="1134" w:header="851" w:footer="851" w:gutter="0"/>
          <w:pgBorders>
            <w:top w:val="none" w:sz="0" w:space="0" w:color="auto"/>
            <w:left w:val="none" w:sz="0" w:space="0" w:color="auto"/>
            <w:bottom w:val="none" w:sz="0" w:space="0" w:color="auto"/>
            <w:right w:val="none" w:sz="0" w:space="0" w:color="auto"/>
          </w:pgBorders>
          <w:pgNumType w:start="1"/>
          <w:cols w:num="1" w:space="720"/>
          <w:docGrid w:linePitch="312" w:charSpace="0"/>
        </w:sectPr>
      </w:pPr>
    </w:p>
    <w:p>
      <w:pPr>
        <w:adjustRightInd w:val="0"/>
        <w:snapToGrid w:val="0"/>
        <w:spacing w:beforeLines="80" w:before="192"/>
        <w:rPr>
          <w:rFonts w:ascii="楷体_GB2312" w:eastAsia="楷体_GB2312"/>
          <w:bCs/>
          <w:color w:val="auto"/>
          <w:sz w:val="48"/>
          <w:szCs w:val="48"/>
          <w:highlight w:val="none"/>
        </w:rPr>
      </w:pPr>
    </w:p>
    <w:p>
      <w:pPr>
        <w:jc w:val="center"/>
        <w:rPr>
          <w:rFonts w:ascii="宋体" w:hAnsi="宋体"/>
          <w:b/>
          <w:bCs/>
          <w:color w:val="auto"/>
          <w:sz w:val="30"/>
          <w:szCs w:val="30"/>
          <w:highlight w:val="none"/>
        </w:rPr>
        <w:sectPr>
          <w:footerReference w:type="default" r:id="rId3"/>
          <w:pgSz w:w="11906" w:h="16838"/>
          <w:pgMar w:top="1134" w:right="1134" w:bottom="1134" w:left="1134" w:header="851" w:footer="851" w:gutter="0"/>
          <w:pgBorders>
            <w:top w:val="none" w:sz="0" w:space="0" w:color="auto"/>
            <w:left w:val="none" w:sz="0" w:space="0" w:color="auto"/>
            <w:bottom w:val="none" w:sz="0" w:space="0" w:color="auto"/>
            <w:right w:val="none" w:sz="0" w:space="0" w:color="auto"/>
          </w:pgBorders>
          <w:pgNumType w:fmt="numberInDash" w:start="1"/>
          <w:cols w:num="1" w:space="720"/>
          <w:docGrid w:linePitch="312" w:charSpace="0"/>
        </w:sectPr>
      </w:pPr>
      <w:bookmarkStart w:id="8" w:name="_Toc12300"/>
      <w:bookmarkStart w:id="9" w:name="_Toc3168"/>
      <w:bookmarkStart w:id="10" w:name="_Toc15830"/>
    </w:p>
    <w:p>
      <w:pPr>
        <w:pStyle w:val="35"/>
        <w:jc w:val="center"/>
        <w:outlineLvl w:val="0"/>
        <w:rPr>
          <w:rFonts w:ascii="黑体" w:eastAsia="黑体" w:hAnsi="黑体" w:hint="eastAsia"/>
          <w:snapToGrid w:val="0"/>
          <w:color w:val="auto"/>
          <w:sz w:val="30"/>
          <w:szCs w:val="30"/>
          <w:highlight w:val="none"/>
        </w:rPr>
      </w:pPr>
      <w:bookmarkStart w:id="11" w:name="_Toc16705"/>
      <w:bookmarkStart w:id="12" w:name="_Toc18797"/>
      <w:r>
        <w:rPr>
          <w:rFonts w:ascii="黑体" w:eastAsia="黑体" w:hAnsi="黑体" w:hint="eastAsia"/>
          <w:snapToGrid w:val="0"/>
          <w:color w:val="auto"/>
          <w:sz w:val="30"/>
          <w:szCs w:val="30"/>
          <w:highlight w:val="none"/>
        </w:rPr>
        <w:t>一、建设项目基本情况</w:t>
      </w:r>
      <w:bookmarkEnd w:id="8"/>
      <w:bookmarkEnd w:id="9"/>
      <w:bookmarkEnd w:id="10"/>
      <w:bookmarkEnd w:id="11"/>
      <w:bookmarkEnd w:id="12"/>
    </w:p>
    <w:tbl>
      <w:tblPr>
        <w:jc w:val="center"/>
        <w:tblW w:w="4971" w:type="pct"/>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top w:w="0" w:type="dxa"/>
          <w:left w:w="0" w:type="dxa"/>
          <w:bottom w:w="0" w:type="dxa"/>
          <w:right w:w="0" w:type="dxa"/>
        </w:tblCellMar>
        <w:tblLook w:val="0600" w:firstRow="0" w:lastRow="0" w:firstColumn="0" w:lastColumn="0" w:noHBand="1" w:noVBand="1"/>
      </w:tblPr>
      <w:tblGrid>
        <w:gridCol w:w="1739"/>
        <w:gridCol w:w="2050"/>
        <w:gridCol w:w="256"/>
        <w:gridCol w:w="1840"/>
        <w:gridCol w:w="3677"/>
      </w:tblGrid>
      <w:tr>
        <w:trPr>
          <w:trHeight w:val="466"/>
        </w:trPr>
        <w:tc>
          <w:tcPr>
            <w:tcW w:w="931" w:type="pct"/>
            <w:tcMar>
              <w:top w:w="16" w:type="dxa"/>
              <w:left w:w="16" w:type="dxa"/>
              <w:right w:w="16" w:type="dxa"/>
            </w:tcMar>
            <w:vAlign w:val="center"/>
          </w:tcPr>
          <w:p>
            <w:pPr>
              <w:snapToGrid w:val="0"/>
              <w:jc w:val="center"/>
              <w:rPr>
                <w:rFonts w:ascii="Times New Roman" w:cs="Times New Roman" w:hAnsi="Times New Roman"/>
                <w:color w:val="auto"/>
                <w:sz w:val="24"/>
                <w:highlight w:val="none"/>
              </w:rPr>
            </w:pPr>
            <w:r>
              <w:rPr>
                <w:rFonts w:ascii="Times New Roman" w:cs="Times New Roman" w:hAnsi="Times New Roman"/>
                <w:color w:val="auto"/>
                <w:sz w:val="24"/>
                <w:highlight w:val="none"/>
              </w:rPr>
              <w:t>建设项目名称</w:t>
            </w:r>
          </w:p>
        </w:tc>
        <w:tc>
          <w:tcPr>
            <w:tcW w:w="4068" w:type="pct"/>
            <w:gridSpan w:val="4"/>
            <w:vAlign w:val="center"/>
          </w:tcPr>
          <w:p>
            <w:pPr>
              <w:adjustRightInd w:val="0"/>
              <w:snapToGrid w:val="0"/>
              <w:jc w:val="center"/>
              <w:rPr>
                <w:rFonts w:ascii="Times New Roman" w:eastAsia="宋体" w:cs="Times New Roman" w:hAnsi="Times New Roman" w:hint="eastAsia"/>
                <w:color w:val="auto"/>
                <w:sz w:val="24"/>
                <w:lang w:eastAsia="zh-CN"/>
                <w:highlight w:val="none"/>
              </w:rPr>
            </w:pPr>
            <w:r>
              <w:rPr>
                <w:rFonts w:cs="Times New Roman" w:hint="eastAsia"/>
                <w:color w:val="auto"/>
                <w:sz w:val="24"/>
                <w:lang w:eastAsia="zh-CN"/>
                <w:highlight w:val="none"/>
              </w:rPr>
              <w:t>河北嘉道环保科技有限公司废旧电池中转项目</w:t>
            </w:r>
          </w:p>
        </w:tc>
      </w:tr>
      <w:tr>
        <w:trPr>
          <w:trHeight w:val="447"/>
        </w:trPr>
        <w:tc>
          <w:tcPr>
            <w:tcW w:w="931" w:type="pct"/>
            <w:tcMar>
              <w:top w:w="16" w:type="dxa"/>
              <w:left w:w="16" w:type="dxa"/>
              <w:right w:w="16" w:type="dxa"/>
            </w:tcMar>
            <w:vAlign w:val="center"/>
          </w:tcPr>
          <w:p>
            <w:pPr>
              <w:snapToGrid w:val="0"/>
              <w:jc w:val="center"/>
              <w:rPr>
                <w:rFonts w:ascii="Times New Roman" w:cs="Times New Roman" w:hAnsi="Times New Roman"/>
                <w:color w:val="auto"/>
                <w:sz w:val="24"/>
                <w:highlight w:val="none"/>
              </w:rPr>
            </w:pPr>
            <w:r>
              <w:rPr>
                <w:rFonts w:ascii="Times New Roman" w:cs="Times New Roman" w:hAnsi="Times New Roman"/>
                <w:color w:val="auto"/>
                <w:sz w:val="24"/>
                <w:highlight w:val="none"/>
              </w:rPr>
              <w:t>项目代码</w:t>
            </w:r>
          </w:p>
        </w:tc>
        <w:tc>
          <w:tcPr>
            <w:tcW w:w="4068" w:type="pct"/>
            <w:gridSpan w:val="4"/>
            <w:tcBorders>
              <w:left w:val="single" w:sz="4" w:space="0" w:color="auto"/>
            </w:tcBorders>
            <w:vAlign w:val="center"/>
          </w:tcPr>
          <w:p>
            <w:pPr>
              <w:adjustRightInd w:val="0"/>
              <w:snapToGrid w:val="0"/>
              <w:jc w:val="center"/>
              <w:rPr>
                <w:rFonts w:ascii="Times New Roman" w:eastAsia="宋体" w:cs="Times New Roman" w:hAnsi="Times New Roman"/>
                <w:color w:val="auto"/>
                <w:sz w:val="24"/>
                <w:lang w:val="en-US" w:eastAsia="zh-CN"/>
                <w:highlight w:val="none"/>
              </w:rPr>
            </w:pPr>
            <w:r>
              <w:rPr>
                <w:rFonts w:ascii="Times New Roman" w:eastAsia="宋体" w:cs="Times New Roman" w:hAnsi="Times New Roman"/>
                <w:color w:val="auto"/>
                <w:sz w:val="24"/>
                <w:szCs w:val="24"/>
                <w:lang w:val="en-US" w:eastAsia="zh-CN"/>
              </w:rPr>
              <w:t>2605-130168-89-01-978873</w:t>
            </w:r>
          </w:p>
        </w:tc>
      </w:tr>
      <w:tr>
        <w:trPr>
          <w:trHeight w:val="428"/>
        </w:trPr>
        <w:tc>
          <w:tcPr>
            <w:tcW w:w="931" w:type="pct"/>
            <w:tcMar>
              <w:top w:w="16" w:type="dxa"/>
              <w:left w:w="16" w:type="dxa"/>
              <w:right w:w="16" w:type="dxa"/>
            </w:tcMar>
            <w:vAlign w:val="center"/>
          </w:tcPr>
          <w:p>
            <w:pPr>
              <w:snapToGrid w:val="0"/>
              <w:jc w:val="center"/>
              <w:rPr>
                <w:rFonts w:ascii="Times New Roman" w:cs="Times New Roman" w:hAnsi="Times New Roman"/>
                <w:color w:val="auto"/>
                <w:sz w:val="24"/>
                <w:highlight w:val="none"/>
              </w:rPr>
            </w:pPr>
            <w:r>
              <w:rPr>
                <w:rFonts w:ascii="Times New Roman" w:cs="Times New Roman" w:hAnsi="Times New Roman"/>
                <w:color w:val="auto"/>
                <w:sz w:val="24"/>
                <w:highlight w:val="none"/>
              </w:rPr>
              <w:t>建设单位联系人</w:t>
            </w:r>
          </w:p>
        </w:tc>
        <w:tc>
          <w:tcPr>
            <w:tcW w:w="1066" w:type="pct"/>
            <w:tcBorders>
              <w:left w:val="single" w:sz="4" w:space="0" w:color="auto"/>
            </w:tcBorders>
            <w:vAlign w:val="center"/>
          </w:tcPr>
          <w:p>
            <w:pPr>
              <w:adjustRightInd w:val="0"/>
              <w:snapToGrid w:val="0"/>
              <w:jc w:val="center"/>
              <w:rPr>
                <w:rFonts w:ascii="Times New Roman" w:eastAsia="宋体" w:cs="Times New Roman" w:hAnsi="Times New Roman" w:hint="eastAsia"/>
                <w:color w:val="auto"/>
                <w:sz w:val="24"/>
                <w:lang w:val="en-US" w:eastAsia="zh-CN"/>
                <w:highlight w:val="none"/>
              </w:rPr>
            </w:pPr>
            <w:r>
              <w:rPr>
                <w:rFonts w:cs="Times New Roman"/>
                <w:color w:val="auto"/>
                <w:sz w:val="24"/>
                <w:lang w:eastAsia="zh-CN"/>
                <w:highlight w:val="none"/>
              </w:rPr>
              <w:t>***</w:t>
            </w:r>
          </w:p>
        </w:tc>
        <w:tc>
          <w:tcPr>
            <w:tcW w:w="1090" w:type="pct"/>
            <w:gridSpan w:val="2"/>
            <w:tcBorders>
              <w:left w:val="single" w:sz="4" w:space="0" w:color="auto"/>
            </w:tcBorders>
            <w:vAlign w:val="center"/>
          </w:tcPr>
          <w:p>
            <w:pPr>
              <w:adjustRightInd w:val="0"/>
              <w:snapToGrid w:val="0"/>
              <w:jc w:val="center"/>
              <w:rPr>
                <w:rFonts w:ascii="Times New Roman" w:cs="Times New Roman" w:hAnsi="Times New Roman"/>
                <w:color w:val="auto"/>
                <w:sz w:val="24"/>
                <w:highlight w:val="none"/>
              </w:rPr>
            </w:pPr>
            <w:r>
              <w:rPr>
                <w:rFonts w:ascii="Times New Roman" w:cs="Times New Roman" w:hAnsi="Times New Roman"/>
                <w:color w:val="auto"/>
                <w:sz w:val="24"/>
                <w:highlight w:val="none"/>
              </w:rPr>
              <w:t>联系方式</w:t>
            </w:r>
          </w:p>
        </w:tc>
        <w:tc>
          <w:tcPr>
            <w:tcW w:w="1911" w:type="pct"/>
            <w:tcBorders>
              <w:left w:val="single" w:sz="4" w:space="0" w:color="auto"/>
            </w:tcBorders>
            <w:vAlign w:val="center"/>
          </w:tcPr>
          <w:p>
            <w:pPr>
              <w:adjustRightInd w:val="0"/>
              <w:snapToGrid w:val="0"/>
              <w:jc w:val="center"/>
              <w:rPr>
                <w:rFonts w:ascii="Times New Roman" w:eastAsia="宋体" w:cs="Times New Roman" w:hAnsi="Times New Roman"/>
                <w:color w:val="auto"/>
                <w:sz w:val="24"/>
                <w:lang w:val="en-US" w:eastAsia="zh-CN"/>
                <w:highlight w:val="none"/>
              </w:rPr>
            </w:pPr>
            <w:r>
              <w:rPr>
                <w:rFonts w:cs="Times New Roman"/>
                <w:color w:val="auto"/>
                <w:sz w:val="24"/>
                <w:lang w:val="en-US" w:eastAsia="zh-CN"/>
                <w:highlight w:val="none"/>
              </w:rPr>
              <w:t>***</w:t>
            </w:r>
          </w:p>
        </w:tc>
      </w:tr>
      <w:tr>
        <w:trPr>
          <w:trHeight w:val="700"/>
        </w:trPr>
        <w:tc>
          <w:tcPr>
            <w:tcW w:w="931" w:type="pct"/>
            <w:tcMar>
              <w:top w:w="16" w:type="dxa"/>
              <w:left w:w="16" w:type="dxa"/>
              <w:right w:w="16" w:type="dxa"/>
            </w:tcMar>
            <w:vAlign w:val="center"/>
          </w:tcPr>
          <w:p>
            <w:pPr>
              <w:snapToGrid w:val="0"/>
              <w:jc w:val="center"/>
              <w:rPr>
                <w:rFonts w:ascii="Times New Roman" w:cs="Times New Roman" w:hAnsi="Times New Roman"/>
                <w:color w:val="auto"/>
                <w:sz w:val="24"/>
                <w:highlight w:val="none"/>
              </w:rPr>
            </w:pPr>
            <w:r>
              <w:rPr>
                <w:rFonts w:ascii="Times New Roman" w:cs="Times New Roman" w:hAnsi="Times New Roman"/>
                <w:color w:val="auto"/>
                <w:sz w:val="24"/>
                <w:highlight w:val="none"/>
              </w:rPr>
              <w:t>建设地点</w:t>
            </w:r>
          </w:p>
        </w:tc>
        <w:tc>
          <w:tcPr>
            <w:tcW w:w="4068" w:type="pct"/>
            <w:gridSpan w:val="4"/>
            <w:tcBorders>
              <w:left w:val="single" w:sz="4" w:space="0" w:color="auto"/>
            </w:tcBorders>
            <w:vAlign w:val="center"/>
          </w:tcPr>
          <w:p>
            <w:pPr>
              <w:adjustRightInd w:val="0"/>
              <w:snapToGrid w:val="0"/>
              <w:jc w:val="center"/>
              <w:rPr>
                <w:rFonts w:ascii="Times New Roman" w:cs="Times New Roman" w:hAnsi="Times New Roman"/>
                <w:color w:val="auto"/>
                <w:sz w:val="24"/>
                <w:highlight w:val="none"/>
              </w:rPr>
            </w:pPr>
            <w:r>
              <w:rPr>
                <w:rFonts w:ascii="Times New Roman" w:cs="Times New Roman" w:hAnsi="Times New Roman"/>
                <w:color w:val="auto"/>
                <w:sz w:val="24"/>
                <w:highlight w:val="none"/>
              </w:rPr>
              <w:t>河北省石家庄市栾城区装备制造基地楼底镇段家营村裕翔街168号103厂房</w:t>
            </w:r>
            <w:r>
              <w:rPr>
                <w:rFonts w:cs="Times New Roman" w:hint="eastAsia"/>
                <w:color w:val="auto"/>
                <w:sz w:val="24"/>
                <w:lang w:eastAsia="zh-CN"/>
                <w:highlight w:val="none"/>
              </w:rPr>
              <w:t>（</w:t>
            </w:r>
            <w:r>
              <w:rPr>
                <w:rFonts w:ascii="Times New Roman" w:cs="Times New Roman" w:hAnsi="Times New Roman"/>
                <w:color w:val="auto"/>
                <w:sz w:val="24"/>
                <w:highlight w:val="none"/>
              </w:rPr>
              <w:t>南</w:t>
            </w:r>
            <w:r>
              <w:rPr>
                <w:rFonts w:cs="Times New Roman" w:hint="eastAsia"/>
                <w:color w:val="auto"/>
                <w:sz w:val="24"/>
                <w:lang w:eastAsia="zh-CN"/>
                <w:highlight w:val="none"/>
              </w:rPr>
              <w:t>）</w:t>
            </w:r>
          </w:p>
        </w:tc>
      </w:tr>
      <w:tr>
        <w:trPr>
          <w:trHeight w:val="428"/>
        </w:trPr>
        <w:tc>
          <w:tcPr>
            <w:tcW w:w="931" w:type="pct"/>
            <w:tcMar>
              <w:top w:w="16" w:type="dxa"/>
              <w:left w:w="16" w:type="dxa"/>
              <w:right w:w="16" w:type="dxa"/>
            </w:tcMar>
            <w:vAlign w:val="center"/>
          </w:tcPr>
          <w:p>
            <w:pPr>
              <w:snapToGrid w:val="0"/>
              <w:jc w:val="center"/>
              <w:rPr>
                <w:rFonts w:ascii="Times New Roman" w:cs="Times New Roman" w:hAnsi="Times New Roman"/>
                <w:color w:val="auto"/>
                <w:sz w:val="24"/>
                <w:highlight w:val="none"/>
              </w:rPr>
            </w:pPr>
            <w:r>
              <w:rPr>
                <w:rFonts w:ascii="Times New Roman" w:cs="Times New Roman" w:hAnsi="Times New Roman"/>
                <w:color w:val="auto"/>
                <w:sz w:val="24"/>
                <w:highlight w:val="none"/>
              </w:rPr>
              <w:t>地理坐标</w:t>
            </w:r>
          </w:p>
        </w:tc>
        <w:tc>
          <w:tcPr>
            <w:tcW w:w="4068" w:type="pct"/>
            <w:gridSpan w:val="4"/>
            <w:tcBorders>
              <w:left w:val="single" w:sz="4" w:space="0" w:color="auto"/>
            </w:tcBorders>
            <w:vAlign w:val="center"/>
          </w:tcPr>
          <w:p>
            <w:pPr>
              <w:jc w:val="center"/>
              <w:rPr>
                <w:rFonts w:ascii="Times New Roman" w:cs="Times New Roman" w:hAnsi="Times New Roman"/>
                <w:color w:val="auto"/>
                <w:sz w:val="24"/>
                <w:highlight w:val="none"/>
              </w:rPr>
            </w:pPr>
            <w:r>
              <w:rPr>
                <w:rFonts w:ascii="Times New Roman" w:cs="Times New Roman" w:hAnsi="Times New Roman"/>
                <w:color w:val="auto"/>
                <w:sz w:val="24"/>
                <w:highlight w:val="none"/>
              </w:rPr>
              <w:t>（</w:t>
            </w:r>
            <w:r>
              <w:rPr>
                <w:rFonts w:ascii="Times New Roman" w:cs="Times New Roman" w:hAnsi="Times New Roman"/>
                <w:color w:val="auto"/>
                <w:sz w:val="24"/>
                <w:u w:val="single"/>
                <w:highlight w:val="none"/>
              </w:rPr>
              <w:t>114</w:t>
            </w:r>
            <w:r>
              <w:rPr>
                <w:rFonts w:ascii="Times New Roman" w:cs="Times New Roman" w:hAnsi="Times New Roman"/>
                <w:color w:val="auto"/>
                <w:sz w:val="24"/>
                <w:highlight w:val="none"/>
              </w:rPr>
              <w:t>度</w:t>
            </w:r>
            <w:r>
              <w:rPr>
                <w:rFonts w:ascii="Times New Roman" w:cs="Times New Roman" w:hAnsi="Times New Roman"/>
                <w:color w:val="auto"/>
                <w:sz w:val="24"/>
                <w:u w:val="single"/>
                <w:highlight w:val="none"/>
              </w:rPr>
              <w:t>3</w:t>
            </w:r>
            <w:r>
              <w:rPr>
                <w:rFonts w:cs="Times New Roman" w:hint="eastAsia"/>
                <w:color w:val="auto"/>
                <w:sz w:val="24"/>
                <w:u w:val="single"/>
                <w:lang w:val="en-US" w:eastAsia="zh-CN"/>
                <w:highlight w:val="none"/>
              </w:rPr>
              <w:t>1</w:t>
            </w:r>
            <w:r>
              <w:rPr>
                <w:rFonts w:ascii="Times New Roman" w:cs="Times New Roman" w:hAnsi="Times New Roman"/>
                <w:color w:val="auto"/>
                <w:sz w:val="24"/>
                <w:highlight w:val="none"/>
              </w:rPr>
              <w:t>分</w:t>
            </w:r>
            <w:r>
              <w:rPr>
                <w:rFonts w:cs="Times New Roman" w:hint="eastAsia"/>
                <w:color w:val="auto"/>
                <w:sz w:val="24"/>
                <w:u w:val="single"/>
                <w:lang w:val="en-US" w:eastAsia="zh-CN"/>
                <w:highlight w:val="none"/>
              </w:rPr>
              <w:t>34.373</w:t>
            </w:r>
            <w:r>
              <w:rPr>
                <w:rFonts w:ascii="Times New Roman" w:cs="Times New Roman" w:hAnsi="Times New Roman"/>
                <w:color w:val="auto"/>
                <w:sz w:val="24"/>
                <w:highlight w:val="none"/>
              </w:rPr>
              <w:t>秒，</w:t>
            </w:r>
            <w:r>
              <w:rPr>
                <w:rFonts w:ascii="Times New Roman" w:cs="Times New Roman" w:hAnsi="Times New Roman"/>
                <w:color w:val="auto"/>
                <w:sz w:val="24"/>
                <w:u w:val="single"/>
                <w:highlight w:val="none"/>
              </w:rPr>
              <w:t>37</w:t>
            </w:r>
            <w:r>
              <w:rPr>
                <w:rFonts w:ascii="Times New Roman" w:cs="Times New Roman" w:hAnsi="Times New Roman"/>
                <w:color w:val="auto"/>
                <w:sz w:val="24"/>
                <w:highlight w:val="none"/>
              </w:rPr>
              <w:t>度</w:t>
            </w:r>
            <w:r>
              <w:rPr>
                <w:rFonts w:ascii="Times New Roman" w:cs="Times New Roman" w:hAnsi="Times New Roman"/>
                <w:color w:val="auto"/>
                <w:sz w:val="24"/>
                <w:u w:val="single"/>
                <w:highlight w:val="none"/>
              </w:rPr>
              <w:t>5</w:t>
            </w:r>
            <w:r>
              <w:rPr>
                <w:rFonts w:cs="Times New Roman" w:hint="eastAsia"/>
                <w:color w:val="auto"/>
                <w:sz w:val="24"/>
                <w:u w:val="single"/>
                <w:lang w:val="en-US" w:eastAsia="zh-CN"/>
                <w:highlight w:val="none"/>
              </w:rPr>
              <w:t>4</w:t>
            </w:r>
            <w:r>
              <w:rPr>
                <w:rFonts w:ascii="Times New Roman" w:cs="Times New Roman" w:hAnsi="Times New Roman"/>
                <w:color w:val="auto"/>
                <w:sz w:val="24"/>
                <w:highlight w:val="none"/>
              </w:rPr>
              <w:t>分</w:t>
            </w:r>
            <w:r>
              <w:rPr>
                <w:rFonts w:cs="Times New Roman" w:hint="eastAsia"/>
                <w:color w:val="auto"/>
                <w:sz w:val="24"/>
                <w:u w:val="single"/>
                <w:lang w:val="en-US" w:eastAsia="zh-CN"/>
                <w:highlight w:val="none"/>
              </w:rPr>
              <w:t>52.017</w:t>
            </w:r>
            <w:r>
              <w:rPr>
                <w:rFonts w:ascii="Times New Roman" w:cs="Times New Roman" w:hAnsi="Times New Roman"/>
                <w:color w:val="auto"/>
                <w:sz w:val="24"/>
                <w:highlight w:val="none"/>
              </w:rPr>
              <w:t>秒）</w:t>
            </w:r>
          </w:p>
        </w:tc>
      </w:tr>
      <w:tr>
        <w:trPr>
          <w:trHeight w:val="561"/>
        </w:trPr>
        <w:tc>
          <w:tcPr>
            <w:tcW w:w="931" w:type="pct"/>
            <w:tcMar>
              <w:top w:w="16" w:type="dxa"/>
              <w:left w:w="16" w:type="dxa"/>
              <w:right w:w="16" w:type="dxa"/>
            </w:tcMar>
            <w:vAlign w:val="center"/>
          </w:tcPr>
          <w:p>
            <w:pPr>
              <w:snapToGrid w:val="0"/>
              <w:jc w:val="center"/>
              <w:rPr>
                <w:rFonts w:ascii="Times New Roman" w:cs="Times New Roman" w:hAnsi="Times New Roman"/>
                <w:color w:val="auto"/>
                <w:sz w:val="24"/>
                <w:highlight w:val="none"/>
              </w:rPr>
            </w:pPr>
            <w:r>
              <w:rPr>
                <w:rFonts w:ascii="Times New Roman" w:cs="Times New Roman" w:hAnsi="Times New Roman"/>
                <w:color w:val="auto"/>
                <w:sz w:val="24"/>
                <w:highlight w:val="none"/>
              </w:rPr>
              <w:t>国民经济</w:t>
            </w:r>
          </w:p>
          <w:p>
            <w:pPr>
              <w:snapToGrid w:val="0"/>
              <w:jc w:val="center"/>
              <w:rPr>
                <w:rFonts w:ascii="Times New Roman" w:cs="Times New Roman" w:hAnsi="Times New Roman"/>
                <w:color w:val="auto"/>
                <w:sz w:val="24"/>
                <w:highlight w:val="none"/>
              </w:rPr>
            </w:pPr>
            <w:r>
              <w:rPr>
                <w:rFonts w:ascii="Times New Roman" w:cs="Times New Roman" w:hAnsi="Times New Roman"/>
                <w:color w:val="auto"/>
                <w:sz w:val="24"/>
                <w:highlight w:val="none"/>
              </w:rPr>
              <w:t>行业类别</w:t>
            </w:r>
          </w:p>
        </w:tc>
        <w:tc>
          <w:tcPr>
            <w:tcW w:w="1199" w:type="pct"/>
            <w:gridSpan w:val="2"/>
            <w:tcBorders>
              <w:left w:val="single" w:sz="4" w:space="0" w:color="auto"/>
            </w:tcBorders>
            <w:vAlign w:val="center"/>
          </w:tcPr>
          <w:p>
            <w:pPr>
              <w:adjustRightInd w:val="0"/>
              <w:snapToGrid w:val="0"/>
              <w:jc w:val="center"/>
              <w:rPr>
                <w:rFonts w:ascii="Times New Roman" w:eastAsia="宋体" w:cs="Times New Roman" w:hAnsi="Times New Roman" w:hint="eastAsia"/>
                <w:color w:val="auto"/>
                <w:sz w:val="24"/>
                <w:lang w:val="en-US" w:eastAsia="zh-CN"/>
                <w:highlight w:val="none"/>
              </w:rPr>
            </w:pPr>
            <w:r>
              <w:rPr>
                <w:rFonts w:hint="eastAsia"/>
                <w:color w:val="auto"/>
                <w:sz w:val="24"/>
                <w:szCs w:val="24"/>
              </w:rPr>
              <w:t>N7724 危险废物治理</w:t>
            </w:r>
          </w:p>
        </w:tc>
        <w:tc>
          <w:tcPr>
            <w:tcW w:w="956" w:type="pct"/>
            <w:tcBorders>
              <w:left w:val="single" w:sz="4" w:space="0" w:color="auto"/>
            </w:tcBorders>
            <w:vAlign w:val="center"/>
          </w:tcPr>
          <w:p>
            <w:pPr>
              <w:widowControl/>
              <w:jc w:val="center"/>
              <w:rPr>
                <w:rFonts w:ascii="Times New Roman" w:cs="Times New Roman" w:hAnsi="Times New Roman"/>
                <w:color w:val="auto"/>
                <w:sz w:val="24"/>
                <w:highlight w:val="none"/>
              </w:rPr>
            </w:pPr>
            <w:bookmarkStart w:id="13" w:name="_Hlk49843745"/>
            <w:r>
              <w:rPr>
                <w:rFonts w:ascii="Times New Roman" w:cs="Times New Roman" w:hAnsi="Times New Roman"/>
                <w:color w:val="auto"/>
                <w:sz w:val="24"/>
                <w:highlight w:val="none"/>
              </w:rPr>
              <w:t>建设项目</w:t>
            </w:r>
          </w:p>
          <w:p>
            <w:pPr>
              <w:widowControl/>
              <w:jc w:val="center"/>
              <w:rPr>
                <w:rFonts w:ascii="Times New Roman" w:cs="Times New Roman" w:hAnsi="Times New Roman"/>
                <w:color w:val="auto"/>
                <w:sz w:val="24"/>
                <w:highlight w:val="none"/>
              </w:rPr>
            </w:pPr>
            <w:r>
              <w:rPr>
                <w:rFonts w:ascii="Times New Roman" w:cs="Times New Roman" w:hAnsi="Times New Roman"/>
                <w:color w:val="auto"/>
                <w:sz w:val="24"/>
                <w:highlight w:val="none"/>
              </w:rPr>
              <w:t>行业类别</w:t>
            </w:r>
            <w:bookmarkEnd w:id="13"/>
          </w:p>
        </w:tc>
        <w:tc>
          <w:tcPr>
            <w:tcW w:w="1911" w:type="pct"/>
            <w:tcBorders>
              <w:left w:val="single" w:sz="4" w:space="0" w:color="auto"/>
            </w:tcBorders>
            <w:vAlign w:val="center"/>
          </w:tcPr>
          <w:p>
            <w:pPr>
              <w:adjustRightInd w:val="0"/>
              <w:snapToGrid w:val="0"/>
              <w:jc w:val="both"/>
              <w:rPr>
                <w:rFonts w:ascii="Times New Roman" w:eastAsia="宋体" w:cs="Times New Roman" w:hAnsi="Times New Roman" w:hint="eastAsia"/>
                <w:color w:val="auto"/>
                <w:sz w:val="24"/>
                <w:lang w:val="en-US" w:eastAsia="zh-CN"/>
                <w:highlight w:val="none"/>
              </w:rPr>
            </w:pPr>
            <w:r>
              <w:rPr>
                <w:rFonts w:hint="eastAsia"/>
                <w:color w:val="auto"/>
                <w:sz w:val="24"/>
                <w:szCs w:val="24"/>
              </w:rPr>
              <w:t>四十七、生态保护和环境治理业101危险废物（不含医疗废物）利用及处置—其他</w:t>
            </w:r>
          </w:p>
        </w:tc>
      </w:tr>
      <w:tr>
        <w:trPr>
          <w:trHeight w:val="1219"/>
        </w:trPr>
        <w:tc>
          <w:tcPr>
            <w:tcW w:w="931" w:type="pct"/>
            <w:tcMar>
              <w:top w:w="16" w:type="dxa"/>
              <w:left w:w="16" w:type="dxa"/>
              <w:right w:w="16" w:type="dxa"/>
            </w:tcMar>
            <w:vAlign w:val="center"/>
          </w:tcPr>
          <w:p>
            <w:pPr>
              <w:snapToGrid w:val="0"/>
              <w:jc w:val="center"/>
              <w:rPr>
                <w:rFonts w:ascii="Times New Roman" w:cs="Times New Roman" w:hAnsi="Times New Roman"/>
                <w:color w:val="auto"/>
                <w:sz w:val="24"/>
                <w:highlight w:val="none"/>
              </w:rPr>
            </w:pPr>
            <w:r>
              <w:rPr>
                <w:rFonts w:ascii="Times New Roman" w:cs="Times New Roman" w:hAnsi="Times New Roman"/>
                <w:color w:val="auto"/>
                <w:sz w:val="24"/>
                <w:highlight w:val="none"/>
              </w:rPr>
              <w:t>建设性质</w:t>
            </w:r>
          </w:p>
        </w:tc>
        <w:tc>
          <w:tcPr>
            <w:tcW w:w="1199" w:type="pct"/>
            <w:gridSpan w:val="2"/>
            <w:tcBorders>
              <w:left w:val="single" w:sz="4" w:space="0" w:color="auto"/>
            </w:tcBorders>
            <w:vAlign w:val="center"/>
          </w:tcPr>
          <w:p>
            <w:pPr>
              <w:jc w:val="left"/>
              <w:rPr>
                <w:rFonts w:ascii="Times New Roman" w:eastAsia="宋体" w:cs="Times New Roman" w:hAnsi="Times New Roman" w:hint="eastAsia"/>
                <w:color w:val="auto"/>
                <w:sz w:val="24"/>
                <w:lang w:eastAsia="zh-CN"/>
                <w:highlight w:val="none"/>
              </w:rPr>
            </w:pPr>
            <w:r>
              <w:rPr>
                <w:rFonts w:cs="Times New Roman" w:hint="eastAsia"/>
                <w:color w:val="auto"/>
                <w:sz w:val="24"/>
                <w:lang w:eastAsia="zh-CN"/>
                <w:highlight w:val="none"/>
              </w:rPr>
              <w:t>☑</w:t>
            </w:r>
            <w:r>
              <w:rPr>
                <w:rFonts w:ascii="Times New Roman" w:cs="Times New Roman" w:hAnsi="Times New Roman"/>
                <w:color w:val="auto"/>
                <w:sz w:val="24"/>
                <w:highlight w:val="none"/>
              </w:rPr>
              <w:t>新建（迁建</w:t>
            </w:r>
            <w:r>
              <w:rPr>
                <w:rFonts w:cs="Times New Roman" w:hint="eastAsia"/>
                <w:color w:val="auto"/>
                <w:sz w:val="24"/>
                <w:lang w:eastAsia="zh-CN"/>
                <w:highlight w:val="none"/>
              </w:rPr>
              <w:t>）</w:t>
            </w:r>
          </w:p>
          <w:p>
            <w:pPr>
              <w:jc w:val="left"/>
              <w:rPr>
                <w:rFonts w:ascii="Times New Roman" w:cs="Times New Roman" w:hAnsi="Times New Roman"/>
                <w:color w:val="auto"/>
                <w:sz w:val="24"/>
                <w:lang w:val="en-US"/>
                <w:highlight w:val="none"/>
              </w:rPr>
            </w:pPr>
            <w:r>
              <w:rPr>
                <w:rFonts w:cs="Times New Roman" w:hint="eastAsia"/>
                <w:color w:val="auto"/>
                <w:sz w:val="24"/>
                <w:lang w:eastAsia="zh-CN"/>
                <w:highlight w:val="none"/>
              </w:rPr>
              <w:t>□</w:t>
            </w:r>
            <w:r>
              <w:rPr>
                <w:rFonts w:cs="Times New Roman" w:hint="eastAsia"/>
                <w:color w:val="auto"/>
                <w:sz w:val="24"/>
                <w:lang w:val="en-US" w:eastAsia="zh-CN"/>
                <w:highlight w:val="none"/>
              </w:rPr>
              <w:t>改建</w:t>
            </w:r>
          </w:p>
          <w:p>
            <w:pPr>
              <w:jc w:val="left"/>
              <w:rPr>
                <w:rFonts w:ascii="Times New Roman" w:cs="Times New Roman" w:hAnsi="Times New Roman"/>
                <w:color w:val="auto"/>
                <w:sz w:val="24"/>
                <w:highlight w:val="none"/>
              </w:rPr>
            </w:pPr>
            <w:r>
              <w:rPr>
                <w:rFonts w:cs="Times New Roman" w:hint="eastAsia"/>
                <w:color w:val="auto"/>
                <w:sz w:val="24"/>
                <w:lang w:eastAsia="zh-CN"/>
                <w:highlight w:val="none"/>
              </w:rPr>
              <w:t>□</w:t>
            </w:r>
            <w:r>
              <w:rPr>
                <w:rFonts w:ascii="Times New Roman" w:cs="Times New Roman" w:hAnsi="Times New Roman"/>
                <w:color w:val="auto"/>
                <w:sz w:val="24"/>
                <w:highlight w:val="none"/>
              </w:rPr>
              <w:t>扩建</w:t>
            </w:r>
          </w:p>
          <w:p>
            <w:pPr>
              <w:jc w:val="left"/>
              <w:rPr>
                <w:rFonts w:ascii="Times New Roman" w:cs="Times New Roman" w:hAnsi="Times New Roman"/>
                <w:color w:val="auto"/>
                <w:sz w:val="24"/>
                <w:highlight w:val="none"/>
              </w:rPr>
            </w:pPr>
            <w:r>
              <w:rPr>
                <w:rFonts w:cs="Times New Roman" w:hint="eastAsia"/>
                <w:color w:val="auto"/>
                <w:sz w:val="24"/>
                <w:lang w:eastAsia="zh-CN"/>
                <w:highlight w:val="none"/>
              </w:rPr>
              <w:t>□</w:t>
            </w:r>
            <w:r>
              <w:rPr>
                <w:rFonts w:ascii="Times New Roman" w:cs="Times New Roman" w:hAnsi="Times New Roman"/>
                <w:color w:val="auto"/>
                <w:sz w:val="24"/>
                <w:highlight w:val="none"/>
              </w:rPr>
              <w:t>技术改造</w:t>
            </w:r>
          </w:p>
        </w:tc>
        <w:tc>
          <w:tcPr>
            <w:tcW w:w="956" w:type="pct"/>
            <w:tcBorders>
              <w:left w:val="single" w:sz="4" w:space="0" w:color="auto"/>
            </w:tcBorders>
            <w:vAlign w:val="center"/>
          </w:tcPr>
          <w:p>
            <w:pPr>
              <w:adjustRightInd w:val="0"/>
              <w:snapToGrid w:val="0"/>
              <w:jc w:val="center"/>
              <w:rPr>
                <w:rFonts w:ascii="Times New Roman" w:cs="Times New Roman" w:hAnsi="Times New Roman"/>
                <w:color w:val="auto"/>
                <w:sz w:val="24"/>
                <w:highlight w:val="none"/>
              </w:rPr>
            </w:pPr>
            <w:r>
              <w:rPr>
                <w:rFonts w:ascii="Times New Roman" w:cs="Times New Roman" w:hAnsi="Times New Roman"/>
                <w:color w:val="auto"/>
                <w:sz w:val="24"/>
                <w:highlight w:val="none"/>
              </w:rPr>
              <w:t>建设项目</w:t>
            </w:r>
          </w:p>
          <w:p>
            <w:pPr>
              <w:adjustRightInd w:val="0"/>
              <w:snapToGrid w:val="0"/>
              <w:jc w:val="center"/>
              <w:rPr>
                <w:rFonts w:ascii="Times New Roman" w:cs="Times New Roman" w:hAnsi="Times New Roman"/>
                <w:color w:val="auto"/>
                <w:sz w:val="24"/>
                <w:highlight w:val="none"/>
              </w:rPr>
            </w:pPr>
            <w:r>
              <w:rPr>
                <w:rFonts w:ascii="Times New Roman" w:cs="Times New Roman" w:hAnsi="Times New Roman"/>
                <w:color w:val="auto"/>
                <w:sz w:val="24"/>
                <w:highlight w:val="none"/>
              </w:rPr>
              <w:t>申报情形</w:t>
            </w:r>
          </w:p>
        </w:tc>
        <w:tc>
          <w:tcPr>
            <w:tcW w:w="1911" w:type="pct"/>
            <w:tcBorders>
              <w:left w:val="single" w:sz="4" w:space="0" w:color="auto"/>
            </w:tcBorders>
            <w:vAlign w:val="center"/>
          </w:tcPr>
          <w:p>
            <w:pPr>
              <w:jc w:val="left"/>
              <w:rPr>
                <w:rFonts w:ascii="Times New Roman" w:cs="Times New Roman" w:hAnsi="Times New Roman"/>
                <w:color w:val="auto"/>
                <w:sz w:val="24"/>
                <w:highlight w:val="none"/>
              </w:rPr>
            </w:pPr>
            <w:r>
              <w:rPr>
                <w:rFonts w:cs="Times New Roman" w:hint="eastAsia"/>
                <w:color w:val="auto"/>
                <w:sz w:val="24"/>
                <w:lang w:eastAsia="zh-CN"/>
                <w:highlight w:val="none"/>
              </w:rPr>
              <w:t>☑</w:t>
            </w:r>
            <w:r>
              <w:rPr>
                <w:rFonts w:cs="Times New Roman" w:hint="eastAsia"/>
                <w:color w:val="auto"/>
                <w:sz w:val="24"/>
                <w:lang w:val="en-US" w:eastAsia="zh-CN"/>
                <w:highlight w:val="none"/>
              </w:rPr>
              <w:t>首</w:t>
            </w:r>
            <w:r>
              <w:rPr>
                <w:rFonts w:ascii="Times New Roman" w:cs="Times New Roman" w:hAnsi="Times New Roman"/>
                <w:color w:val="auto"/>
                <w:sz w:val="24"/>
                <w:highlight w:val="none"/>
              </w:rPr>
              <w:t xml:space="preserve">次申报项目             </w:t>
            </w:r>
          </w:p>
          <w:p>
            <w:pPr>
              <w:jc w:val="left"/>
              <w:rPr>
                <w:rFonts w:ascii="Times New Roman" w:cs="Times New Roman" w:hAnsi="Times New Roman"/>
                <w:color w:val="auto"/>
                <w:sz w:val="24"/>
                <w:highlight w:val="none"/>
              </w:rPr>
            </w:pPr>
            <w:r>
              <w:rPr>
                <w:rFonts w:cs="Times New Roman" w:hint="eastAsia"/>
                <w:color w:val="auto"/>
                <w:sz w:val="24"/>
                <w:lang w:eastAsia="zh-CN"/>
                <w:highlight w:val="none"/>
              </w:rPr>
              <w:t>□</w:t>
            </w:r>
            <w:r>
              <w:rPr>
                <w:rFonts w:ascii="Times New Roman" w:cs="Times New Roman" w:hAnsi="Times New Roman"/>
                <w:color w:val="auto"/>
                <w:sz w:val="24"/>
                <w:highlight w:val="none"/>
              </w:rPr>
              <w:t>不予批准后再次申报项目</w:t>
            </w:r>
          </w:p>
          <w:p>
            <w:pPr>
              <w:jc w:val="left"/>
              <w:rPr>
                <w:rFonts w:ascii="Times New Roman" w:cs="Times New Roman" w:hAnsi="Times New Roman"/>
                <w:color w:val="auto"/>
                <w:sz w:val="24"/>
                <w:highlight w:val="none"/>
              </w:rPr>
            </w:pPr>
            <w:r>
              <w:rPr>
                <w:rFonts w:cs="Times New Roman" w:hint="eastAsia"/>
                <w:color w:val="auto"/>
                <w:sz w:val="24"/>
                <w:lang w:eastAsia="zh-CN"/>
                <w:highlight w:val="none"/>
              </w:rPr>
              <w:t>□</w:t>
            </w:r>
            <w:r>
              <w:rPr>
                <w:rFonts w:ascii="Times New Roman" w:cs="Times New Roman" w:hAnsi="Times New Roman"/>
                <w:color w:val="auto"/>
                <w:sz w:val="24"/>
                <w:highlight w:val="none"/>
              </w:rPr>
              <w:t xml:space="preserve">超五年重新审核项目     </w:t>
            </w:r>
          </w:p>
          <w:p>
            <w:pPr>
              <w:jc w:val="left"/>
              <w:rPr>
                <w:rFonts w:ascii="Times New Roman" w:cs="Times New Roman" w:hAnsi="Times New Roman"/>
                <w:color w:val="auto"/>
                <w:sz w:val="24"/>
                <w:highlight w:val="none"/>
              </w:rPr>
            </w:pPr>
            <w:r>
              <w:rPr>
                <w:rFonts w:cs="Times New Roman" w:hint="eastAsia"/>
                <w:color w:val="auto"/>
                <w:sz w:val="24"/>
                <w:lang w:eastAsia="zh-CN"/>
                <w:highlight w:val="none"/>
              </w:rPr>
              <w:t>□</w:t>
            </w:r>
            <w:r>
              <w:rPr>
                <w:rFonts w:ascii="Times New Roman" w:cs="Times New Roman" w:hAnsi="Times New Roman"/>
                <w:color w:val="auto"/>
                <w:sz w:val="24"/>
                <w:highlight w:val="none"/>
              </w:rPr>
              <w:t>重大变动重新报批项目</w:t>
            </w:r>
          </w:p>
        </w:tc>
      </w:tr>
      <w:tr>
        <w:trPr>
          <w:trHeight w:val="851"/>
        </w:trPr>
        <w:tc>
          <w:tcPr>
            <w:tcW w:w="931" w:type="pct"/>
            <w:tcMar>
              <w:top w:w="16" w:type="dxa"/>
              <w:left w:w="16" w:type="dxa"/>
              <w:right w:w="16" w:type="dxa"/>
            </w:tcMar>
            <w:vAlign w:val="center"/>
          </w:tcPr>
          <w:p>
            <w:pPr>
              <w:adjustRightInd w:val="0"/>
              <w:snapToGrid w:val="0"/>
              <w:jc w:val="center"/>
              <w:rPr>
                <w:rFonts w:ascii="Times New Roman" w:cs="Times New Roman" w:hAnsi="Times New Roman"/>
                <w:color w:val="auto"/>
                <w:sz w:val="24"/>
                <w:highlight w:val="none"/>
              </w:rPr>
            </w:pPr>
            <w:r>
              <w:rPr>
                <w:rFonts w:ascii="Times New Roman" w:cs="Times New Roman" w:hAnsi="Times New Roman"/>
                <w:color w:val="auto"/>
                <w:sz w:val="24"/>
                <w:highlight w:val="none"/>
              </w:rPr>
              <w:t>项目审批（核准/</w:t>
            </w:r>
          </w:p>
          <w:p>
            <w:pPr>
              <w:adjustRightInd w:val="0"/>
              <w:snapToGrid w:val="0"/>
              <w:jc w:val="center"/>
              <w:rPr>
                <w:rFonts w:ascii="Times New Roman" w:cs="Times New Roman" w:hAnsi="Times New Roman"/>
                <w:color w:val="auto"/>
                <w:sz w:val="24"/>
                <w:highlight w:val="none"/>
              </w:rPr>
            </w:pPr>
            <w:r>
              <w:rPr>
                <w:rFonts w:ascii="Times New Roman" w:cs="Times New Roman" w:hAnsi="Times New Roman"/>
                <w:color w:val="auto"/>
                <w:sz w:val="24"/>
                <w:highlight w:val="none"/>
              </w:rPr>
              <w:t>备案）部门（选填）</w:t>
            </w:r>
          </w:p>
        </w:tc>
        <w:tc>
          <w:tcPr>
            <w:tcW w:w="1199" w:type="pct"/>
            <w:gridSpan w:val="2"/>
            <w:tcBorders>
              <w:left w:val="single" w:sz="4" w:space="0" w:color="auto"/>
            </w:tcBorders>
            <w:vAlign w:val="center"/>
          </w:tcPr>
          <w:p>
            <w:pPr>
              <w:adjustRightInd w:val="0"/>
              <w:snapToGrid w:val="0"/>
              <w:jc w:val="center"/>
              <w:rPr>
                <w:rFonts w:ascii="Times New Roman" w:cs="Times New Roman" w:hAnsi="Times New Roman"/>
                <w:color w:val="auto"/>
                <w:sz w:val="24"/>
                <w:highlight w:val="none"/>
              </w:rPr>
            </w:pPr>
            <w:r>
              <w:rPr>
                <w:rFonts w:ascii="Times New Roman" w:cs="Times New Roman" w:hAnsi="Times New Roman"/>
                <w:color w:val="auto"/>
                <w:sz w:val="24"/>
                <w:highlight w:val="none"/>
              </w:rPr>
              <w:t>河北石家庄</w:t>
            </w:r>
            <w:r>
              <w:rPr>
                <w:rFonts w:cs="Times New Roman" w:hint="eastAsia"/>
                <w:color w:val="auto"/>
                <w:sz w:val="24"/>
                <w:lang w:val="en-US" w:eastAsia="zh-CN"/>
                <w:highlight w:val="none"/>
              </w:rPr>
              <w:t>装备制造产业园管理委员会</w:t>
            </w:r>
          </w:p>
        </w:tc>
        <w:tc>
          <w:tcPr>
            <w:tcW w:w="956" w:type="pct"/>
            <w:tcBorders>
              <w:left w:val="single" w:sz="4" w:space="0" w:color="auto"/>
            </w:tcBorders>
            <w:vAlign w:val="center"/>
          </w:tcPr>
          <w:p>
            <w:pPr>
              <w:adjustRightInd w:val="0"/>
              <w:snapToGrid w:val="0"/>
              <w:jc w:val="center"/>
              <w:rPr>
                <w:rFonts w:ascii="Times New Roman" w:cs="Times New Roman" w:hAnsi="Times New Roman"/>
                <w:color w:val="auto"/>
                <w:sz w:val="24"/>
                <w:highlight w:val="none"/>
              </w:rPr>
            </w:pPr>
            <w:r>
              <w:rPr>
                <w:rFonts w:ascii="Times New Roman" w:cs="Times New Roman" w:hAnsi="Times New Roman"/>
                <w:color w:val="auto"/>
                <w:sz w:val="24"/>
                <w:highlight w:val="none"/>
              </w:rPr>
              <w:t>项目审批（核准/</w:t>
            </w:r>
          </w:p>
          <w:p>
            <w:pPr>
              <w:adjustRightInd w:val="0"/>
              <w:snapToGrid w:val="0"/>
              <w:jc w:val="center"/>
              <w:rPr>
                <w:rFonts w:ascii="Times New Roman" w:cs="Times New Roman" w:hAnsi="Times New Roman"/>
                <w:color w:val="auto"/>
                <w:sz w:val="24"/>
                <w:highlight w:val="none"/>
              </w:rPr>
            </w:pPr>
            <w:r>
              <w:rPr>
                <w:rFonts w:ascii="Times New Roman" w:cs="Times New Roman" w:hAnsi="Times New Roman"/>
                <w:color w:val="auto"/>
                <w:sz w:val="24"/>
                <w:highlight w:val="none"/>
              </w:rPr>
              <w:t>备案）文号（选填）</w:t>
            </w:r>
          </w:p>
        </w:tc>
        <w:tc>
          <w:tcPr>
            <w:tcW w:w="1911" w:type="pct"/>
            <w:tcBorders>
              <w:left w:val="single" w:sz="4" w:space="0" w:color="auto"/>
            </w:tcBorders>
            <w:vAlign w:val="center"/>
          </w:tcPr>
          <w:p>
            <w:pPr>
              <w:adjustRightInd w:val="0"/>
              <w:snapToGrid w:val="0"/>
              <w:jc w:val="center"/>
              <w:rPr>
                <w:rFonts w:ascii="Times New Roman" w:eastAsia="宋体" w:cs="Times New Roman" w:hAnsi="Times New Roman" w:hint="eastAsia"/>
                <w:color w:val="auto"/>
                <w:sz w:val="24"/>
                <w:lang w:eastAsia="zh-CN"/>
                <w:highlight w:val="none"/>
              </w:rPr>
            </w:pPr>
            <w:r>
              <w:rPr>
                <w:rFonts w:hint="eastAsia"/>
                <w:color w:val="auto"/>
                <w:sz w:val="24"/>
                <w:szCs w:val="24"/>
                <w:lang w:eastAsia="zh-CN"/>
              </w:rPr>
              <w:t>装管委投资备字〔2026〕58号</w:t>
            </w:r>
          </w:p>
        </w:tc>
      </w:tr>
      <w:tr>
        <w:trPr>
          <w:trHeight w:val="497"/>
        </w:trPr>
        <w:tc>
          <w:tcPr>
            <w:tcW w:w="931" w:type="pct"/>
            <w:tcMar>
              <w:top w:w="16" w:type="dxa"/>
              <w:left w:w="16" w:type="dxa"/>
              <w:right w:w="16" w:type="dxa"/>
            </w:tcMar>
            <w:vAlign w:val="center"/>
          </w:tcPr>
          <w:p>
            <w:pPr>
              <w:adjustRightInd w:val="0"/>
              <w:snapToGrid w:val="0"/>
              <w:jc w:val="center"/>
              <w:rPr>
                <w:rFonts w:ascii="Times New Roman" w:cs="Times New Roman" w:hAnsi="Times New Roman"/>
                <w:color w:val="auto"/>
                <w:sz w:val="24"/>
                <w:highlight w:val="none"/>
              </w:rPr>
            </w:pPr>
            <w:r>
              <w:rPr>
                <w:rFonts w:ascii="Times New Roman" w:cs="Times New Roman" w:hAnsi="Times New Roman"/>
                <w:color w:val="auto"/>
                <w:sz w:val="24"/>
                <w:highlight w:val="none"/>
              </w:rPr>
              <w:t>总投资（万元）</w:t>
            </w:r>
          </w:p>
        </w:tc>
        <w:tc>
          <w:tcPr>
            <w:tcW w:w="1199" w:type="pct"/>
            <w:gridSpan w:val="2"/>
            <w:tcBorders>
              <w:left w:val="single" w:sz="4" w:space="0" w:color="auto"/>
            </w:tcBorders>
            <w:vAlign w:val="center"/>
          </w:tcPr>
          <w:p>
            <w:pPr>
              <w:adjustRightInd w:val="0"/>
              <w:snapToGrid w:val="0"/>
              <w:jc w:val="center"/>
              <w:rPr>
                <w:rFonts w:ascii="Times New Roman" w:eastAsia="宋体" w:cs="Times New Roman" w:hAnsi="Times New Roman"/>
                <w:color w:val="auto"/>
                <w:sz w:val="24"/>
                <w:lang w:val="en-US" w:eastAsia="zh-CN"/>
                <w:highlight w:val="none"/>
              </w:rPr>
            </w:pPr>
            <w:r>
              <w:rPr>
                <w:rFonts w:hint="eastAsia"/>
                <w:color w:val="auto"/>
                <w:sz w:val="24"/>
                <w:szCs w:val="24"/>
                <w:lang w:val="en-US" w:eastAsia="zh-CN"/>
                <w:highlight w:val="none"/>
              </w:rPr>
              <w:t>150</w:t>
            </w:r>
          </w:p>
        </w:tc>
        <w:tc>
          <w:tcPr>
            <w:tcW w:w="956" w:type="pct"/>
            <w:tcBorders>
              <w:left w:val="single" w:sz="4" w:space="0" w:color="auto"/>
            </w:tcBorders>
            <w:tcMar>
              <w:top w:w="16" w:type="dxa"/>
              <w:left w:w="16" w:type="dxa"/>
              <w:right w:w="16" w:type="dxa"/>
            </w:tcMar>
            <w:vAlign w:val="center"/>
          </w:tcPr>
          <w:p>
            <w:pPr>
              <w:adjustRightInd w:val="0"/>
              <w:snapToGrid w:val="0"/>
              <w:jc w:val="center"/>
              <w:rPr>
                <w:rFonts w:ascii="Times New Roman" w:cs="Times New Roman" w:hAnsi="Times New Roman"/>
                <w:color w:val="auto"/>
                <w:sz w:val="24"/>
                <w:highlight w:val="none"/>
              </w:rPr>
            </w:pPr>
            <w:r>
              <w:rPr>
                <w:rFonts w:ascii="Times New Roman" w:cs="Times New Roman" w:hAnsi="Times New Roman"/>
                <w:color w:val="auto"/>
                <w:sz w:val="24"/>
                <w:highlight w:val="none"/>
              </w:rPr>
              <w:t>环保投资</w:t>
            </w:r>
          </w:p>
          <w:p>
            <w:pPr>
              <w:adjustRightInd w:val="0"/>
              <w:snapToGrid w:val="0"/>
              <w:jc w:val="center"/>
              <w:rPr>
                <w:rFonts w:ascii="Times New Roman" w:cs="Times New Roman" w:hAnsi="Times New Roman"/>
                <w:color w:val="auto"/>
                <w:sz w:val="24"/>
                <w:highlight w:val="none"/>
              </w:rPr>
            </w:pPr>
            <w:r>
              <w:rPr>
                <w:rFonts w:ascii="Times New Roman" w:cs="Times New Roman" w:hAnsi="Times New Roman"/>
                <w:color w:val="auto"/>
                <w:sz w:val="24"/>
                <w:highlight w:val="none"/>
              </w:rPr>
              <w:t>（万元）</w:t>
            </w:r>
          </w:p>
        </w:tc>
        <w:tc>
          <w:tcPr>
            <w:tcW w:w="1911" w:type="pct"/>
            <w:tcBorders>
              <w:left w:val="single" w:sz="4" w:space="0" w:color="auto"/>
            </w:tcBorders>
            <w:vAlign w:val="center"/>
          </w:tcPr>
          <w:p>
            <w:pPr>
              <w:adjustRightInd w:val="0"/>
              <w:snapToGrid w:val="0"/>
              <w:jc w:val="center"/>
              <w:rPr>
                <w:rFonts w:ascii="Times New Roman" w:cs="Times New Roman" w:hAnsi="Times New Roman"/>
                <w:color w:val="auto"/>
                <w:sz w:val="24"/>
                <w:lang w:val="en-US"/>
                <w:highlight w:val="none"/>
              </w:rPr>
            </w:pPr>
            <w:r>
              <w:rPr>
                <w:rFonts w:cs="Times New Roman" w:hint="eastAsia"/>
                <w:color w:val="auto"/>
                <w:sz w:val="24"/>
                <w:lang w:val="en-US" w:eastAsia="zh-CN"/>
                <w:highlight w:val="none"/>
              </w:rPr>
              <w:t>30</w:t>
            </w:r>
          </w:p>
        </w:tc>
      </w:tr>
      <w:tr>
        <w:trPr>
          <w:trHeight w:val="497"/>
        </w:trPr>
        <w:tc>
          <w:tcPr>
            <w:tcW w:w="931" w:type="pct"/>
            <w:tcMar>
              <w:top w:w="16" w:type="dxa"/>
              <w:left w:w="16" w:type="dxa"/>
              <w:right w:w="16" w:type="dxa"/>
            </w:tcMar>
            <w:vAlign w:val="center"/>
          </w:tcPr>
          <w:p>
            <w:pPr>
              <w:adjustRightInd w:val="0"/>
              <w:snapToGrid w:val="0"/>
              <w:jc w:val="center"/>
              <w:rPr>
                <w:rFonts w:ascii="Times New Roman" w:cs="Times New Roman" w:hAnsi="Times New Roman"/>
                <w:color w:val="auto"/>
                <w:sz w:val="24"/>
                <w:highlight w:val="none"/>
              </w:rPr>
            </w:pPr>
            <w:r>
              <w:rPr>
                <w:rFonts w:ascii="Times New Roman" w:cs="Times New Roman" w:hAnsi="Times New Roman"/>
                <w:color w:val="auto"/>
                <w:sz w:val="24"/>
                <w:highlight w:val="none"/>
              </w:rPr>
              <w:t>环保投资占比（%）</w:t>
            </w:r>
          </w:p>
        </w:tc>
        <w:tc>
          <w:tcPr>
            <w:tcW w:w="1199" w:type="pct"/>
            <w:gridSpan w:val="2"/>
            <w:tcBorders>
              <w:left w:val="single" w:sz="4" w:space="0" w:color="auto"/>
            </w:tcBorders>
            <w:vAlign w:val="center"/>
          </w:tcPr>
          <w:p>
            <w:pPr>
              <w:adjustRightInd w:val="0"/>
              <w:snapToGrid w:val="0"/>
              <w:jc w:val="center"/>
              <w:rPr>
                <w:rFonts w:ascii="Times New Roman" w:eastAsia="宋体" w:cs="Times New Roman" w:hAnsi="Times New Roman"/>
                <w:color w:val="auto"/>
                <w:sz w:val="24"/>
                <w:lang w:val="en-US" w:eastAsia="zh-CN"/>
                <w:highlight w:val="none"/>
              </w:rPr>
            </w:pPr>
            <w:r>
              <w:rPr>
                <w:rFonts w:cs="Times New Roman" w:hint="eastAsia"/>
                <w:color w:val="auto"/>
                <w:sz w:val="24"/>
                <w:lang w:val="en-US" w:eastAsia="zh-CN"/>
                <w:highlight w:val="none"/>
              </w:rPr>
              <w:t>20</w:t>
            </w:r>
          </w:p>
        </w:tc>
        <w:tc>
          <w:tcPr>
            <w:tcW w:w="956" w:type="pct"/>
            <w:tcBorders>
              <w:left w:val="single" w:sz="4" w:space="0" w:color="auto"/>
            </w:tcBorders>
            <w:tcMar>
              <w:top w:w="16" w:type="dxa"/>
              <w:left w:w="16" w:type="dxa"/>
              <w:right w:w="16" w:type="dxa"/>
            </w:tcMar>
            <w:vAlign w:val="center"/>
          </w:tcPr>
          <w:p>
            <w:pPr>
              <w:adjustRightInd w:val="0"/>
              <w:snapToGrid w:val="0"/>
              <w:jc w:val="center"/>
              <w:rPr>
                <w:rFonts w:ascii="Times New Roman" w:cs="Times New Roman" w:hAnsi="Times New Roman"/>
                <w:color w:val="auto"/>
                <w:sz w:val="24"/>
                <w:highlight w:val="none"/>
              </w:rPr>
            </w:pPr>
            <w:r>
              <w:rPr>
                <w:rFonts w:ascii="Times New Roman" w:cs="Times New Roman" w:hAnsi="Times New Roman"/>
                <w:color w:val="auto"/>
                <w:sz w:val="24"/>
                <w:highlight w:val="none"/>
              </w:rPr>
              <w:t>施工工期</w:t>
            </w:r>
          </w:p>
        </w:tc>
        <w:tc>
          <w:tcPr>
            <w:tcW w:w="1911" w:type="pct"/>
            <w:tcBorders>
              <w:left w:val="single" w:sz="4" w:space="0" w:color="auto"/>
            </w:tcBorders>
            <w:vAlign w:val="center"/>
          </w:tcPr>
          <w:p>
            <w:pPr>
              <w:adjustRightInd w:val="0"/>
              <w:snapToGrid w:val="0"/>
              <w:jc w:val="center"/>
              <w:rPr>
                <w:rFonts w:ascii="Times New Roman" w:cs="Times New Roman" w:hAnsi="Times New Roman"/>
                <w:color w:val="auto"/>
                <w:sz w:val="24"/>
                <w:highlight w:val="none"/>
              </w:rPr>
            </w:pPr>
            <w:r>
              <w:rPr>
                <w:rFonts w:hint="eastAsia"/>
                <w:color w:val="auto"/>
                <w:sz w:val="24"/>
                <w:szCs w:val="24"/>
                <w:lang w:val="en-US" w:eastAsia="zh-CN"/>
                <w:highlight w:val="none"/>
              </w:rPr>
              <w:t>3</w:t>
            </w:r>
            <w:r>
              <w:rPr>
                <w:rFonts w:hint="eastAsia"/>
                <w:color w:val="auto"/>
                <w:sz w:val="24"/>
                <w:szCs w:val="24"/>
                <w:highlight w:val="none"/>
              </w:rPr>
              <w:t>个月</w:t>
            </w:r>
          </w:p>
        </w:tc>
      </w:tr>
      <w:tr>
        <w:trPr>
          <w:trHeight w:val="497"/>
        </w:trPr>
        <w:tc>
          <w:tcPr>
            <w:tcW w:w="931" w:type="pct"/>
            <w:tcMar>
              <w:top w:w="16" w:type="dxa"/>
              <w:left w:w="16" w:type="dxa"/>
              <w:right w:w="16" w:type="dxa"/>
            </w:tcMar>
            <w:vAlign w:val="center"/>
          </w:tcPr>
          <w:p>
            <w:pPr>
              <w:adjustRightInd w:val="0"/>
              <w:snapToGrid w:val="0"/>
              <w:jc w:val="center"/>
              <w:rPr>
                <w:rFonts w:ascii="Times New Roman" w:cs="Times New Roman" w:hAnsi="Times New Roman"/>
                <w:color w:val="auto"/>
                <w:sz w:val="24"/>
                <w:highlight w:val="none"/>
              </w:rPr>
            </w:pPr>
            <w:r>
              <w:rPr>
                <w:rFonts w:ascii="Times New Roman" w:cs="Times New Roman" w:hAnsi="Times New Roman"/>
                <w:color w:val="auto"/>
                <w:sz w:val="24"/>
                <w:highlight w:val="none"/>
              </w:rPr>
              <w:t>是否开工建设</w:t>
            </w:r>
          </w:p>
        </w:tc>
        <w:tc>
          <w:tcPr>
            <w:tcW w:w="1199" w:type="pct"/>
            <w:gridSpan w:val="2"/>
            <w:tcBorders>
              <w:left w:val="single" w:sz="4" w:space="0" w:color="auto"/>
            </w:tcBorders>
            <w:vAlign w:val="center"/>
          </w:tcPr>
          <w:p>
            <w:pPr>
              <w:adjustRightInd w:val="0"/>
              <w:snapToGrid w:val="0"/>
              <w:rPr>
                <w:rFonts w:ascii="Times New Roman" w:cs="Times New Roman" w:hAnsi="Times New Roman"/>
                <w:color w:val="auto"/>
                <w:sz w:val="24"/>
                <w:highlight w:val="none"/>
              </w:rPr>
            </w:pPr>
            <w:r>
              <w:rPr>
                <w:rFonts w:cs="Times New Roman" w:hint="eastAsia"/>
                <w:color w:val="auto"/>
                <w:sz w:val="24"/>
                <w:lang w:eastAsia="zh-CN"/>
                <w:highlight w:val="none"/>
              </w:rPr>
              <w:t>☑</w:t>
            </w:r>
            <w:r>
              <w:rPr>
                <w:rFonts w:ascii="Times New Roman" w:cs="Times New Roman" w:hAnsi="Times New Roman"/>
                <w:color w:val="auto"/>
                <w:sz w:val="24"/>
                <w:highlight w:val="none"/>
              </w:rPr>
              <w:t>否</w:t>
            </w:r>
          </w:p>
          <w:p>
            <w:pPr>
              <w:adjustRightInd w:val="0"/>
              <w:snapToGrid w:val="0"/>
              <w:rPr>
                <w:rFonts w:ascii="Times New Roman" w:cs="Times New Roman" w:hAnsi="Times New Roman"/>
                <w:color w:val="auto"/>
                <w:sz w:val="24"/>
                <w:highlight w:val="none"/>
              </w:rPr>
            </w:pPr>
            <w:r>
              <w:rPr>
                <w:rFonts w:cs="Times New Roman" w:hint="eastAsia"/>
                <w:color w:val="auto"/>
                <w:sz w:val="24"/>
                <w:lang w:eastAsia="zh-CN"/>
                <w:highlight w:val="none"/>
              </w:rPr>
              <w:t>□</w:t>
            </w:r>
            <w:r>
              <w:rPr>
                <w:rFonts w:ascii="Times New Roman" w:cs="Times New Roman" w:hAnsi="Times New Roman"/>
                <w:color w:val="auto"/>
                <w:sz w:val="24"/>
                <w:highlight w:val="none"/>
              </w:rPr>
              <w:t>是：</w:t>
            </w:r>
            <w:r>
              <w:rPr>
                <w:rFonts w:ascii="Times New Roman" w:cs="Times New Roman" w:hAnsi="Times New Roman"/>
                <w:color w:val="auto"/>
                <w:sz w:val="24"/>
                <w:u w:val="single"/>
                <w:highlight w:val="none"/>
              </w:rPr>
              <w:t xml:space="preserve">             </w:t>
            </w:r>
          </w:p>
        </w:tc>
        <w:tc>
          <w:tcPr>
            <w:tcW w:w="956" w:type="pct"/>
            <w:tcBorders>
              <w:left w:val="single" w:sz="4" w:space="0" w:color="auto"/>
            </w:tcBorders>
            <w:tcMar>
              <w:top w:w="16" w:type="dxa"/>
              <w:left w:w="16" w:type="dxa"/>
              <w:right w:w="16" w:type="dxa"/>
            </w:tcMar>
            <w:vAlign w:val="center"/>
          </w:tcPr>
          <w:p>
            <w:pPr>
              <w:adjustRightInd w:val="0"/>
              <w:snapToGrid w:val="0"/>
              <w:jc w:val="center"/>
              <w:rPr>
                <w:rFonts w:ascii="Times New Roman" w:cs="Times New Roman" w:hAnsi="Times New Roman"/>
                <w:color w:val="auto"/>
                <w:sz w:val="24"/>
                <w:highlight w:val="none"/>
              </w:rPr>
            </w:pPr>
            <w:r>
              <w:rPr>
                <w:rFonts w:ascii="Times New Roman" w:cs="Times New Roman" w:hAnsi="Times New Roman"/>
                <w:color w:val="auto"/>
                <w:sz w:val="24"/>
                <w:highlight w:val="none"/>
              </w:rPr>
              <w:t>用地（用海）</w:t>
            </w:r>
          </w:p>
          <w:p>
            <w:pPr>
              <w:adjustRightInd w:val="0"/>
              <w:snapToGrid w:val="0"/>
              <w:jc w:val="center"/>
              <w:rPr>
                <w:rFonts w:ascii="Times New Roman" w:cs="Times New Roman" w:hAnsi="Times New Roman"/>
                <w:color w:val="auto"/>
                <w:sz w:val="24"/>
                <w:highlight w:val="none"/>
              </w:rPr>
            </w:pPr>
            <w:r>
              <w:rPr>
                <w:rFonts w:ascii="Times New Roman" w:cs="Times New Roman" w:hAnsi="Times New Roman"/>
                <w:color w:val="auto"/>
                <w:sz w:val="24"/>
                <w:highlight w:val="none"/>
              </w:rPr>
              <w:t>面积（m</w:t>
            </w:r>
            <w:r>
              <w:rPr>
                <w:rFonts w:ascii="Times New Roman" w:cs="Times New Roman" w:hAnsi="Times New Roman"/>
                <w:color w:val="auto"/>
                <w:sz w:val="24"/>
                <w:vertAlign w:val="superscript"/>
                <w:highlight w:val="none"/>
              </w:rPr>
              <w:t>2</w:t>
            </w:r>
            <w:r>
              <w:rPr>
                <w:rFonts w:ascii="Times New Roman" w:cs="Times New Roman" w:hAnsi="Times New Roman"/>
                <w:color w:val="auto"/>
                <w:sz w:val="24"/>
                <w:highlight w:val="none"/>
              </w:rPr>
              <w:t>）</w:t>
            </w:r>
          </w:p>
        </w:tc>
        <w:tc>
          <w:tcPr>
            <w:tcW w:w="1911" w:type="pct"/>
            <w:tcBorders>
              <w:left w:val="single" w:sz="4" w:space="0" w:color="auto"/>
            </w:tcBorders>
            <w:vAlign w:val="center"/>
          </w:tcPr>
          <w:p>
            <w:pPr>
              <w:widowControl/>
              <w:jc w:val="center"/>
              <w:rPr>
                <w:rFonts w:ascii="Times New Roman" w:eastAsia="宋体" w:cs="Times New Roman" w:hAnsi="Times New Roman"/>
                <w:color w:val="auto"/>
                <w:sz w:val="24"/>
                <w:lang w:val="en-US" w:eastAsia="zh-CN"/>
                <w:highlight w:val="none"/>
              </w:rPr>
            </w:pPr>
            <w:r>
              <w:rPr>
                <w:rFonts w:hint="eastAsia"/>
                <w:color w:val="auto"/>
                <w:sz w:val="24"/>
                <w:szCs w:val="24"/>
                <w:lang w:val="en-US" w:eastAsia="zh-CN"/>
                <w:highlight w:val="none"/>
              </w:rPr>
              <w:t>1140</w:t>
            </w:r>
          </w:p>
        </w:tc>
      </w:tr>
      <w:tr>
        <w:trPr>
          <w:trHeight w:val="654"/>
        </w:trPr>
        <w:tc>
          <w:tcPr>
            <w:tcW w:w="931" w:type="pct"/>
            <w:tcMar>
              <w:left w:w="108" w:type="dxa"/>
            </w:tcMar>
            <w:vAlign w:val="center"/>
          </w:tcPr>
          <w:p>
            <w:pPr>
              <w:autoSpaceDE w:val="0"/>
              <w:autoSpaceDN w:val="0"/>
              <w:adjustRightInd w:val="0"/>
              <w:snapToGrid w:val="0"/>
              <w:jc w:val="center"/>
              <w:rPr>
                <w:rFonts w:ascii="Times New Roman" w:cs="Times New Roman" w:hAnsi="Times New Roman"/>
                <w:color w:val="auto"/>
                <w:kern w:val="0"/>
                <w:sz w:val="24"/>
                <w:highlight w:val="none"/>
              </w:rPr>
            </w:pPr>
            <w:r>
              <w:rPr>
                <w:rFonts w:ascii="Times New Roman" w:cs="Times New Roman" w:hAnsi="Times New Roman"/>
                <w:color w:val="auto"/>
                <w:kern w:val="0"/>
                <w:sz w:val="24"/>
                <w:highlight w:val="none"/>
              </w:rPr>
              <w:t>专项评价设置情况</w:t>
            </w:r>
          </w:p>
        </w:tc>
        <w:tc>
          <w:tcPr>
            <w:tcW w:w="4068" w:type="pct"/>
            <w:gridSpan w:val="4"/>
            <w:tcBorders>
              <w:left w:val="single" w:sz="4" w:space="0" w:color="auto"/>
            </w:tcBorders>
            <w:tcMar>
              <w:left w:w="108" w:type="dxa"/>
            </w:tcMar>
            <w:vAlign w:val="center"/>
          </w:tcPr>
          <w:p>
            <w:pPr>
              <w:pStyle w:val="56"/>
              <w:rPr>
                <w:rFonts w:ascii="Times New Roman" w:eastAsia="宋体" w:cs="Times New Roman" w:hAnsi="Times New Roman" w:hint="eastAsia"/>
                <w:color w:val="auto"/>
                <w:lang w:val="en-US" w:eastAsia="zh-CN"/>
                <w:highlight w:val="none"/>
              </w:rPr>
            </w:pPr>
            <w:r>
              <w:rPr>
                <w:rFonts w:ascii="Times New Roman" w:eastAsia="宋体" w:cs="Times New Roman" w:hAnsi="Times New Roman" w:hint="eastAsia"/>
                <w:color w:val="auto"/>
                <w:lang w:val="en-US" w:eastAsia="zh-CN"/>
                <w:highlight w:val="none"/>
              </w:rPr>
              <w:t>根据《建设项目环境影响报告表编制技术指南》（污染影响类）要求，有毒有害和易燃易爆危险物质存储量超过临界量的建设项目，需要设置环境风险专项评价，本项目废</w:t>
            </w:r>
            <w:r>
              <w:rPr>
                <w:rFonts w:cs="Times New Roman" w:hint="eastAsia"/>
                <w:color w:val="auto"/>
                <w:lang w:val="en-US" w:eastAsia="zh-CN"/>
                <w:highlight w:val="none"/>
              </w:rPr>
              <w:t>铅蓄电池</w:t>
            </w:r>
            <w:r>
              <w:rPr>
                <w:rFonts w:ascii="Times New Roman" w:eastAsia="宋体" w:cs="Times New Roman" w:hAnsi="Times New Roman" w:hint="eastAsia"/>
                <w:color w:val="auto"/>
                <w:lang w:val="en-US" w:eastAsia="zh-CN"/>
                <w:highlight w:val="none"/>
              </w:rPr>
              <w:t>存在量超过《建设项目环境风险评价技术导则》</w:t>
            </w:r>
            <w:r>
              <w:rPr>
                <w:rFonts w:cs="Times New Roman" w:hint="eastAsia"/>
                <w:color w:val="auto"/>
                <w:lang w:val="en-US" w:eastAsia="zh-CN"/>
                <w:highlight w:val="none"/>
              </w:rPr>
              <w:t>（</w:t>
            </w:r>
            <w:r>
              <w:rPr>
                <w:rFonts w:ascii="Times New Roman" w:eastAsia="宋体" w:cs="Times New Roman" w:hAnsi="Times New Roman" w:hint="eastAsia"/>
                <w:color w:val="auto"/>
                <w:lang w:val="en-US" w:eastAsia="zh-CN"/>
                <w:highlight w:val="none"/>
              </w:rPr>
              <w:t>HJ/T169-2018</w:t>
            </w:r>
            <w:r>
              <w:rPr>
                <w:rFonts w:cs="Times New Roman" w:hint="eastAsia"/>
                <w:color w:val="auto"/>
                <w:lang w:val="en-US" w:eastAsia="zh-CN"/>
                <w:highlight w:val="none"/>
              </w:rPr>
              <w:t>）</w:t>
            </w:r>
            <w:r>
              <w:rPr>
                <w:rFonts w:ascii="Times New Roman" w:eastAsia="宋体" w:cs="Times New Roman" w:hAnsi="Times New Roman" w:hint="eastAsia"/>
                <w:color w:val="auto"/>
                <w:lang w:val="en-US" w:eastAsia="zh-CN"/>
                <w:highlight w:val="none"/>
              </w:rPr>
              <w:t>中规定的临界量，因此需设置环境风险评价专章。详见下表。</w:t>
            </w:r>
          </w:p>
          <w:p>
            <w:pPr>
              <w:pStyle w:val="56"/>
              <w:keepNext w:val="0"/>
              <w:keepLines w:val="0"/>
              <w:pageBreakBefore w:val="0"/>
              <w:widowControl w:val="0"/>
              <w:kinsoku/>
              <w:wordWrap/>
              <w:overflowPunct/>
              <w:topLinePunct w:val="0"/>
              <w:autoSpaceDE/>
              <w:autoSpaceDN/>
              <w:bidi w:val="0"/>
              <w:adjustRightInd w:val="0"/>
              <w:snapToGrid/>
              <w:spacing w:line="240" w:lineRule="auto"/>
              <w:ind w:left="0" w:firstLineChars="0" w:firstLine="0"/>
              <w:jc w:val="center"/>
              <w:textAlignment w:val="baseline"/>
              <w:rPr>
                <w:rFonts w:cs="Times New Roman" w:hint="eastAsia"/>
                <w:b/>
                <w:bCs/>
                <w:color w:val="auto"/>
                <w:lang w:val="en-US" w:eastAsia="zh-CN"/>
                <w:highlight w:val="none"/>
              </w:rPr>
            </w:pPr>
            <w:r>
              <w:rPr>
                <w:rFonts w:cs="Times New Roman" w:hint="eastAsia"/>
                <w:b/>
                <w:bCs/>
                <w:color w:val="auto"/>
                <w:lang w:val="en-US" w:eastAsia="zh-CN"/>
                <w:highlight w:val="none"/>
              </w:rPr>
              <w:t>表1-1  项目专项设置情况一览表</w:t>
            </w:r>
          </w:p>
          <w:tbl>
            <w:tblPr>
              <w:jc w:val="center"/>
              <w:tblW w:w="7602" w:type="dxa"/>
              <w:tblBorders>
                <w:top w:val="single" w:sz="12" w:space="0" w:color="auto"/>
                <w:left w:val="none" w:sz="0" w:space="0" w:color="auto"/>
                <w:bottom w:val="single" w:sz="12" w:space="0" w:color="auto"/>
                <w:right w:val="none" w:sz="0" w:space="0" w:color="auto"/>
                <w:insideH w:val="single" w:sz="4" w:space="0" w:color="auto"/>
                <w:insideV w:val="single" w:sz="4" w:space="0" w:color="auto"/>
              </w:tblBorders>
              <w:tblCellMar>
                <w:top w:w="0" w:type="dxa"/>
                <w:left w:w="108" w:type="dxa"/>
                <w:bottom w:w="0" w:type="dxa"/>
                <w:right w:w="108" w:type="dxa"/>
              </w:tblCellMar>
              <w:tblLook w:val="0600" w:firstRow="0" w:lastRow="0" w:firstColumn="0" w:lastColumn="0" w:noHBand="1" w:noVBand="1"/>
            </w:tblPr>
            <w:tblGrid>
              <w:gridCol w:w="1240"/>
              <w:gridCol w:w="2984"/>
              <w:gridCol w:w="2284"/>
              <w:gridCol w:w="1094"/>
            </w:tblGrid>
            <w:tr>
              <w:trPr>
                <w:trHeight w:val="397"/>
              </w:trPr>
              <w:tc>
                <w:tcPr>
                  <w:tcW w:w="1240" w:type="dxa"/>
                  <w:tcBorders>
                    <w:tl2br w:val="nil"/>
                    <w:tr2bl w:val="nil"/>
                  </w:tcBorders>
                  <w:vAlign w:val="center"/>
                </w:tcPr>
                <w:p>
                  <w:pPr>
                    <w:pStyle w:val="56"/>
                    <w:keepNext w:val="0"/>
                    <w:keepLines w:val="0"/>
                    <w:pageBreakBefore w:val="0"/>
                    <w:widowControl w:val="0"/>
                    <w:kinsoku/>
                    <w:wordWrap/>
                    <w:overflowPunct/>
                    <w:topLinePunct w:val="0"/>
                    <w:autoSpaceDE/>
                    <w:autoSpaceDN/>
                    <w:bidi w:val="0"/>
                    <w:adjustRightInd w:val="0"/>
                    <w:snapToGrid/>
                    <w:spacing w:line="240" w:lineRule="auto"/>
                    <w:ind w:firstLineChars="0" w:firstLine="0"/>
                    <w:jc w:val="center"/>
                    <w:textAlignment w:val="baseline"/>
                    <w:rPr>
                      <w:rFonts w:ascii="Times New Roman" w:cs="Times New Roman" w:hAnsi="Times New Roman"/>
                      <w:b/>
                      <w:bCs/>
                      <w:color w:val="auto"/>
                      <w:sz w:val="21"/>
                      <w:szCs w:val="21"/>
                      <w:lang w:val="en-US" w:eastAsia="zh-CN"/>
                      <w:highlight w:val="none"/>
                    </w:rPr>
                  </w:pPr>
                  <w:r>
                    <w:rPr>
                      <w:rFonts w:ascii="Times New Roman" w:cs="Times New Roman" w:hAnsi="Times New Roman" w:hint="eastAsia"/>
                      <w:b/>
                      <w:bCs/>
                      <w:color w:val="auto"/>
                      <w:sz w:val="21"/>
                      <w:szCs w:val="21"/>
                      <w:lang w:val="en-US" w:eastAsia="zh-CN"/>
                      <w:highlight w:val="none"/>
                    </w:rPr>
                    <w:t>专项评价类别</w:t>
                  </w:r>
                </w:p>
              </w:tc>
              <w:tc>
                <w:tcPr>
                  <w:tcW w:w="2984" w:type="dxa"/>
                  <w:tcBorders>
                    <w:tl2br w:val="nil"/>
                    <w:tr2bl w:val="nil"/>
                  </w:tcBorders>
                  <w:vAlign w:val="center"/>
                </w:tcPr>
                <w:p>
                  <w:pPr>
                    <w:pStyle w:val="56"/>
                    <w:keepNext w:val="0"/>
                    <w:keepLines w:val="0"/>
                    <w:pageBreakBefore w:val="0"/>
                    <w:widowControl w:val="0"/>
                    <w:kinsoku/>
                    <w:wordWrap/>
                    <w:overflowPunct/>
                    <w:topLinePunct w:val="0"/>
                    <w:autoSpaceDE/>
                    <w:autoSpaceDN/>
                    <w:bidi w:val="0"/>
                    <w:adjustRightInd w:val="0"/>
                    <w:snapToGrid/>
                    <w:spacing w:line="240" w:lineRule="auto"/>
                    <w:ind w:firstLineChars="0" w:firstLine="0"/>
                    <w:jc w:val="center"/>
                    <w:textAlignment w:val="baseline"/>
                    <w:rPr>
                      <w:rFonts w:ascii="Times New Roman" w:cs="Times New Roman" w:hAnsi="Times New Roman"/>
                      <w:b/>
                      <w:bCs/>
                      <w:color w:val="auto"/>
                      <w:sz w:val="21"/>
                      <w:szCs w:val="21"/>
                      <w:lang w:val="en-US" w:eastAsia="zh-CN"/>
                      <w:highlight w:val="none"/>
                    </w:rPr>
                  </w:pPr>
                  <w:r>
                    <w:rPr>
                      <w:rFonts w:ascii="Times New Roman" w:cs="Times New Roman" w:hAnsi="Times New Roman" w:hint="eastAsia"/>
                      <w:b/>
                      <w:bCs/>
                      <w:color w:val="auto"/>
                      <w:sz w:val="21"/>
                      <w:szCs w:val="21"/>
                      <w:lang w:val="en-US" w:eastAsia="zh-CN"/>
                      <w:highlight w:val="none"/>
                    </w:rPr>
                    <w:t>设置原则</w:t>
                  </w:r>
                </w:p>
              </w:tc>
              <w:tc>
                <w:tcPr>
                  <w:tcW w:w="2284" w:type="dxa"/>
                  <w:tcBorders>
                    <w:tl2br w:val="nil"/>
                    <w:tr2bl w:val="nil"/>
                  </w:tcBorders>
                  <w:vAlign w:val="center"/>
                </w:tcPr>
                <w:p>
                  <w:pPr>
                    <w:pStyle w:val="56"/>
                    <w:keepNext w:val="0"/>
                    <w:keepLines w:val="0"/>
                    <w:pageBreakBefore w:val="0"/>
                    <w:widowControl w:val="0"/>
                    <w:kinsoku/>
                    <w:wordWrap/>
                    <w:overflowPunct/>
                    <w:topLinePunct w:val="0"/>
                    <w:autoSpaceDE/>
                    <w:autoSpaceDN/>
                    <w:bidi w:val="0"/>
                    <w:adjustRightInd w:val="0"/>
                    <w:snapToGrid/>
                    <w:spacing w:line="240" w:lineRule="auto"/>
                    <w:ind w:firstLineChars="0" w:firstLine="0"/>
                    <w:jc w:val="center"/>
                    <w:textAlignment w:val="baseline"/>
                    <w:rPr>
                      <w:rFonts w:ascii="Times New Roman" w:cs="Times New Roman" w:hAnsi="Times New Roman" w:hint="eastAsia"/>
                      <w:b/>
                      <w:bCs/>
                      <w:color w:val="auto"/>
                      <w:sz w:val="21"/>
                      <w:szCs w:val="21"/>
                      <w:lang w:val="en-US" w:eastAsia="zh-CN"/>
                      <w:highlight w:val="none"/>
                    </w:rPr>
                  </w:pPr>
                  <w:r>
                    <w:rPr>
                      <w:rFonts w:ascii="Times New Roman" w:cs="Times New Roman" w:hAnsi="Times New Roman" w:hint="eastAsia"/>
                      <w:b/>
                      <w:bCs/>
                      <w:color w:val="auto"/>
                      <w:sz w:val="21"/>
                      <w:szCs w:val="21"/>
                      <w:lang w:val="en-US" w:eastAsia="zh-CN"/>
                      <w:highlight w:val="none"/>
                    </w:rPr>
                    <w:t>项目情况</w:t>
                  </w:r>
                </w:p>
              </w:tc>
              <w:tc>
                <w:tcPr>
                  <w:tcW w:w="1094" w:type="dxa"/>
                  <w:tcBorders>
                    <w:tl2br w:val="nil"/>
                    <w:tr2bl w:val="nil"/>
                  </w:tcBorders>
                  <w:vAlign w:val="center"/>
                </w:tcPr>
                <w:p>
                  <w:pPr>
                    <w:pStyle w:val="56"/>
                    <w:keepNext w:val="0"/>
                    <w:keepLines w:val="0"/>
                    <w:pageBreakBefore w:val="0"/>
                    <w:widowControl w:val="0"/>
                    <w:kinsoku/>
                    <w:wordWrap/>
                    <w:overflowPunct/>
                    <w:topLinePunct w:val="0"/>
                    <w:autoSpaceDE/>
                    <w:autoSpaceDN/>
                    <w:bidi w:val="0"/>
                    <w:adjustRightInd w:val="0"/>
                    <w:snapToGrid/>
                    <w:spacing w:line="240" w:lineRule="auto"/>
                    <w:ind w:firstLineChars="0" w:firstLine="0"/>
                    <w:jc w:val="center"/>
                    <w:textAlignment w:val="baseline"/>
                    <w:rPr>
                      <w:rFonts w:ascii="Times New Roman" w:cs="Times New Roman" w:hAnsi="Times New Roman" w:hint="eastAsia"/>
                      <w:b/>
                      <w:bCs/>
                      <w:color w:val="auto"/>
                      <w:sz w:val="21"/>
                      <w:szCs w:val="21"/>
                      <w:lang w:val="en-US" w:eastAsia="zh-CN"/>
                      <w:highlight w:val="none"/>
                    </w:rPr>
                  </w:pPr>
                  <w:r>
                    <w:rPr>
                      <w:rFonts w:ascii="Times New Roman" w:cs="Times New Roman" w:hAnsi="Times New Roman" w:hint="eastAsia"/>
                      <w:b/>
                      <w:bCs/>
                      <w:color w:val="auto"/>
                      <w:sz w:val="21"/>
                      <w:szCs w:val="21"/>
                      <w:lang w:val="en-US" w:eastAsia="zh-CN"/>
                      <w:highlight w:val="none"/>
                    </w:rPr>
                    <w:t>是否设置专项</w:t>
                  </w:r>
                </w:p>
              </w:tc>
            </w:tr>
            <w:tr>
              <w:trPr>
                <w:trHeight w:val="397"/>
              </w:trPr>
              <w:tc>
                <w:tcPr>
                  <w:tcW w:w="1240" w:type="dxa"/>
                  <w:tcBorders>
                    <w:tl2br w:val="nil"/>
                    <w:tr2bl w:val="nil"/>
                  </w:tcBorders>
                  <w:vAlign w:val="center"/>
                </w:tcPr>
                <w:p>
                  <w:pPr>
                    <w:pStyle w:val="56"/>
                    <w:keepNext w:val="0"/>
                    <w:keepLines w:val="0"/>
                    <w:pageBreakBefore w:val="0"/>
                    <w:widowControl w:val="0"/>
                    <w:kinsoku/>
                    <w:wordWrap/>
                    <w:overflowPunct/>
                    <w:topLinePunct w:val="0"/>
                    <w:autoSpaceDE/>
                    <w:autoSpaceDN/>
                    <w:bidi w:val="0"/>
                    <w:adjustRightInd w:val="0"/>
                    <w:snapToGrid/>
                    <w:spacing w:line="240" w:lineRule="auto"/>
                    <w:ind w:left="0" w:firstLineChars="0" w:firstLine="0"/>
                    <w:jc w:val="center"/>
                    <w:textAlignment w:val="baseline"/>
                    <w:rPr>
                      <w:rFonts w:ascii="Times New Roman" w:eastAsia="宋体" w:cs="Times New Roman" w:hAnsi="Times New Roman" w:hint="eastAsia"/>
                      <w:b w:val="0"/>
                      <w:bCs w:val="0"/>
                      <w:color w:val="auto"/>
                      <w:sz w:val="21"/>
                      <w:szCs w:val="21"/>
                      <w:lang w:val="en-US" w:eastAsia="zh-CN"/>
                      <w:highlight w:val="none"/>
                    </w:rPr>
                  </w:pPr>
                  <w:r>
                    <w:rPr>
                      <w:rFonts w:ascii="Times New Roman" w:cs="Times New Roman" w:hAnsi="Times New Roman" w:hint="eastAsia"/>
                      <w:b w:val="0"/>
                      <w:bCs w:val="0"/>
                      <w:color w:val="auto"/>
                      <w:sz w:val="21"/>
                      <w:szCs w:val="21"/>
                      <w:lang w:eastAsia="zh-CN"/>
                      <w:highlight w:val="none"/>
                    </w:rPr>
                    <w:t>大气</w:t>
                  </w:r>
                </w:p>
              </w:tc>
              <w:tc>
                <w:tcPr>
                  <w:tcW w:w="2984" w:type="dxa"/>
                  <w:tcBorders>
                    <w:tl2br w:val="nil"/>
                    <w:tr2bl w:val="nil"/>
                  </w:tcBorders>
                  <w:vAlign w:val="center"/>
                </w:tcPr>
                <w:p>
                  <w:pPr>
                    <w:pStyle w:val="56"/>
                    <w:keepNext w:val="0"/>
                    <w:keepLines w:val="0"/>
                    <w:pageBreakBefore w:val="0"/>
                    <w:widowControl w:val="0"/>
                    <w:kinsoku/>
                    <w:wordWrap/>
                    <w:overflowPunct/>
                    <w:topLinePunct w:val="0"/>
                    <w:autoSpaceDE/>
                    <w:autoSpaceDN/>
                    <w:bidi w:val="0"/>
                    <w:adjustRightInd w:val="0"/>
                    <w:snapToGrid/>
                    <w:spacing w:line="240" w:lineRule="auto"/>
                    <w:ind w:left="0" w:firstLineChars="0" w:firstLine="0"/>
                    <w:jc w:val="both"/>
                    <w:textAlignment w:val="baseline"/>
                    <w:rPr>
                      <w:rFonts w:cs="Times New Roman"/>
                      <w:b/>
                      <w:bCs/>
                      <w:color w:val="auto"/>
                      <w:sz w:val="21"/>
                      <w:szCs w:val="21"/>
                      <w:vertAlign w:val="baseline"/>
                      <w:lang w:val="en-US" w:eastAsia="zh-CN"/>
                      <w:highlight w:val="none"/>
                    </w:rPr>
                  </w:pPr>
                  <w:r>
                    <w:rPr>
                      <w:rFonts w:ascii="Times New Roman" w:cs="Times New Roman" w:hAnsi="Times New Roman"/>
                      <w:b w:val="0"/>
                      <w:bCs w:val="0"/>
                      <w:color w:val="auto"/>
                      <w:sz w:val="21"/>
                      <w:szCs w:val="21"/>
                      <w:highlight w:val="none"/>
                    </w:rPr>
                    <w:t>排放废气含有毒有害污染物</w:t>
                  </w:r>
                  <w:r>
                    <w:rPr>
                      <w:rFonts w:ascii="Times New Roman" w:cs="Times New Roman" w:hAnsi="Times New Roman" w:hint="eastAsia"/>
                      <w:b w:val="0"/>
                      <w:bCs w:val="0"/>
                      <w:color w:val="auto"/>
                      <w:sz w:val="21"/>
                      <w:szCs w:val="21"/>
                      <w:vertAlign w:val="superscript"/>
                      <w:lang w:val="en-US" w:eastAsia="zh-CN"/>
                      <w:highlight w:val="none"/>
                    </w:rPr>
                    <w:t>1</w:t>
                  </w:r>
                  <w:r>
                    <w:rPr>
                      <w:rFonts w:ascii="Times New Roman" w:cs="Times New Roman" w:hAnsi="Times New Roman"/>
                      <w:b w:val="0"/>
                      <w:bCs w:val="0"/>
                      <w:color w:val="auto"/>
                      <w:sz w:val="21"/>
                      <w:szCs w:val="21"/>
                      <w:highlight w:val="none"/>
                    </w:rPr>
                    <w:t>、二噁英、苯并[a]芘、氰化物、氯气且厂界外500米范围内有环境空气保护目标的建设项目</w:t>
                  </w:r>
                  <w:r>
                    <w:rPr>
                      <w:rFonts w:cs="Times New Roman" w:hint="eastAsia"/>
                      <w:color w:val="auto"/>
                      <w:sz w:val="21"/>
                      <w:szCs w:val="21"/>
                      <w:lang w:val="en-US" w:eastAsia="zh-CN"/>
                      <w:highlight w:val="none"/>
                    </w:rPr>
                    <w:t>。</w:t>
                  </w:r>
                </w:p>
              </w:tc>
              <w:tc>
                <w:tcPr>
                  <w:tcW w:w="2284" w:type="dxa"/>
                  <w:tcBorders>
                    <w:tl2br w:val="nil"/>
                    <w:tr2bl w:val="nil"/>
                  </w:tcBorders>
                  <w:vAlign w:val="center"/>
                </w:tcPr>
                <w:p>
                  <w:pPr>
                    <w:pStyle w:val="56"/>
                    <w:keepNext w:val="0"/>
                    <w:keepLines w:val="0"/>
                    <w:pageBreakBefore w:val="0"/>
                    <w:widowControl w:val="0"/>
                    <w:kinsoku/>
                    <w:wordWrap/>
                    <w:overflowPunct/>
                    <w:topLinePunct w:val="0"/>
                    <w:autoSpaceDE/>
                    <w:autoSpaceDN/>
                    <w:bidi w:val="0"/>
                    <w:adjustRightInd w:val="0"/>
                    <w:snapToGrid/>
                    <w:spacing w:line="240" w:lineRule="auto"/>
                    <w:ind w:left="0" w:firstLineChars="0" w:firstLine="0"/>
                    <w:jc w:val="both"/>
                    <w:textAlignment w:val="baseline"/>
                    <w:rPr>
                      <w:rFonts w:ascii="Times New Roman" w:eastAsia="宋体" w:cs="Times New Roman" w:hAnsi="Times New Roman" w:hint="eastAsia"/>
                      <w:b w:val="0"/>
                      <w:bCs w:val="0"/>
                      <w:color w:val="auto"/>
                      <w:sz w:val="21"/>
                      <w:szCs w:val="21"/>
                      <w:lang w:eastAsia="zh-CN"/>
                      <w:highlight w:val="none"/>
                    </w:rPr>
                  </w:pPr>
                  <w:r>
                    <w:rPr>
                      <w:rFonts w:ascii="Times New Roman" w:cs="Times New Roman" w:hAnsi="Times New Roman" w:hint="eastAsia"/>
                      <w:b w:val="0"/>
                      <w:bCs w:val="0"/>
                      <w:color w:val="auto"/>
                      <w:sz w:val="21"/>
                      <w:szCs w:val="21"/>
                      <w:lang w:eastAsia="zh-CN"/>
                      <w:highlight w:val="none"/>
                    </w:rPr>
                    <w:t>本项目不涉及排放</w:t>
                  </w:r>
                  <w:r>
                    <w:rPr>
                      <w:rFonts w:ascii="Times New Roman" w:cs="Times New Roman" w:hAnsi="Times New Roman"/>
                      <w:b w:val="0"/>
                      <w:bCs w:val="0"/>
                      <w:color w:val="auto"/>
                      <w:sz w:val="21"/>
                      <w:szCs w:val="21"/>
                      <w:highlight w:val="none"/>
                    </w:rPr>
                    <w:t>有毒有害污染物</w:t>
                  </w:r>
                  <w:r>
                    <w:rPr>
                      <w:rFonts w:ascii="Times New Roman" w:cs="Times New Roman" w:hAnsi="Times New Roman" w:hint="eastAsia"/>
                      <w:b w:val="0"/>
                      <w:bCs w:val="0"/>
                      <w:color w:val="auto"/>
                      <w:sz w:val="21"/>
                      <w:szCs w:val="21"/>
                      <w:lang w:eastAsia="zh-CN"/>
                      <w:highlight w:val="none"/>
                    </w:rPr>
                    <w:t>，仅排放硫酸雾。</w:t>
                  </w:r>
                </w:p>
              </w:tc>
              <w:tc>
                <w:tcPr>
                  <w:tcW w:w="1094" w:type="dxa"/>
                  <w:tcBorders>
                    <w:tl2br w:val="nil"/>
                    <w:tr2bl w:val="nil"/>
                  </w:tcBorders>
                  <w:vAlign w:val="center"/>
                </w:tcPr>
                <w:p>
                  <w:pPr>
                    <w:pStyle w:val="56"/>
                    <w:keepNext w:val="0"/>
                    <w:keepLines w:val="0"/>
                    <w:pageBreakBefore w:val="0"/>
                    <w:widowControl w:val="0"/>
                    <w:kinsoku/>
                    <w:wordWrap/>
                    <w:overflowPunct/>
                    <w:topLinePunct w:val="0"/>
                    <w:autoSpaceDE/>
                    <w:autoSpaceDN/>
                    <w:bidi w:val="0"/>
                    <w:adjustRightInd w:val="0"/>
                    <w:snapToGrid/>
                    <w:spacing w:line="240" w:lineRule="auto"/>
                    <w:ind w:left="0" w:firstLineChars="0" w:firstLine="0"/>
                    <w:jc w:val="center"/>
                    <w:textAlignment w:val="baseline"/>
                    <w:rPr>
                      <w:rFonts w:ascii="Times New Roman" w:eastAsia="宋体" w:cs="Times New Roman" w:hAnsi="Times New Roman" w:hint="eastAsia"/>
                      <w:b w:val="0"/>
                      <w:bCs w:val="0"/>
                      <w:color w:val="auto"/>
                      <w:sz w:val="21"/>
                      <w:szCs w:val="21"/>
                      <w:lang w:eastAsia="zh-CN"/>
                      <w:highlight w:val="none"/>
                    </w:rPr>
                  </w:pPr>
                  <w:r>
                    <w:rPr>
                      <w:rFonts w:ascii="Times New Roman" w:cs="Times New Roman" w:hAnsi="Times New Roman" w:hint="eastAsia"/>
                      <w:b w:val="0"/>
                      <w:bCs w:val="0"/>
                      <w:color w:val="auto"/>
                      <w:sz w:val="21"/>
                      <w:szCs w:val="21"/>
                      <w:lang w:eastAsia="zh-CN"/>
                      <w:highlight w:val="none"/>
                    </w:rPr>
                    <w:t>否</w:t>
                  </w:r>
                </w:p>
              </w:tc>
            </w:tr>
            <w:tr>
              <w:trPr>
                <w:trHeight w:val="397"/>
              </w:trPr>
              <w:tc>
                <w:tcPr>
                  <w:tcW w:w="1240" w:type="dxa"/>
                  <w:tcBorders>
                    <w:tl2br w:val="nil"/>
                    <w:tr2bl w:val="nil"/>
                  </w:tcBorders>
                  <w:vAlign w:val="center"/>
                </w:tcPr>
                <w:p>
                  <w:pPr>
                    <w:pStyle w:val="56"/>
                    <w:keepNext w:val="0"/>
                    <w:keepLines w:val="0"/>
                    <w:pageBreakBefore w:val="0"/>
                    <w:widowControl w:val="0"/>
                    <w:kinsoku/>
                    <w:wordWrap/>
                    <w:overflowPunct/>
                    <w:topLinePunct w:val="0"/>
                    <w:autoSpaceDE/>
                    <w:autoSpaceDN/>
                    <w:bidi w:val="0"/>
                    <w:adjustRightInd w:val="0"/>
                    <w:snapToGrid/>
                    <w:spacing w:line="240" w:lineRule="auto"/>
                    <w:ind w:left="0" w:firstLineChars="0" w:firstLine="0"/>
                    <w:jc w:val="center"/>
                    <w:textAlignment w:val="baseline"/>
                    <w:rPr>
                      <w:rFonts w:ascii="Times New Roman" w:eastAsia="宋体" w:cs="Times New Roman" w:hAnsi="Times New Roman" w:hint="eastAsia"/>
                      <w:b w:val="0"/>
                      <w:bCs w:val="0"/>
                      <w:color w:val="auto"/>
                      <w:sz w:val="21"/>
                      <w:szCs w:val="21"/>
                      <w:lang w:eastAsia="zh-CN"/>
                      <w:highlight w:val="none"/>
                    </w:rPr>
                  </w:pPr>
                  <w:r>
                    <w:rPr>
                      <w:rFonts w:ascii="Times New Roman" w:cs="Times New Roman" w:hAnsi="Times New Roman" w:hint="eastAsia"/>
                      <w:b w:val="0"/>
                      <w:bCs w:val="0"/>
                      <w:color w:val="auto"/>
                      <w:sz w:val="21"/>
                      <w:szCs w:val="21"/>
                      <w:lang w:eastAsia="zh-CN"/>
                      <w:highlight w:val="none"/>
                    </w:rPr>
                    <w:t>地表水</w:t>
                  </w:r>
                </w:p>
              </w:tc>
              <w:tc>
                <w:tcPr>
                  <w:tcW w:w="2984" w:type="dxa"/>
                  <w:tcBorders>
                    <w:tl2br w:val="nil"/>
                    <w:tr2bl w:val="nil"/>
                  </w:tcBorders>
                  <w:vAlign w:val="center"/>
                </w:tcPr>
                <w:p>
                  <w:pPr>
                    <w:pStyle w:val="56"/>
                    <w:keepNext w:val="0"/>
                    <w:keepLines w:val="0"/>
                    <w:pageBreakBefore w:val="0"/>
                    <w:widowControl w:val="0"/>
                    <w:kinsoku/>
                    <w:wordWrap/>
                    <w:overflowPunct/>
                    <w:topLinePunct w:val="0"/>
                    <w:autoSpaceDE/>
                    <w:autoSpaceDN/>
                    <w:bidi w:val="0"/>
                    <w:adjustRightInd w:val="0"/>
                    <w:snapToGrid/>
                    <w:spacing w:line="240" w:lineRule="auto"/>
                    <w:ind w:left="0" w:firstLineChars="0" w:firstLine="0"/>
                    <w:jc w:val="both"/>
                    <w:textAlignment w:val="baseline"/>
                    <w:rPr>
                      <w:rFonts w:ascii="Times New Roman" w:cs="Times New Roman" w:hAnsi="Times New Roman"/>
                      <w:b w:val="0"/>
                      <w:bCs w:val="0"/>
                      <w:color w:val="auto"/>
                      <w:sz w:val="21"/>
                      <w:szCs w:val="21"/>
                      <w:highlight w:val="none"/>
                    </w:rPr>
                  </w:pPr>
                  <w:r>
                    <w:rPr>
                      <w:rFonts w:ascii="Times New Roman" w:cs="Times New Roman" w:hAnsi="Times New Roman"/>
                      <w:b w:val="0"/>
                      <w:bCs w:val="0"/>
                      <w:color w:val="auto"/>
                      <w:sz w:val="21"/>
                      <w:szCs w:val="21"/>
                      <w:highlight w:val="none"/>
                    </w:rPr>
                    <w:t>新增工业废水直排建设项目</w:t>
                  </w:r>
                  <w:r>
                    <w:rPr>
                      <w:rFonts w:cs="Times New Roman" w:hint="eastAsia"/>
                      <w:b w:val="0"/>
                      <w:bCs w:val="0"/>
                      <w:color w:val="auto"/>
                      <w:sz w:val="21"/>
                      <w:szCs w:val="21"/>
                      <w:lang w:eastAsia="zh-CN"/>
                      <w:highlight w:val="none"/>
                    </w:rPr>
                    <w:t>（</w:t>
                  </w:r>
                  <w:r>
                    <w:rPr>
                      <w:rFonts w:ascii="Times New Roman" w:cs="Times New Roman" w:hAnsi="Times New Roman"/>
                      <w:b w:val="0"/>
                      <w:bCs w:val="0"/>
                      <w:color w:val="auto"/>
                      <w:sz w:val="21"/>
                      <w:szCs w:val="21"/>
                      <w:highlight w:val="none"/>
                    </w:rPr>
                    <w:t>槽罐车外送污水处理厂的除外</w:t>
                  </w:r>
                  <w:r>
                    <w:rPr>
                      <w:rFonts w:cs="Times New Roman" w:hint="eastAsia"/>
                      <w:b w:val="0"/>
                      <w:bCs w:val="0"/>
                      <w:color w:val="auto"/>
                      <w:sz w:val="21"/>
                      <w:szCs w:val="21"/>
                      <w:lang w:eastAsia="zh-CN"/>
                      <w:highlight w:val="none"/>
                    </w:rPr>
                    <w:t>）</w:t>
                  </w:r>
                  <w:r>
                    <w:rPr>
                      <w:rFonts w:ascii="Times New Roman" w:cs="Times New Roman" w:hAnsi="Times New Roman" w:hint="eastAsia"/>
                      <w:b w:val="0"/>
                      <w:bCs w:val="0"/>
                      <w:color w:val="auto"/>
                      <w:sz w:val="21"/>
                      <w:szCs w:val="21"/>
                      <w:lang w:eastAsia="zh-CN"/>
                      <w:highlight w:val="none"/>
                    </w:rPr>
                    <w:t>；</w:t>
                  </w:r>
                  <w:r>
                    <w:rPr>
                      <w:rFonts w:ascii="Times New Roman" w:cs="Times New Roman" w:hAnsi="Times New Roman"/>
                      <w:b w:val="0"/>
                      <w:bCs w:val="0"/>
                      <w:color w:val="auto"/>
                      <w:sz w:val="21"/>
                      <w:szCs w:val="21"/>
                      <w:highlight w:val="none"/>
                    </w:rPr>
                    <w:t>新增废水直排的污水集中处理厂</w:t>
                  </w:r>
                </w:p>
              </w:tc>
              <w:tc>
                <w:tcPr>
                  <w:tcW w:w="2284" w:type="dxa"/>
                  <w:tcBorders>
                    <w:tl2br w:val="nil"/>
                    <w:tr2bl w:val="nil"/>
                  </w:tcBorders>
                  <w:vAlign w:val="center"/>
                </w:tcPr>
                <w:p>
                  <w:pPr>
                    <w:pStyle w:val="56"/>
                    <w:keepNext w:val="0"/>
                    <w:keepLines w:val="0"/>
                    <w:pageBreakBefore w:val="0"/>
                    <w:widowControl w:val="0"/>
                    <w:kinsoku/>
                    <w:wordWrap/>
                    <w:overflowPunct/>
                    <w:topLinePunct w:val="0"/>
                    <w:autoSpaceDE/>
                    <w:autoSpaceDN/>
                    <w:bidi w:val="0"/>
                    <w:adjustRightInd w:val="0"/>
                    <w:snapToGrid/>
                    <w:spacing w:line="240" w:lineRule="auto"/>
                    <w:ind w:left="0" w:firstLineChars="0" w:firstLine="0"/>
                    <w:jc w:val="both"/>
                    <w:textAlignment w:val="baseline"/>
                    <w:rPr>
                      <w:rFonts w:ascii="Times New Roman" w:eastAsia="宋体" w:cs="Times New Roman" w:hAnsi="Times New Roman" w:hint="eastAsia"/>
                      <w:b w:val="0"/>
                      <w:bCs w:val="0"/>
                      <w:color w:val="auto"/>
                      <w:sz w:val="21"/>
                      <w:szCs w:val="21"/>
                      <w:lang w:eastAsia="zh-CN"/>
                      <w:highlight w:val="none"/>
                    </w:rPr>
                  </w:pPr>
                  <w:r>
                    <w:rPr>
                      <w:rFonts w:ascii="Times New Roman" w:cs="Times New Roman" w:hAnsi="Times New Roman" w:hint="eastAsia"/>
                      <w:b w:val="0"/>
                      <w:bCs w:val="0"/>
                      <w:color w:val="auto"/>
                      <w:sz w:val="21"/>
                      <w:szCs w:val="21"/>
                      <w:lang w:eastAsia="zh-CN"/>
                      <w:highlight w:val="none"/>
                    </w:rPr>
                    <w:t>本项目生活污水依托化粪池处理后</w:t>
                  </w:r>
                  <w:r>
                    <w:rPr>
                      <w:rFonts w:cs="Times New Roman" w:hint="eastAsia"/>
                      <w:b w:val="0"/>
                      <w:bCs w:val="0"/>
                      <w:color w:val="auto"/>
                      <w:sz w:val="21"/>
                      <w:szCs w:val="21"/>
                      <w:lang w:eastAsia="zh-CN"/>
                      <w:highlight w:val="none"/>
                    </w:rPr>
                    <w:t>定期清掏</w:t>
                  </w:r>
                  <w:r>
                    <w:rPr>
                      <w:rFonts w:ascii="Times New Roman" w:cs="Times New Roman" w:hAnsi="Times New Roman" w:hint="eastAsia"/>
                      <w:b w:val="0"/>
                      <w:bCs w:val="0"/>
                      <w:color w:val="auto"/>
                      <w:sz w:val="21"/>
                      <w:szCs w:val="21"/>
                      <w:lang w:eastAsia="zh-CN"/>
                      <w:highlight w:val="none"/>
                    </w:rPr>
                    <w:t>，不涉排污口</w:t>
                  </w:r>
                </w:p>
              </w:tc>
              <w:tc>
                <w:tcPr>
                  <w:tcW w:w="1094" w:type="dxa"/>
                  <w:tcBorders>
                    <w:tl2br w:val="nil"/>
                    <w:tr2bl w:val="nil"/>
                  </w:tcBorders>
                  <w:vAlign w:val="center"/>
                </w:tcPr>
                <w:p>
                  <w:pPr>
                    <w:pStyle w:val="56"/>
                    <w:keepNext w:val="0"/>
                    <w:keepLines w:val="0"/>
                    <w:pageBreakBefore w:val="0"/>
                    <w:widowControl w:val="0"/>
                    <w:kinsoku/>
                    <w:wordWrap/>
                    <w:overflowPunct/>
                    <w:topLinePunct w:val="0"/>
                    <w:autoSpaceDE/>
                    <w:autoSpaceDN/>
                    <w:bidi w:val="0"/>
                    <w:adjustRightInd w:val="0"/>
                    <w:snapToGrid/>
                    <w:spacing w:line="240" w:lineRule="auto"/>
                    <w:ind w:left="0" w:firstLineChars="0" w:firstLine="0"/>
                    <w:jc w:val="center"/>
                    <w:textAlignment w:val="baseline"/>
                    <w:rPr>
                      <w:rFonts w:ascii="Times New Roman" w:eastAsia="宋体" w:cs="Times New Roman" w:hAnsi="Times New Roman" w:hint="eastAsia"/>
                      <w:b w:val="0"/>
                      <w:bCs w:val="0"/>
                      <w:color w:val="auto"/>
                      <w:sz w:val="21"/>
                      <w:szCs w:val="21"/>
                      <w:lang w:eastAsia="zh-CN"/>
                      <w:highlight w:val="none"/>
                    </w:rPr>
                  </w:pPr>
                  <w:r>
                    <w:rPr>
                      <w:rFonts w:ascii="Times New Roman" w:cs="Times New Roman" w:hAnsi="Times New Roman" w:hint="eastAsia"/>
                      <w:b w:val="0"/>
                      <w:bCs w:val="0"/>
                      <w:color w:val="auto"/>
                      <w:sz w:val="21"/>
                      <w:szCs w:val="21"/>
                      <w:lang w:eastAsia="zh-CN"/>
                      <w:highlight w:val="none"/>
                    </w:rPr>
                    <w:t>否</w:t>
                  </w:r>
                </w:p>
              </w:tc>
            </w:tr>
            <w:tr>
              <w:trPr>
                <w:trHeight w:val="397"/>
              </w:trPr>
              <w:tc>
                <w:tcPr>
                  <w:tcW w:w="1240" w:type="dxa"/>
                  <w:tcBorders>
                    <w:tl2br w:val="nil"/>
                    <w:tr2bl w:val="nil"/>
                  </w:tcBorders>
                  <w:vAlign w:val="center"/>
                </w:tcPr>
                <w:p>
                  <w:pPr>
                    <w:pStyle w:val="56"/>
                    <w:keepNext w:val="0"/>
                    <w:keepLines w:val="0"/>
                    <w:pageBreakBefore w:val="0"/>
                    <w:widowControl w:val="0"/>
                    <w:kinsoku/>
                    <w:wordWrap/>
                    <w:overflowPunct/>
                    <w:topLinePunct w:val="0"/>
                    <w:autoSpaceDE/>
                    <w:autoSpaceDN/>
                    <w:bidi w:val="0"/>
                    <w:adjustRightInd w:val="0"/>
                    <w:snapToGrid/>
                    <w:spacing w:line="240" w:lineRule="auto"/>
                    <w:ind w:left="0" w:firstLineChars="0" w:firstLine="0"/>
                    <w:jc w:val="center"/>
                    <w:textAlignment w:val="baseline"/>
                    <w:rPr>
                      <w:rFonts w:ascii="Times New Roman" w:eastAsia="宋体" w:cs="Times New Roman" w:hAnsi="Times New Roman" w:hint="eastAsia"/>
                      <w:b w:val="0"/>
                      <w:bCs w:val="0"/>
                      <w:color w:val="auto"/>
                      <w:sz w:val="21"/>
                      <w:szCs w:val="21"/>
                      <w:lang w:eastAsia="zh-CN"/>
                      <w:highlight w:val="none"/>
                    </w:rPr>
                  </w:pPr>
                  <w:r>
                    <w:rPr>
                      <w:rFonts w:ascii="Times New Roman" w:cs="Times New Roman" w:hAnsi="Times New Roman" w:hint="eastAsia"/>
                      <w:b w:val="0"/>
                      <w:bCs w:val="0"/>
                      <w:color w:val="auto"/>
                      <w:sz w:val="21"/>
                      <w:szCs w:val="21"/>
                      <w:lang w:eastAsia="zh-CN"/>
                      <w:highlight w:val="none"/>
                    </w:rPr>
                    <w:t>环境风险</w:t>
                  </w:r>
                </w:p>
              </w:tc>
              <w:tc>
                <w:tcPr>
                  <w:tcW w:w="2984" w:type="dxa"/>
                  <w:tcBorders>
                    <w:tl2br w:val="nil"/>
                    <w:tr2bl w:val="nil"/>
                  </w:tcBorders>
                  <w:vAlign w:val="center"/>
                </w:tcPr>
                <w:p>
                  <w:pPr>
                    <w:pStyle w:val="56"/>
                    <w:keepNext w:val="0"/>
                    <w:keepLines w:val="0"/>
                    <w:pageBreakBefore w:val="0"/>
                    <w:widowControl w:val="0"/>
                    <w:kinsoku/>
                    <w:wordWrap/>
                    <w:overflowPunct/>
                    <w:topLinePunct w:val="0"/>
                    <w:autoSpaceDE/>
                    <w:autoSpaceDN/>
                    <w:bidi w:val="0"/>
                    <w:adjustRightInd w:val="0"/>
                    <w:snapToGrid/>
                    <w:spacing w:line="240" w:lineRule="auto"/>
                    <w:ind w:left="0" w:firstLineChars="0" w:firstLine="0"/>
                    <w:jc w:val="both"/>
                    <w:textAlignment w:val="baseline"/>
                    <w:rPr>
                      <w:rFonts w:ascii="Times New Roman" w:cs="Times New Roman" w:hAnsi="Times New Roman"/>
                      <w:b w:val="0"/>
                      <w:bCs w:val="0"/>
                      <w:color w:val="auto"/>
                      <w:sz w:val="21"/>
                      <w:szCs w:val="21"/>
                      <w:highlight w:val="none"/>
                    </w:rPr>
                  </w:pPr>
                  <w:r>
                    <w:rPr>
                      <w:rFonts w:ascii="Times New Roman" w:cs="Times New Roman" w:hAnsi="Times New Roman"/>
                      <w:b w:val="0"/>
                      <w:bCs w:val="0"/>
                      <w:color w:val="auto"/>
                      <w:sz w:val="21"/>
                      <w:szCs w:val="21"/>
                      <w:highlight w:val="none"/>
                    </w:rPr>
                    <w:t>有毒有害和易燃易爆危险物质存储量超过临界量的建设项目</w:t>
                  </w:r>
                </w:p>
              </w:tc>
              <w:tc>
                <w:tcPr>
                  <w:tcW w:w="2284" w:type="dxa"/>
                  <w:tcBorders>
                    <w:tl2br w:val="nil"/>
                    <w:tr2bl w:val="nil"/>
                  </w:tcBorders>
                  <w:vAlign w:val="center"/>
                </w:tcPr>
                <w:p>
                  <w:pPr>
                    <w:pStyle w:val="56"/>
                    <w:keepNext w:val="0"/>
                    <w:keepLines w:val="0"/>
                    <w:pageBreakBefore w:val="0"/>
                    <w:widowControl w:val="0"/>
                    <w:kinsoku/>
                    <w:wordWrap/>
                    <w:overflowPunct/>
                    <w:topLinePunct w:val="0"/>
                    <w:autoSpaceDE/>
                    <w:autoSpaceDN/>
                    <w:bidi w:val="0"/>
                    <w:adjustRightInd w:val="0"/>
                    <w:snapToGrid/>
                    <w:spacing w:line="240" w:lineRule="auto"/>
                    <w:ind w:left="0" w:firstLineChars="0" w:firstLine="0"/>
                    <w:jc w:val="both"/>
                    <w:textAlignment w:val="baseline"/>
                    <w:rPr>
                      <w:rFonts w:ascii="Times New Roman" w:eastAsia="宋体" w:cs="Times New Roman" w:hAnsi="Times New Roman"/>
                      <w:b w:val="0"/>
                      <w:bCs w:val="0"/>
                      <w:color w:val="auto"/>
                      <w:sz w:val="21"/>
                      <w:szCs w:val="21"/>
                      <w:lang w:val="en-US" w:eastAsia="zh-CN"/>
                      <w:highlight w:val="none"/>
                    </w:rPr>
                  </w:pPr>
                  <w:r>
                    <w:rPr>
                      <w:rFonts w:ascii="Times New Roman" w:cs="Times New Roman" w:hAnsi="Times New Roman" w:hint="eastAsia"/>
                      <w:b w:val="0"/>
                      <w:bCs w:val="0"/>
                      <w:color w:val="auto"/>
                      <w:sz w:val="21"/>
                      <w:szCs w:val="21"/>
                      <w:lang w:eastAsia="zh-CN"/>
                      <w:highlight w:val="none"/>
                    </w:rPr>
                    <w:t>本项目涉及</w:t>
                  </w:r>
                  <w:r>
                    <w:rPr>
                      <w:rFonts w:cs="Times New Roman" w:hint="eastAsia"/>
                      <w:b w:val="0"/>
                      <w:bCs w:val="0"/>
                      <w:color w:val="auto"/>
                      <w:sz w:val="21"/>
                      <w:szCs w:val="21"/>
                      <w:lang w:eastAsia="zh-CN"/>
                      <w:highlight w:val="none"/>
                    </w:rPr>
                    <w:t>的</w:t>
                  </w:r>
                  <w:r>
                    <w:rPr>
                      <w:rFonts w:ascii="Times New Roman" w:cs="Times New Roman" w:hAnsi="Times New Roman" w:hint="eastAsia"/>
                      <w:b w:val="0"/>
                      <w:bCs w:val="0"/>
                      <w:color w:val="auto"/>
                      <w:sz w:val="21"/>
                      <w:szCs w:val="21"/>
                      <w:lang w:eastAsia="zh-CN"/>
                      <w:highlight w:val="none"/>
                    </w:rPr>
                    <w:t>风险物质</w:t>
                  </w:r>
                  <w:r>
                    <w:rPr>
                      <w:rFonts w:cs="Times New Roman" w:hint="eastAsia"/>
                      <w:b w:val="0"/>
                      <w:bCs w:val="0"/>
                      <w:color w:val="auto"/>
                      <w:sz w:val="21"/>
                      <w:szCs w:val="21"/>
                      <w:lang w:eastAsia="zh-CN"/>
                      <w:highlight w:val="none"/>
                    </w:rPr>
                    <w:t>为废铅蓄电池，</w:t>
                  </w:r>
                  <w:r>
                    <w:rPr>
                      <w:rFonts w:cs="Times New Roman" w:hint="eastAsia"/>
                      <w:b w:val="0"/>
                      <w:bCs w:val="0"/>
                      <w:color w:val="auto"/>
                      <w:sz w:val="21"/>
                      <w:szCs w:val="21"/>
                      <w:lang w:val="en-US" w:eastAsia="zh-CN"/>
                      <w:highlight w:val="none"/>
                    </w:rPr>
                    <w:t>Q＞1</w:t>
                  </w:r>
                </w:p>
              </w:tc>
              <w:tc>
                <w:tcPr>
                  <w:tcW w:w="1094" w:type="dxa"/>
                  <w:tcBorders>
                    <w:tl2br w:val="nil"/>
                    <w:tr2bl w:val="nil"/>
                  </w:tcBorders>
                  <w:vAlign w:val="center"/>
                </w:tcPr>
                <w:p>
                  <w:pPr>
                    <w:pStyle w:val="56"/>
                    <w:keepNext w:val="0"/>
                    <w:keepLines w:val="0"/>
                    <w:pageBreakBefore w:val="0"/>
                    <w:widowControl w:val="0"/>
                    <w:kinsoku/>
                    <w:wordWrap/>
                    <w:overflowPunct/>
                    <w:topLinePunct w:val="0"/>
                    <w:autoSpaceDE/>
                    <w:autoSpaceDN/>
                    <w:bidi w:val="0"/>
                    <w:adjustRightInd w:val="0"/>
                    <w:snapToGrid/>
                    <w:spacing w:line="240" w:lineRule="auto"/>
                    <w:ind w:left="0" w:firstLineChars="0" w:firstLine="0"/>
                    <w:jc w:val="center"/>
                    <w:textAlignment w:val="baseline"/>
                    <w:rPr>
                      <w:rFonts w:ascii="Times New Roman" w:eastAsia="宋体" w:cs="Times New Roman" w:hAnsi="Times New Roman" w:hint="eastAsia"/>
                      <w:b w:val="0"/>
                      <w:bCs w:val="0"/>
                      <w:color w:val="auto"/>
                      <w:sz w:val="21"/>
                      <w:szCs w:val="21"/>
                      <w:lang w:eastAsia="zh-CN"/>
                      <w:highlight w:val="none"/>
                    </w:rPr>
                  </w:pPr>
                  <w:r>
                    <w:rPr>
                      <w:rFonts w:cs="Times New Roman" w:hint="eastAsia"/>
                      <w:b w:val="0"/>
                      <w:bCs w:val="0"/>
                      <w:color w:val="auto"/>
                      <w:sz w:val="21"/>
                      <w:szCs w:val="21"/>
                      <w:lang w:eastAsia="zh-CN"/>
                      <w:highlight w:val="none"/>
                    </w:rPr>
                    <w:t>是</w:t>
                  </w:r>
                </w:p>
              </w:tc>
            </w:tr>
            <w:tr>
              <w:trPr>
                <w:trHeight w:val="397"/>
              </w:trPr>
              <w:tc>
                <w:tcPr>
                  <w:tcW w:w="1240" w:type="dxa"/>
                  <w:tcBorders>
                    <w:tl2br w:val="nil"/>
                    <w:tr2bl w:val="nil"/>
                  </w:tcBorders>
                  <w:vAlign w:val="center"/>
                </w:tcPr>
                <w:p>
                  <w:pPr>
                    <w:pStyle w:val="56"/>
                    <w:keepNext w:val="0"/>
                    <w:keepLines w:val="0"/>
                    <w:pageBreakBefore w:val="0"/>
                    <w:widowControl w:val="0"/>
                    <w:kinsoku/>
                    <w:wordWrap/>
                    <w:overflowPunct/>
                    <w:topLinePunct w:val="0"/>
                    <w:autoSpaceDE/>
                    <w:autoSpaceDN/>
                    <w:bidi w:val="0"/>
                    <w:adjustRightInd w:val="0"/>
                    <w:snapToGrid/>
                    <w:spacing w:line="240" w:lineRule="auto"/>
                    <w:ind w:left="0" w:firstLineChars="0" w:firstLine="0"/>
                    <w:jc w:val="center"/>
                    <w:textAlignment w:val="baseline"/>
                    <w:rPr>
                      <w:rFonts w:ascii="Times New Roman" w:eastAsia="宋体" w:cs="Times New Roman" w:hAnsi="Times New Roman" w:hint="eastAsia"/>
                      <w:b w:val="0"/>
                      <w:bCs w:val="0"/>
                      <w:color w:val="auto"/>
                      <w:sz w:val="21"/>
                      <w:szCs w:val="21"/>
                      <w:lang w:eastAsia="zh-CN"/>
                      <w:highlight w:val="none"/>
                    </w:rPr>
                  </w:pPr>
                  <w:r>
                    <w:rPr>
                      <w:rFonts w:ascii="Times New Roman" w:cs="Times New Roman" w:hAnsi="Times New Roman" w:hint="eastAsia"/>
                      <w:b w:val="0"/>
                      <w:bCs w:val="0"/>
                      <w:color w:val="auto"/>
                      <w:sz w:val="21"/>
                      <w:szCs w:val="21"/>
                      <w:lang w:eastAsia="zh-CN"/>
                      <w:highlight w:val="none"/>
                    </w:rPr>
                    <w:t>生态</w:t>
                  </w:r>
                </w:p>
              </w:tc>
              <w:tc>
                <w:tcPr>
                  <w:tcW w:w="2984" w:type="dxa"/>
                  <w:tcBorders>
                    <w:tl2br w:val="nil"/>
                    <w:tr2bl w:val="nil"/>
                  </w:tcBorders>
                  <w:vAlign w:val="center"/>
                </w:tcPr>
                <w:p>
                  <w:pPr>
                    <w:pStyle w:val="56"/>
                    <w:keepNext w:val="0"/>
                    <w:keepLines w:val="0"/>
                    <w:pageBreakBefore w:val="0"/>
                    <w:widowControl w:val="0"/>
                    <w:kinsoku/>
                    <w:wordWrap/>
                    <w:overflowPunct/>
                    <w:topLinePunct w:val="0"/>
                    <w:autoSpaceDE/>
                    <w:autoSpaceDN/>
                    <w:bidi w:val="0"/>
                    <w:adjustRightInd w:val="0"/>
                    <w:snapToGrid/>
                    <w:spacing w:line="240" w:lineRule="auto"/>
                    <w:ind w:left="0" w:firstLineChars="0" w:firstLine="0"/>
                    <w:jc w:val="both"/>
                    <w:textAlignment w:val="baseline"/>
                    <w:rPr>
                      <w:rFonts w:ascii="Times New Roman" w:cs="Times New Roman" w:hAnsi="Times New Roman"/>
                      <w:b w:val="0"/>
                      <w:bCs w:val="0"/>
                      <w:color w:val="auto"/>
                      <w:sz w:val="21"/>
                      <w:szCs w:val="21"/>
                      <w:highlight w:val="none"/>
                    </w:rPr>
                  </w:pPr>
                  <w:r>
                    <w:rPr>
                      <w:rFonts w:ascii="Times New Roman" w:cs="Times New Roman" w:hAnsi="Times New Roman"/>
                      <w:b w:val="0"/>
                      <w:bCs w:val="0"/>
                      <w:color w:val="auto"/>
                      <w:sz w:val="21"/>
                      <w:szCs w:val="21"/>
                      <w:highlight w:val="none"/>
                    </w:rPr>
                    <w:t>取水口下游500米范围内有重要水生生物的自然产卵场、索饵场、越冬场和洞游通道的新增河道取水的污染类建设项目</w:t>
                  </w:r>
                </w:p>
              </w:tc>
              <w:tc>
                <w:tcPr>
                  <w:tcW w:w="2284" w:type="dxa"/>
                  <w:tcBorders>
                    <w:tl2br w:val="nil"/>
                    <w:tr2bl w:val="nil"/>
                  </w:tcBorders>
                  <w:vAlign w:val="center"/>
                </w:tcPr>
                <w:p>
                  <w:pPr>
                    <w:pStyle w:val="56"/>
                    <w:keepNext w:val="0"/>
                    <w:keepLines w:val="0"/>
                    <w:pageBreakBefore w:val="0"/>
                    <w:widowControl w:val="0"/>
                    <w:kinsoku/>
                    <w:wordWrap/>
                    <w:overflowPunct/>
                    <w:topLinePunct w:val="0"/>
                    <w:autoSpaceDE/>
                    <w:autoSpaceDN/>
                    <w:bidi w:val="0"/>
                    <w:adjustRightInd w:val="0"/>
                    <w:snapToGrid/>
                    <w:spacing w:line="240" w:lineRule="auto"/>
                    <w:ind w:left="0" w:firstLineChars="0" w:firstLine="0"/>
                    <w:jc w:val="both"/>
                    <w:textAlignment w:val="baseline"/>
                    <w:rPr>
                      <w:rFonts w:ascii="Times New Roman" w:eastAsia="宋体" w:cs="Times New Roman" w:hAnsi="Times New Roman" w:hint="eastAsia"/>
                      <w:b w:val="0"/>
                      <w:bCs w:val="0"/>
                      <w:color w:val="auto"/>
                      <w:sz w:val="21"/>
                      <w:szCs w:val="21"/>
                      <w:lang w:eastAsia="zh-CN"/>
                      <w:highlight w:val="none"/>
                    </w:rPr>
                  </w:pPr>
                  <w:r>
                    <w:rPr>
                      <w:rFonts w:ascii="Times New Roman" w:cs="Times New Roman" w:hAnsi="Times New Roman" w:hint="eastAsia"/>
                      <w:b w:val="0"/>
                      <w:bCs w:val="0"/>
                      <w:color w:val="auto"/>
                      <w:sz w:val="21"/>
                      <w:szCs w:val="21"/>
                      <w:lang w:eastAsia="zh-CN"/>
                      <w:highlight w:val="none"/>
                    </w:rPr>
                    <w:t>本项目不涉及</w:t>
                  </w:r>
                </w:p>
              </w:tc>
              <w:tc>
                <w:tcPr>
                  <w:tcW w:w="1094" w:type="dxa"/>
                  <w:tcBorders>
                    <w:tl2br w:val="nil"/>
                    <w:tr2bl w:val="nil"/>
                  </w:tcBorders>
                  <w:vAlign w:val="center"/>
                </w:tcPr>
                <w:p>
                  <w:pPr>
                    <w:pStyle w:val="56"/>
                    <w:keepNext w:val="0"/>
                    <w:keepLines w:val="0"/>
                    <w:pageBreakBefore w:val="0"/>
                    <w:widowControl w:val="0"/>
                    <w:kinsoku/>
                    <w:wordWrap/>
                    <w:overflowPunct/>
                    <w:topLinePunct w:val="0"/>
                    <w:autoSpaceDE/>
                    <w:autoSpaceDN/>
                    <w:bidi w:val="0"/>
                    <w:adjustRightInd w:val="0"/>
                    <w:snapToGrid/>
                    <w:spacing w:line="240" w:lineRule="auto"/>
                    <w:ind w:left="0" w:firstLineChars="0" w:firstLine="0"/>
                    <w:jc w:val="center"/>
                    <w:textAlignment w:val="baseline"/>
                    <w:rPr>
                      <w:rFonts w:ascii="Times New Roman" w:eastAsia="宋体" w:cs="Times New Roman" w:hAnsi="Times New Roman" w:hint="eastAsia"/>
                      <w:b w:val="0"/>
                      <w:bCs w:val="0"/>
                      <w:color w:val="auto"/>
                      <w:sz w:val="21"/>
                      <w:szCs w:val="21"/>
                      <w:lang w:eastAsia="zh-CN"/>
                      <w:highlight w:val="none"/>
                    </w:rPr>
                  </w:pPr>
                  <w:r>
                    <w:rPr>
                      <w:rFonts w:ascii="Times New Roman" w:cs="Times New Roman" w:hAnsi="Times New Roman" w:hint="eastAsia"/>
                      <w:b w:val="0"/>
                      <w:bCs w:val="0"/>
                      <w:color w:val="auto"/>
                      <w:sz w:val="21"/>
                      <w:szCs w:val="21"/>
                      <w:lang w:eastAsia="zh-CN"/>
                      <w:highlight w:val="none"/>
                    </w:rPr>
                    <w:t>否</w:t>
                  </w:r>
                </w:p>
              </w:tc>
            </w:tr>
            <w:tr>
              <w:trPr>
                <w:trHeight w:val="397"/>
              </w:trPr>
              <w:tc>
                <w:tcPr>
                  <w:tcW w:w="1240" w:type="dxa"/>
                  <w:tcBorders>
                    <w:tl2br w:val="nil"/>
                    <w:tr2bl w:val="nil"/>
                  </w:tcBorders>
                  <w:vAlign w:val="center"/>
                </w:tcPr>
                <w:p>
                  <w:pPr>
                    <w:pStyle w:val="56"/>
                    <w:keepNext w:val="0"/>
                    <w:keepLines w:val="0"/>
                    <w:pageBreakBefore w:val="0"/>
                    <w:widowControl w:val="0"/>
                    <w:kinsoku/>
                    <w:wordWrap/>
                    <w:overflowPunct/>
                    <w:topLinePunct w:val="0"/>
                    <w:autoSpaceDE/>
                    <w:autoSpaceDN/>
                    <w:bidi w:val="0"/>
                    <w:adjustRightInd w:val="0"/>
                    <w:snapToGrid/>
                    <w:spacing w:line="240" w:lineRule="auto"/>
                    <w:ind w:left="0" w:firstLineChars="0" w:firstLine="0"/>
                    <w:jc w:val="center"/>
                    <w:textAlignment w:val="baseline"/>
                    <w:rPr>
                      <w:rFonts w:ascii="Times New Roman" w:cs="Times New Roman" w:hAnsi="Times New Roman"/>
                      <w:b w:val="0"/>
                      <w:bCs w:val="0"/>
                      <w:color w:val="auto"/>
                      <w:sz w:val="21"/>
                      <w:szCs w:val="21"/>
                      <w:highlight w:val="none"/>
                    </w:rPr>
                  </w:pPr>
                  <w:r>
                    <w:rPr>
                      <w:rFonts w:ascii="Times New Roman" w:cs="Times New Roman" w:hAnsi="Times New Roman" w:hint="eastAsia"/>
                      <w:b w:val="0"/>
                      <w:bCs w:val="0"/>
                      <w:color w:val="auto"/>
                      <w:sz w:val="21"/>
                      <w:szCs w:val="21"/>
                      <w:lang w:eastAsia="zh-CN"/>
                      <w:highlight w:val="none"/>
                    </w:rPr>
                    <w:t>海洋</w:t>
                  </w:r>
                </w:p>
              </w:tc>
              <w:tc>
                <w:tcPr>
                  <w:tcW w:w="2984" w:type="dxa"/>
                  <w:tcBorders>
                    <w:tl2br w:val="nil"/>
                    <w:tr2bl w:val="nil"/>
                  </w:tcBorders>
                  <w:vAlign w:val="center"/>
                </w:tcPr>
                <w:p>
                  <w:pPr>
                    <w:pStyle w:val="56"/>
                    <w:keepNext w:val="0"/>
                    <w:keepLines w:val="0"/>
                    <w:pageBreakBefore w:val="0"/>
                    <w:widowControl w:val="0"/>
                    <w:kinsoku/>
                    <w:wordWrap/>
                    <w:overflowPunct/>
                    <w:topLinePunct w:val="0"/>
                    <w:autoSpaceDE/>
                    <w:autoSpaceDN/>
                    <w:bidi w:val="0"/>
                    <w:adjustRightInd w:val="0"/>
                    <w:snapToGrid/>
                    <w:spacing w:line="240" w:lineRule="auto"/>
                    <w:ind w:left="0" w:firstLineChars="0" w:firstLine="0"/>
                    <w:jc w:val="both"/>
                    <w:textAlignment w:val="baseline"/>
                    <w:rPr>
                      <w:rFonts w:ascii="Times New Roman" w:cs="Times New Roman" w:hAnsi="Times New Roman"/>
                      <w:b w:val="0"/>
                      <w:bCs w:val="0"/>
                      <w:color w:val="auto"/>
                      <w:sz w:val="21"/>
                      <w:szCs w:val="21"/>
                      <w:highlight w:val="none"/>
                    </w:rPr>
                  </w:pPr>
                  <w:r>
                    <w:rPr>
                      <w:rFonts w:ascii="Times New Roman" w:cs="Times New Roman" w:hAnsi="Times New Roman"/>
                      <w:b w:val="0"/>
                      <w:bCs w:val="0"/>
                      <w:color w:val="auto"/>
                      <w:sz w:val="21"/>
                      <w:szCs w:val="21"/>
                      <w:highlight w:val="none"/>
                    </w:rPr>
                    <w:t>直接向海排放污染物的海洋工程建设项目</w:t>
                  </w:r>
                </w:p>
              </w:tc>
              <w:tc>
                <w:tcPr>
                  <w:tcW w:w="2284" w:type="dxa"/>
                  <w:tcBorders>
                    <w:tl2br w:val="nil"/>
                    <w:tr2bl w:val="nil"/>
                  </w:tcBorders>
                  <w:vAlign w:val="center"/>
                </w:tcPr>
                <w:p>
                  <w:pPr>
                    <w:pStyle w:val="56"/>
                    <w:keepNext w:val="0"/>
                    <w:keepLines w:val="0"/>
                    <w:pageBreakBefore w:val="0"/>
                    <w:widowControl w:val="0"/>
                    <w:kinsoku/>
                    <w:wordWrap/>
                    <w:overflowPunct/>
                    <w:topLinePunct w:val="0"/>
                    <w:autoSpaceDE/>
                    <w:autoSpaceDN/>
                    <w:bidi w:val="0"/>
                    <w:adjustRightInd w:val="0"/>
                    <w:snapToGrid/>
                    <w:spacing w:line="240" w:lineRule="auto"/>
                    <w:ind w:left="0" w:firstLineChars="0" w:firstLine="0"/>
                    <w:jc w:val="both"/>
                    <w:textAlignment w:val="baseline"/>
                    <w:rPr>
                      <w:rFonts w:ascii="Times New Roman" w:eastAsia="宋体" w:cs="Times New Roman" w:hAnsi="Times New Roman" w:hint="eastAsia"/>
                      <w:b w:val="0"/>
                      <w:bCs w:val="0"/>
                      <w:color w:val="auto"/>
                      <w:sz w:val="21"/>
                      <w:szCs w:val="21"/>
                      <w:lang w:eastAsia="zh-CN"/>
                      <w:highlight w:val="none"/>
                    </w:rPr>
                  </w:pPr>
                  <w:r>
                    <w:rPr>
                      <w:rFonts w:ascii="Times New Roman" w:cs="Times New Roman" w:hAnsi="Times New Roman" w:hint="eastAsia"/>
                      <w:b w:val="0"/>
                      <w:bCs w:val="0"/>
                      <w:color w:val="auto"/>
                      <w:sz w:val="21"/>
                      <w:szCs w:val="21"/>
                      <w:lang w:eastAsia="zh-CN"/>
                      <w:highlight w:val="none"/>
                    </w:rPr>
                    <w:t>本项目不涉及</w:t>
                  </w:r>
                </w:p>
              </w:tc>
              <w:tc>
                <w:tcPr>
                  <w:tcW w:w="1094" w:type="dxa"/>
                  <w:tcBorders>
                    <w:tl2br w:val="nil"/>
                    <w:tr2bl w:val="nil"/>
                  </w:tcBorders>
                  <w:vAlign w:val="center"/>
                </w:tcPr>
                <w:p>
                  <w:pPr>
                    <w:pStyle w:val="56"/>
                    <w:keepNext w:val="0"/>
                    <w:keepLines w:val="0"/>
                    <w:pageBreakBefore w:val="0"/>
                    <w:widowControl w:val="0"/>
                    <w:kinsoku/>
                    <w:wordWrap/>
                    <w:overflowPunct/>
                    <w:topLinePunct w:val="0"/>
                    <w:autoSpaceDE/>
                    <w:autoSpaceDN/>
                    <w:bidi w:val="0"/>
                    <w:adjustRightInd w:val="0"/>
                    <w:snapToGrid/>
                    <w:spacing w:line="240" w:lineRule="auto"/>
                    <w:ind w:left="0" w:firstLineChars="0" w:firstLine="0"/>
                    <w:jc w:val="center"/>
                    <w:textAlignment w:val="baseline"/>
                    <w:rPr>
                      <w:rFonts w:ascii="Times New Roman" w:eastAsia="宋体" w:cs="Times New Roman" w:hAnsi="Times New Roman" w:hint="eastAsia"/>
                      <w:b w:val="0"/>
                      <w:bCs w:val="0"/>
                      <w:color w:val="auto"/>
                      <w:sz w:val="21"/>
                      <w:szCs w:val="21"/>
                      <w:lang w:eastAsia="zh-CN"/>
                      <w:highlight w:val="none"/>
                    </w:rPr>
                  </w:pPr>
                  <w:r>
                    <w:rPr>
                      <w:rFonts w:ascii="Times New Roman" w:cs="Times New Roman" w:hAnsi="Times New Roman" w:hint="eastAsia"/>
                      <w:b w:val="0"/>
                      <w:bCs w:val="0"/>
                      <w:color w:val="auto"/>
                      <w:sz w:val="21"/>
                      <w:szCs w:val="21"/>
                      <w:lang w:eastAsia="zh-CN"/>
                      <w:highlight w:val="none"/>
                    </w:rPr>
                    <w:t>否</w:t>
                  </w:r>
                </w:p>
              </w:tc>
            </w:tr>
          </w:tbl>
          <w:p>
            <w:pPr>
              <w:pStyle w:val="56"/>
              <w:rPr>
                <w:rFonts w:ascii="Times New Roman" w:eastAsia="宋体" w:cs="Times New Roman" w:hAnsi="Times New Roman"/>
                <w:color w:val="auto"/>
                <w:lang w:val="en-US" w:eastAsia="zh-CN"/>
                <w:highlight w:val="none"/>
              </w:rPr>
            </w:pPr>
          </w:p>
        </w:tc>
      </w:tr>
      <w:tr>
        <w:trPr>
          <w:trHeight w:val="606"/>
        </w:trPr>
        <w:tc>
          <w:tcPr>
            <w:tcW w:w="931" w:type="pct"/>
            <w:tcMar>
              <w:left w:w="108" w:type="dxa"/>
            </w:tcMar>
            <w:vAlign w:val="center"/>
          </w:tcPr>
          <w:p>
            <w:pPr>
              <w:autoSpaceDE w:val="0"/>
              <w:autoSpaceDN w:val="0"/>
              <w:adjustRightInd w:val="0"/>
              <w:snapToGrid w:val="0"/>
              <w:jc w:val="center"/>
              <w:rPr>
                <w:rFonts w:ascii="Times New Roman" w:cs="Times New Roman" w:hAnsi="Times New Roman"/>
                <w:color w:val="auto"/>
                <w:kern w:val="0"/>
                <w:sz w:val="24"/>
                <w:highlight w:val="none"/>
              </w:rPr>
            </w:pPr>
            <w:r>
              <w:rPr>
                <w:rFonts w:ascii="Times New Roman" w:cs="Times New Roman" w:hAnsi="Times New Roman"/>
                <w:color w:val="auto"/>
                <w:sz w:val="24"/>
                <w:highlight w:val="none"/>
              </w:rPr>
              <w:t>规划情况</w:t>
            </w:r>
          </w:p>
        </w:tc>
        <w:tc>
          <w:tcPr>
            <w:tcW w:w="4068" w:type="pct"/>
            <w:gridSpan w:val="4"/>
            <w:tcBorders>
              <w:left w:val="single" w:sz="4" w:space="0" w:color="auto"/>
            </w:tcBorders>
            <w:tcMar>
              <w:left w:w="108" w:type="dxa"/>
            </w:tcMar>
            <w:vAlign w:val="center"/>
          </w:tcPr>
          <w:p>
            <w:pPr>
              <w:pStyle w:val="56"/>
              <w:rPr>
                <w:rFonts w:ascii="Times New Roman" w:cs="Times New Roman" w:hAnsi="Times New Roman"/>
                <w:color w:val="auto"/>
                <w:highlight w:val="none"/>
              </w:rPr>
            </w:pPr>
            <w:r>
              <w:rPr>
                <w:rFonts w:ascii="Times New Roman" w:cs="Times New Roman" w:hAnsi="Times New Roman"/>
                <w:color w:val="auto"/>
                <w:highlight w:val="none"/>
              </w:rPr>
              <w:t>规划名称：河北石家庄装备制造产业园总体规划（2022-2030）；</w:t>
            </w:r>
          </w:p>
        </w:tc>
      </w:tr>
      <w:tr>
        <w:trPr>
          <w:trHeight w:val="387"/>
        </w:trPr>
        <w:tc>
          <w:tcPr>
            <w:tcW w:w="931" w:type="pct"/>
            <w:tcMar>
              <w:left w:w="108" w:type="dxa"/>
            </w:tcMar>
            <w:vAlign w:val="center"/>
          </w:tcPr>
          <w:p>
            <w:pPr>
              <w:adjustRightInd w:val="0"/>
              <w:snapToGrid w:val="0"/>
              <w:jc w:val="center"/>
              <w:rPr>
                <w:rFonts w:ascii="Times New Roman" w:cs="Times New Roman" w:hAnsi="Times New Roman"/>
                <w:color w:val="auto"/>
                <w:kern w:val="0"/>
                <w:sz w:val="24"/>
                <w:highlight w:val="none"/>
              </w:rPr>
            </w:pPr>
            <w:r>
              <w:rPr>
                <w:rFonts w:ascii="Times New Roman" w:cs="Times New Roman" w:hAnsi="Times New Roman"/>
                <w:color w:val="auto"/>
                <w:sz w:val="24"/>
                <w:highlight w:val="none"/>
              </w:rPr>
              <w:t>规划环境影响评价情况</w:t>
            </w:r>
          </w:p>
        </w:tc>
        <w:tc>
          <w:tcPr>
            <w:tcW w:w="4068" w:type="pct"/>
            <w:gridSpan w:val="4"/>
            <w:tcBorders>
              <w:left w:val="single" w:sz="4" w:space="0" w:color="auto"/>
            </w:tcBorders>
            <w:tcMar>
              <w:left w:w="108" w:type="dxa"/>
            </w:tcMar>
            <w:vAlign w:val="center"/>
          </w:tcPr>
          <w:p>
            <w:pPr>
              <w:pStyle w:val="56"/>
              <w:rPr>
                <w:rFonts w:ascii="Times New Roman" w:cs="Times New Roman" w:hAnsi="Times New Roman"/>
                <w:color w:val="auto"/>
                <w:highlight w:val="none"/>
              </w:rPr>
            </w:pPr>
            <w:r>
              <w:rPr>
                <w:rFonts w:ascii="Times New Roman" w:cs="Times New Roman" w:hAnsi="Times New Roman"/>
                <w:color w:val="auto"/>
                <w:highlight w:val="none"/>
              </w:rPr>
              <w:t>规划环境影响评价文件名称：《</w:t>
            </w:r>
            <w:r>
              <w:rPr>
                <w:rFonts w:ascii="Times New Roman" w:eastAsia="宋体" w:cs="Times New Roman" w:hAnsi="Times New Roman"/>
                <w:color w:val="auto"/>
                <w:highlight w:val="none"/>
              </w:rPr>
              <w:t>河北石家庄装备制造产业园总体规划</w:t>
            </w:r>
            <w:r>
              <w:rPr>
                <w:rFonts w:ascii="Times New Roman" w:eastAsia="宋体" w:cs="Times New Roman" w:hAnsi="Times New Roman" w:hint="eastAsia"/>
                <w:color w:val="auto"/>
                <w:lang w:eastAsia="zh-CN"/>
                <w:highlight w:val="none"/>
              </w:rPr>
              <w:t>（</w:t>
            </w:r>
            <w:r>
              <w:rPr>
                <w:rFonts w:ascii="Times New Roman" w:eastAsia="宋体" w:cs="Times New Roman" w:hAnsi="Times New Roman"/>
                <w:color w:val="auto"/>
                <w:highlight w:val="none"/>
              </w:rPr>
              <w:t>2022-2030年</w:t>
            </w:r>
            <w:r>
              <w:rPr>
                <w:rFonts w:ascii="Times New Roman" w:eastAsia="宋体" w:cs="Times New Roman" w:hAnsi="Times New Roman" w:hint="eastAsia"/>
                <w:color w:val="auto"/>
                <w:lang w:eastAsia="zh-CN"/>
                <w:highlight w:val="none"/>
              </w:rPr>
              <w:t>）</w:t>
            </w:r>
            <w:r>
              <w:rPr>
                <w:rFonts w:ascii="Times New Roman" w:eastAsia="宋体" w:cs="Times New Roman" w:hAnsi="Times New Roman"/>
                <w:color w:val="auto"/>
                <w:highlight w:val="none"/>
              </w:rPr>
              <w:t>环境影响报告书</w:t>
            </w:r>
            <w:r>
              <w:rPr>
                <w:rFonts w:ascii="Times New Roman" w:cs="Times New Roman" w:hAnsi="Times New Roman"/>
                <w:color w:val="auto"/>
                <w:highlight w:val="none"/>
              </w:rPr>
              <w:t>》；</w:t>
            </w:r>
          </w:p>
          <w:p>
            <w:pPr>
              <w:pStyle w:val="56"/>
              <w:rPr>
                <w:rFonts w:ascii="Times New Roman" w:cs="Times New Roman" w:hAnsi="Times New Roman"/>
                <w:color w:val="auto"/>
                <w:highlight w:val="none"/>
              </w:rPr>
            </w:pPr>
            <w:r>
              <w:rPr>
                <w:rFonts w:ascii="Times New Roman" w:cs="Times New Roman" w:hAnsi="Times New Roman"/>
                <w:color w:val="auto"/>
                <w:highlight w:val="none"/>
              </w:rPr>
              <w:t>审查机关：河北省</w:t>
            </w:r>
            <w:r>
              <w:rPr>
                <w:rFonts w:ascii="Times New Roman" w:cs="Times New Roman" w:hAnsi="Times New Roman" w:hint="eastAsia"/>
                <w:color w:val="auto"/>
                <w:lang w:val="en-US" w:eastAsia="zh-CN"/>
                <w:highlight w:val="none"/>
              </w:rPr>
              <w:t>生态环境</w:t>
            </w:r>
            <w:r>
              <w:rPr>
                <w:rFonts w:ascii="Times New Roman" w:cs="Times New Roman" w:hAnsi="Times New Roman"/>
                <w:color w:val="auto"/>
                <w:highlight w:val="none"/>
              </w:rPr>
              <w:t>厅；</w:t>
            </w:r>
          </w:p>
          <w:p>
            <w:pPr>
              <w:pStyle w:val="56"/>
              <w:rPr>
                <w:rFonts w:ascii="Times New Roman" w:cs="Times New Roman" w:hAnsi="Times New Roman"/>
                <w:color w:val="auto"/>
                <w:highlight w:val="none"/>
              </w:rPr>
            </w:pPr>
            <w:r>
              <w:rPr>
                <w:rFonts w:ascii="Times New Roman" w:cs="Times New Roman" w:hAnsi="Times New Roman"/>
                <w:color w:val="auto"/>
                <w:highlight w:val="none"/>
              </w:rPr>
              <w:t>审查文件名称及文号</w:t>
            </w:r>
            <w:r>
              <w:rPr>
                <w:rFonts w:ascii="Times New Roman" w:eastAsia="宋体" w:cs="Times New Roman" w:hAnsi="Times New Roman"/>
                <w:color w:val="auto"/>
                <w:highlight w:val="none"/>
              </w:rPr>
              <w:t>：</w:t>
            </w:r>
            <w:r>
              <w:rPr>
                <w:rFonts w:cs="Times New Roman" w:hint="eastAsia"/>
                <w:color w:val="auto"/>
                <w:lang w:eastAsia="zh-CN"/>
                <w:highlight w:val="none"/>
              </w:rPr>
              <w:t>《</w:t>
            </w:r>
            <w:r>
              <w:rPr>
                <w:rFonts w:ascii="Times New Roman" w:eastAsia="宋体" w:cs="Times New Roman" w:hAnsi="Times New Roman"/>
                <w:color w:val="auto"/>
                <w:highlight w:val="none"/>
              </w:rPr>
              <w:t>河北省生态环境厅关于〈河北石家庄装备制造产业园总体规划</w:t>
            </w:r>
            <w:r>
              <w:rPr>
                <w:rFonts w:ascii="Times New Roman" w:eastAsia="宋体" w:cs="Times New Roman" w:hAnsi="Times New Roman" w:hint="eastAsia"/>
                <w:color w:val="auto"/>
                <w:lang w:eastAsia="zh-CN"/>
                <w:highlight w:val="none"/>
              </w:rPr>
              <w:t>（</w:t>
            </w:r>
            <w:r>
              <w:rPr>
                <w:rFonts w:ascii="Times New Roman" w:eastAsia="宋体" w:cs="Times New Roman" w:hAnsi="Times New Roman"/>
                <w:color w:val="auto"/>
                <w:highlight w:val="none"/>
              </w:rPr>
              <w:t>2022-2030年</w:t>
            </w:r>
            <w:r>
              <w:rPr>
                <w:rFonts w:ascii="Times New Roman" w:eastAsia="宋体" w:cs="Times New Roman" w:hAnsi="Times New Roman" w:hint="eastAsia"/>
                <w:color w:val="auto"/>
                <w:lang w:eastAsia="zh-CN"/>
                <w:highlight w:val="none"/>
              </w:rPr>
              <w:t>）</w:t>
            </w:r>
            <w:r>
              <w:rPr>
                <w:rFonts w:ascii="Times New Roman" w:eastAsia="宋体" w:cs="Times New Roman" w:hAnsi="Times New Roman"/>
                <w:color w:val="auto"/>
                <w:highlight w:val="none"/>
              </w:rPr>
              <w:t>环境影响报告书〉的审查意见</w:t>
            </w:r>
            <w:r>
              <w:rPr>
                <w:rFonts w:cs="Times New Roman" w:hint="eastAsia"/>
                <w:color w:val="auto"/>
                <w:lang w:val="en-US" w:eastAsia="zh-CN"/>
                <w:highlight w:val="none"/>
              </w:rPr>
              <w:t>的函</w:t>
            </w:r>
            <w:r>
              <w:rPr>
                <w:rFonts w:cs="Times New Roman" w:hint="eastAsia"/>
                <w:color w:val="auto"/>
                <w:lang w:eastAsia="zh-CN"/>
                <w:highlight w:val="none"/>
              </w:rPr>
              <w:t>》</w:t>
            </w:r>
            <w:r>
              <w:rPr>
                <w:rFonts w:ascii="Times New Roman" w:eastAsia="宋体" w:cs="Times New Roman" w:hAnsi="Times New Roman"/>
                <w:color w:val="auto"/>
                <w:highlight w:val="none"/>
              </w:rPr>
              <w:t>（冀环环评函[2025]1839号）。</w:t>
            </w:r>
          </w:p>
        </w:tc>
      </w:tr>
      <w:tr>
        <w:trPr>
          <w:trHeight w:val="123"/>
        </w:trPr>
        <w:tc>
          <w:tcPr>
            <w:tcW w:w="931" w:type="pct"/>
            <w:tcMar>
              <w:left w:w="108" w:type="dxa"/>
            </w:tcMar>
            <w:vAlign w:val="center"/>
          </w:tcPr>
          <w:p>
            <w:pPr>
              <w:autoSpaceDE w:val="0"/>
              <w:autoSpaceDN w:val="0"/>
              <w:adjustRightInd w:val="0"/>
              <w:snapToGrid w:val="0"/>
              <w:jc w:val="center"/>
              <w:rPr>
                <w:rFonts w:ascii="Times New Roman" w:cs="Times New Roman" w:hAnsi="Times New Roman"/>
                <w:color w:val="auto"/>
                <w:kern w:val="0"/>
                <w:sz w:val="24"/>
                <w:highlight w:val="none"/>
              </w:rPr>
            </w:pPr>
            <w:r>
              <w:rPr>
                <w:rFonts w:ascii="Times New Roman" w:cs="Times New Roman" w:hAnsi="Times New Roman"/>
                <w:color w:val="auto"/>
                <w:kern w:val="0"/>
                <w:sz w:val="24"/>
                <w:highlight w:val="none"/>
              </w:rPr>
              <w:t>规划及规划环境影响评价符合性分析</w:t>
            </w:r>
          </w:p>
        </w:tc>
        <w:tc>
          <w:tcPr>
            <w:tcW w:w="4068" w:type="pct"/>
            <w:gridSpan w:val="4"/>
            <w:tcBorders>
              <w:left w:val="single" w:sz="4" w:space="0" w:color="auto"/>
            </w:tcBorders>
            <w:tcMar>
              <w:left w:w="108" w:type="dxa"/>
            </w:tcMar>
            <w:vAlign w:val="center"/>
          </w:tcPr>
          <w:p>
            <w:pPr>
              <w:pStyle w:val="56"/>
              <w:rPr>
                <w:rFonts w:ascii="Times New Roman" w:eastAsia="宋体" w:cs="Times New Roman" w:hAnsi="Times New Roman"/>
                <w:color w:val="auto"/>
                <w:lang w:val="en-US" w:eastAsia="zh-CN"/>
                <w:highlight w:val="none"/>
              </w:rPr>
            </w:pPr>
            <w:r>
              <w:rPr>
                <w:rFonts w:ascii="Times New Roman" w:cs="Times New Roman" w:hAnsi="Times New Roman"/>
                <w:b/>
                <w:bCs/>
                <w:color w:val="auto"/>
                <w:highlight w:val="none"/>
              </w:rPr>
              <w:t>1、规划</w:t>
            </w:r>
            <w:r>
              <w:rPr>
                <w:rFonts w:cs="Times New Roman" w:hint="eastAsia"/>
                <w:b/>
                <w:bCs/>
                <w:color w:val="auto"/>
                <w:lang w:val="en-US" w:eastAsia="zh-CN"/>
                <w:highlight w:val="none"/>
              </w:rPr>
              <w:t>符合性分析</w:t>
            </w:r>
          </w:p>
          <w:p>
            <w:pPr>
              <w:keepNext w:val="0"/>
              <w:keepLines w:val="0"/>
              <w:pageBreakBefore w:val="0"/>
              <w:widowControl/>
              <w:suppressLineNumbers w:val="0"/>
              <w:kinsoku/>
              <w:wordWrap/>
              <w:overflowPunct/>
              <w:topLinePunct w:val="0"/>
              <w:autoSpaceDE/>
              <w:autoSpaceDN/>
              <w:bidi w:val="0"/>
              <w:adjustRightInd/>
              <w:snapToGrid/>
              <w:spacing w:line="460" w:lineRule="exact"/>
              <w:ind w:firstLineChars="200" w:firstLine="480"/>
              <w:jc w:val="both"/>
              <w:textAlignment w:val="auto"/>
              <w:rPr>
                <w:rFonts w:ascii="Times New Roman" w:eastAsia="宋体" w:cs="Times New Roman" w:hAnsi="Times New Roman"/>
                <w:color w:val="auto"/>
                <w:kern w:val="0"/>
                <w:sz w:val="24"/>
                <w:szCs w:val="20"/>
                <w:lang w:val="en-US" w:eastAsia="zh-CN" w:bidi="ar-SA"/>
                <w:highlight w:val="none"/>
              </w:rPr>
            </w:pPr>
            <w:r>
              <w:rPr>
                <w:rFonts w:ascii="Times New Roman" w:eastAsia="宋体" w:cs="Times New Roman" w:hAnsi="Times New Roman"/>
                <w:color w:val="auto"/>
                <w:kern w:val="0"/>
                <w:sz w:val="24"/>
                <w:szCs w:val="20"/>
                <w:lang w:val="en-US" w:eastAsia="zh-CN" w:bidi="ar-SA"/>
                <w:highlight w:val="none"/>
              </w:rPr>
              <w:t>依据《河北石家庄装备制造产业园总体规划</w:t>
            </w:r>
            <w:r>
              <w:rPr>
                <w:rFonts w:ascii="Times New Roman" w:eastAsia="宋体" w:cs="Times New Roman" w:hAnsi="Times New Roman" w:hint="eastAsia"/>
                <w:color w:val="auto"/>
                <w:kern w:val="0"/>
                <w:sz w:val="24"/>
                <w:szCs w:val="20"/>
                <w:lang w:val="en-US" w:eastAsia="zh-CN" w:bidi="ar-SA"/>
                <w:highlight w:val="none"/>
              </w:rPr>
              <w:t>（</w:t>
            </w:r>
            <w:r>
              <w:rPr>
                <w:rFonts w:ascii="Times New Roman" w:eastAsia="宋体" w:cs="Times New Roman" w:hAnsi="Times New Roman"/>
                <w:color w:val="auto"/>
                <w:kern w:val="0"/>
                <w:sz w:val="24"/>
                <w:szCs w:val="20"/>
                <w:lang w:val="en-US" w:eastAsia="zh-CN" w:bidi="ar-SA"/>
                <w:highlight w:val="none"/>
              </w:rPr>
              <w:t>2022-2030年</w:t>
            </w:r>
            <w:r>
              <w:rPr>
                <w:rFonts w:ascii="Times New Roman" w:eastAsia="宋体" w:cs="Times New Roman" w:hAnsi="Times New Roman" w:hint="eastAsia"/>
                <w:color w:val="auto"/>
                <w:kern w:val="0"/>
                <w:sz w:val="24"/>
                <w:szCs w:val="20"/>
                <w:lang w:val="en-US" w:eastAsia="zh-CN" w:bidi="ar-SA"/>
                <w:highlight w:val="none"/>
              </w:rPr>
              <w:t>）</w:t>
            </w:r>
            <w:r>
              <w:rPr>
                <w:rFonts w:ascii="Times New Roman" w:eastAsia="宋体" w:cs="Times New Roman" w:hAnsi="Times New Roman"/>
                <w:color w:val="auto"/>
                <w:kern w:val="0"/>
                <w:sz w:val="24"/>
                <w:szCs w:val="20"/>
                <w:lang w:val="en-US" w:eastAsia="zh-CN" w:bidi="ar-SA"/>
                <w:highlight w:val="none"/>
              </w:rPr>
              <w:t>环境影响报告书》内容，规划期限为</w:t>
            </w:r>
            <w:r>
              <w:rPr>
                <w:rFonts w:ascii="Times New Roman" w:eastAsia="宋体" w:cs="Times New Roman" w:hAnsi="Times New Roman" w:hint="eastAsia"/>
                <w:color w:val="auto"/>
                <w:kern w:val="0"/>
                <w:sz w:val="24"/>
                <w:szCs w:val="20"/>
                <w:lang w:val="en-US" w:eastAsia="zh-CN" w:bidi="ar-SA"/>
                <w:highlight w:val="none"/>
              </w:rPr>
              <w:t>规划期限：</w:t>
            </w:r>
            <w:r>
              <w:rPr>
                <w:rFonts w:ascii="Times New Roman" w:eastAsia="宋体" w:cs="Times New Roman" w:hAnsi="Times New Roman"/>
                <w:color w:val="auto"/>
                <w:kern w:val="0"/>
                <w:sz w:val="24"/>
                <w:szCs w:val="20"/>
                <w:lang w:val="en-US" w:eastAsia="zh-CN" w:bidi="ar-SA"/>
                <w:highlight w:val="none"/>
              </w:rPr>
              <w:t>2022-2030</w:t>
            </w:r>
            <w:r>
              <w:rPr>
                <w:rFonts w:ascii="Times New Roman" w:eastAsia="宋体" w:cs="Times New Roman" w:hAnsi="Times New Roman" w:hint="eastAsia"/>
                <w:color w:val="auto"/>
                <w:kern w:val="0"/>
                <w:sz w:val="24"/>
                <w:szCs w:val="20"/>
                <w:lang w:val="en-US" w:eastAsia="zh-CN" w:bidi="ar-SA"/>
                <w:highlight w:val="none"/>
              </w:rPr>
              <w:t>年，其中，近期：</w:t>
            </w:r>
            <w:r>
              <w:rPr>
                <w:rFonts w:ascii="Times New Roman" w:eastAsia="宋体" w:cs="Times New Roman" w:hAnsi="Times New Roman"/>
                <w:color w:val="auto"/>
                <w:kern w:val="0"/>
                <w:sz w:val="24"/>
                <w:szCs w:val="20"/>
                <w:lang w:val="en-US" w:eastAsia="zh-CN" w:bidi="ar-SA"/>
                <w:highlight w:val="none"/>
              </w:rPr>
              <w:t>2022-2025</w:t>
            </w:r>
            <w:r>
              <w:rPr>
                <w:rFonts w:ascii="Times New Roman" w:eastAsia="宋体" w:cs="Times New Roman" w:hAnsi="Times New Roman" w:hint="eastAsia"/>
                <w:color w:val="auto"/>
                <w:kern w:val="0"/>
                <w:sz w:val="24"/>
                <w:szCs w:val="20"/>
                <w:lang w:val="en-US" w:eastAsia="zh-CN" w:bidi="ar-SA"/>
                <w:highlight w:val="none"/>
              </w:rPr>
              <w:t>年，远期：</w:t>
            </w:r>
            <w:r>
              <w:rPr>
                <w:rFonts w:ascii="Times New Roman" w:eastAsia="宋体" w:cs="Times New Roman" w:hAnsi="Times New Roman"/>
                <w:color w:val="auto"/>
                <w:kern w:val="0"/>
                <w:sz w:val="24"/>
                <w:szCs w:val="20"/>
                <w:lang w:val="en-US" w:eastAsia="zh-CN" w:bidi="ar-SA"/>
                <w:highlight w:val="none"/>
              </w:rPr>
              <w:t>2026-2030</w:t>
            </w:r>
            <w:r>
              <w:rPr>
                <w:rFonts w:ascii="Times New Roman" w:eastAsia="宋体" w:cs="Times New Roman" w:hAnsi="Times New Roman" w:hint="eastAsia"/>
                <w:color w:val="auto"/>
                <w:kern w:val="0"/>
                <w:sz w:val="24"/>
                <w:szCs w:val="20"/>
                <w:lang w:val="en-US" w:eastAsia="zh-CN" w:bidi="ar-SA"/>
                <w:highlight w:val="none"/>
              </w:rPr>
              <w:t>年。基准年为</w:t>
            </w:r>
            <w:r>
              <w:rPr>
                <w:rFonts w:ascii="Times New Roman" w:eastAsia="宋体" w:cs="Times New Roman" w:hAnsi="Times New Roman"/>
                <w:color w:val="auto"/>
                <w:kern w:val="0"/>
                <w:sz w:val="24"/>
                <w:szCs w:val="20"/>
                <w:lang w:val="en-US" w:eastAsia="zh-CN" w:bidi="ar-SA"/>
                <w:highlight w:val="none"/>
              </w:rPr>
              <w:t>2022</w:t>
            </w:r>
            <w:r>
              <w:rPr>
                <w:rFonts w:ascii="Times New Roman" w:eastAsia="宋体" w:cs="Times New Roman" w:hAnsi="Times New Roman" w:hint="eastAsia"/>
                <w:color w:val="auto"/>
                <w:kern w:val="0"/>
                <w:sz w:val="24"/>
                <w:szCs w:val="20"/>
                <w:lang w:val="en-US" w:eastAsia="zh-CN" w:bidi="ar-SA"/>
                <w:highlight w:val="none"/>
              </w:rPr>
              <w:t>年。</w:t>
            </w:r>
          </w:p>
          <w:p>
            <w:pPr>
              <w:pStyle w:val="56"/>
              <w:rPr>
                <w:rFonts w:ascii="Times New Roman" w:eastAsia="宋体" w:cs="Times New Roman" w:hAnsi="Times New Roman" w:hint="eastAsia"/>
                <w:b/>
                <w:bCs/>
                <w:color w:val="auto"/>
                <w:lang w:eastAsia="zh-CN"/>
                <w:highlight w:val="none"/>
              </w:rPr>
            </w:pPr>
            <w:r>
              <w:rPr>
                <w:rFonts w:cs="Times New Roman" w:hint="eastAsia"/>
                <w:b/>
                <w:bCs/>
                <w:color w:val="auto"/>
                <w:lang w:eastAsia="zh-CN"/>
                <w:highlight w:val="none"/>
              </w:rPr>
              <w:t>（</w:t>
            </w:r>
            <w:r>
              <w:rPr>
                <w:rFonts w:cs="Times New Roman" w:hint="eastAsia"/>
                <w:b/>
                <w:bCs/>
                <w:color w:val="auto"/>
                <w:lang w:val="en-US" w:eastAsia="zh-CN"/>
                <w:highlight w:val="none"/>
              </w:rPr>
              <w:t>1</w:t>
            </w:r>
            <w:r>
              <w:rPr>
                <w:rFonts w:cs="Times New Roman" w:hint="eastAsia"/>
                <w:b/>
                <w:bCs/>
                <w:color w:val="auto"/>
                <w:lang w:eastAsia="zh-CN"/>
                <w:highlight w:val="none"/>
              </w:rPr>
              <w:t>）</w:t>
            </w:r>
            <w:r>
              <w:rPr>
                <w:rFonts w:ascii="Times New Roman" w:cs="Times New Roman" w:hAnsi="Times New Roman"/>
                <w:b/>
                <w:bCs/>
                <w:color w:val="auto"/>
                <w:highlight w:val="none"/>
              </w:rPr>
              <w:t>规划定位、规划范围、规划用地布局、</w:t>
            </w:r>
            <w:r>
              <w:rPr>
                <w:rFonts w:cs="Times New Roman" w:hint="eastAsia"/>
                <w:b/>
                <w:bCs/>
                <w:color w:val="auto"/>
                <w:lang w:val="en-US" w:eastAsia="zh-CN"/>
                <w:highlight w:val="none"/>
              </w:rPr>
              <w:t>产业发展</w:t>
            </w:r>
          </w:p>
          <w:p>
            <w:pPr>
              <w:pStyle w:val="56"/>
              <w:rPr>
                <w:rFonts w:ascii="Times New Roman" w:cs="Times New Roman" w:hAnsi="Times New Roman"/>
                <w:color w:val="auto"/>
                <w:highlight w:val="none"/>
              </w:rPr>
            </w:pPr>
            <w:r>
              <w:rPr>
                <w:rFonts w:ascii="Times New Roman" w:cs="Times New Roman" w:hAnsi="Times New Roman"/>
                <w:color w:val="auto"/>
                <w:highlight w:val="none"/>
              </w:rPr>
              <w:t>规划定位、规划范围、规划用地布局、</w:t>
            </w:r>
            <w:r>
              <w:rPr>
                <w:rFonts w:cs="Times New Roman" w:hint="eastAsia"/>
                <w:color w:val="auto"/>
                <w:lang w:val="en-US" w:eastAsia="zh-CN"/>
                <w:highlight w:val="none"/>
              </w:rPr>
              <w:t>产业发展</w:t>
            </w:r>
            <w:r>
              <w:rPr>
                <w:rFonts w:ascii="Times New Roman" w:cs="Times New Roman" w:hAnsi="Times New Roman"/>
                <w:color w:val="auto"/>
                <w:highlight w:val="none"/>
              </w:rPr>
              <w:t>概述如下：</w:t>
            </w:r>
          </w:p>
          <w:p>
            <w:pPr>
              <w:pStyle w:val="56"/>
              <w:keepNext w:val="0"/>
              <w:keepLines w:val="0"/>
              <w:pageBreakBefore w:val="0"/>
              <w:widowControl w:val="0"/>
              <w:kinsoku/>
              <w:wordWrap/>
              <w:overflowPunct/>
              <w:topLinePunct w:val="0"/>
              <w:autoSpaceDE/>
              <w:autoSpaceDN/>
              <w:bidi w:val="0"/>
              <w:adjustRightInd w:val="0"/>
              <w:snapToGrid/>
              <w:spacing w:line="240" w:lineRule="auto"/>
              <w:ind w:left="0" w:firstLineChars="0" w:firstLine="0"/>
              <w:jc w:val="center"/>
              <w:textAlignment w:val="baseline"/>
              <w:rPr>
                <w:rFonts w:cs="Times New Roman" w:hint="eastAsia"/>
                <w:b/>
                <w:bCs/>
                <w:color w:val="auto"/>
                <w:lang w:val="en-US" w:eastAsia="zh-CN"/>
                <w:highlight w:val="none"/>
              </w:rPr>
            </w:pPr>
            <w:r>
              <w:rPr>
                <w:rFonts w:cs="Times New Roman" w:hint="eastAsia"/>
                <w:b/>
                <w:bCs/>
                <w:color w:val="auto"/>
                <w:lang w:val="en-US" w:eastAsia="zh-CN"/>
                <w:highlight w:val="none"/>
              </w:rPr>
              <w:t>表1-2  规划符合性分析一览表</w:t>
            </w:r>
          </w:p>
          <w:tbl>
            <w:tblPr>
              <w:jc w:val="center"/>
              <w:tblW w:w="7596" w:type="dxa"/>
              <w:tblBorders>
                <w:top w:val="single" w:sz="12" w:space="0" w:color="auto"/>
                <w:left w:val="none" w:sz="0" w:space="0" w:color="auto"/>
                <w:bottom w:val="single" w:sz="12" w:space="0" w:color="auto"/>
                <w:right w:val="none" w:sz="0" w:space="0" w:color="auto"/>
                <w:insideH w:val="single" w:sz="4" w:space="0" w:color="auto"/>
                <w:insideV w:val="single" w:sz="4" w:space="0" w:color="auto"/>
              </w:tblBorders>
              <w:tblCellMar>
                <w:top w:w="0" w:type="dxa"/>
                <w:left w:w="108" w:type="dxa"/>
                <w:bottom w:w="0" w:type="dxa"/>
                <w:right w:w="108" w:type="dxa"/>
              </w:tblCellMar>
              <w:tblLook w:val="0600" w:firstRow="0" w:lastRow="0" w:firstColumn="0" w:lastColumn="0" w:noHBand="1" w:noVBand="1"/>
            </w:tblPr>
            <w:tblGrid>
              <w:gridCol w:w="1072"/>
              <w:gridCol w:w="3487"/>
              <w:gridCol w:w="3037"/>
            </w:tblGrid>
            <w:tr>
              <w:trPr>
                <w:trHeight w:val="397"/>
              </w:trPr>
              <w:tc>
                <w:tcPr>
                  <w:tcW w:w="4559" w:type="dxa"/>
                  <w:gridSpan w:val="2"/>
                  <w:tcBorders>
                    <w:tl2br w:val="nil"/>
                    <w:tr2bl w:val="nil"/>
                  </w:tcBorders>
                  <w:vAlign w:val="center"/>
                </w:tcPr>
                <w:p>
                  <w:pPr>
                    <w:pStyle w:val="56"/>
                    <w:keepNext w:val="0"/>
                    <w:keepLines w:val="0"/>
                    <w:pageBreakBefore w:val="0"/>
                    <w:widowControl w:val="0"/>
                    <w:kinsoku/>
                    <w:wordWrap/>
                    <w:overflowPunct/>
                    <w:topLinePunct w:val="0"/>
                    <w:autoSpaceDE/>
                    <w:autoSpaceDN/>
                    <w:bidi w:val="0"/>
                    <w:adjustRightInd w:val="0"/>
                    <w:snapToGrid/>
                    <w:spacing w:line="240" w:lineRule="auto"/>
                    <w:ind w:firstLineChars="0" w:firstLine="0"/>
                    <w:jc w:val="center"/>
                    <w:textAlignment w:val="baseline"/>
                    <w:rPr>
                      <w:rFonts w:ascii="Times New Roman" w:cs="Times New Roman" w:hAnsi="Times New Roman"/>
                      <w:b/>
                      <w:bCs/>
                      <w:color w:val="auto"/>
                      <w:sz w:val="21"/>
                      <w:szCs w:val="21"/>
                      <w:lang w:val="en-US" w:eastAsia="zh-CN"/>
                      <w:highlight w:val="none"/>
                    </w:rPr>
                  </w:pPr>
                  <w:r>
                    <w:rPr>
                      <w:rFonts w:ascii="Times New Roman" w:cs="Times New Roman" w:hAnsi="Times New Roman" w:hint="eastAsia"/>
                      <w:b/>
                      <w:bCs/>
                      <w:color w:val="auto"/>
                      <w:sz w:val="21"/>
                      <w:szCs w:val="21"/>
                      <w:lang w:val="en-US" w:eastAsia="zh-CN"/>
                      <w:highlight w:val="none"/>
                    </w:rPr>
                    <w:t>规划内容</w:t>
                  </w:r>
                </w:p>
              </w:tc>
              <w:tc>
                <w:tcPr>
                  <w:tcW w:w="3037" w:type="dxa"/>
                  <w:tcBorders>
                    <w:tl2br w:val="nil"/>
                    <w:tr2bl w:val="nil"/>
                  </w:tcBorders>
                  <w:vAlign w:val="center"/>
                </w:tcPr>
                <w:p>
                  <w:pPr>
                    <w:pStyle w:val="56"/>
                    <w:keepNext w:val="0"/>
                    <w:keepLines w:val="0"/>
                    <w:pageBreakBefore w:val="0"/>
                    <w:widowControl w:val="0"/>
                    <w:kinsoku/>
                    <w:wordWrap/>
                    <w:overflowPunct/>
                    <w:topLinePunct w:val="0"/>
                    <w:autoSpaceDE/>
                    <w:autoSpaceDN/>
                    <w:bidi w:val="0"/>
                    <w:adjustRightInd w:val="0"/>
                    <w:snapToGrid/>
                    <w:spacing w:line="240" w:lineRule="auto"/>
                    <w:ind w:firstLineChars="0" w:firstLine="0"/>
                    <w:jc w:val="center"/>
                    <w:textAlignment w:val="baseline"/>
                    <w:rPr>
                      <w:rFonts w:ascii="Times New Roman" w:cs="Times New Roman" w:hAnsi="Times New Roman"/>
                      <w:b/>
                      <w:bCs/>
                      <w:color w:val="auto"/>
                      <w:sz w:val="21"/>
                      <w:szCs w:val="21"/>
                      <w:lang w:val="en-US" w:eastAsia="zh-CN"/>
                      <w:highlight w:val="none"/>
                    </w:rPr>
                  </w:pPr>
                  <w:r>
                    <w:rPr>
                      <w:rFonts w:ascii="Times New Roman" w:cs="Times New Roman" w:hAnsi="Times New Roman" w:hint="eastAsia"/>
                      <w:b/>
                      <w:bCs/>
                      <w:color w:val="auto"/>
                      <w:sz w:val="21"/>
                      <w:szCs w:val="21"/>
                      <w:lang w:val="en-US" w:eastAsia="zh-CN"/>
                      <w:highlight w:val="none"/>
                    </w:rPr>
                    <w:t>项目情况</w:t>
                  </w:r>
                </w:p>
              </w:tc>
            </w:tr>
            <w:tr>
              <w:trPr>
                <w:trHeight w:val="397"/>
              </w:trPr>
              <w:tc>
                <w:tcPr>
                  <w:tcW w:w="4559" w:type="dxa"/>
                  <w:gridSpan w:val="2"/>
                  <w:tcBorders>
                    <w:tl2br w:val="nil"/>
                    <w:tr2bl w:val="nil"/>
                  </w:tcBorders>
                  <w:vAlign w:val="center"/>
                </w:tcPr>
                <w:p>
                  <w:pPr>
                    <w:pStyle w:val="56"/>
                    <w:keepNext w:val="0"/>
                    <w:keepLines w:val="0"/>
                    <w:pageBreakBefore w:val="0"/>
                    <w:widowControl w:val="0"/>
                    <w:kinsoku/>
                    <w:wordWrap/>
                    <w:overflowPunct/>
                    <w:topLinePunct w:val="0"/>
                    <w:autoSpaceDE/>
                    <w:autoSpaceDN/>
                    <w:bidi w:val="0"/>
                    <w:adjustRightInd w:val="0"/>
                    <w:snapToGrid/>
                    <w:spacing w:line="240" w:lineRule="auto"/>
                    <w:ind w:left="0" w:firstLineChars="0" w:firstLine="0"/>
                    <w:jc w:val="both"/>
                    <w:textAlignment w:val="baseline"/>
                    <w:rPr>
                      <w:rFonts w:ascii="Times New Roman" w:cs="Times New Roman" w:hAnsi="Times New Roman"/>
                      <w:color w:val="auto"/>
                      <w:sz w:val="21"/>
                      <w:szCs w:val="21"/>
                      <w:lang w:val="en-US" w:eastAsia="zh-CN"/>
                      <w:highlight w:val="none"/>
                    </w:rPr>
                  </w:pPr>
                  <w:r>
                    <w:rPr>
                      <w:rFonts w:ascii="Times New Roman" w:cs="Times New Roman" w:hAnsi="Times New Roman"/>
                      <w:b/>
                      <w:bCs/>
                      <w:color w:val="auto"/>
                      <w:sz w:val="21"/>
                      <w:szCs w:val="21"/>
                      <w:highlight w:val="none"/>
                    </w:rPr>
                    <w:t>规划范围</w:t>
                  </w:r>
                  <w:r>
                    <w:rPr>
                      <w:rFonts w:ascii="Times New Roman" w:cs="Times New Roman" w:hAnsi="Times New Roman" w:hint="eastAsia"/>
                      <w:b/>
                      <w:bCs/>
                      <w:color w:val="auto"/>
                      <w:sz w:val="21"/>
                      <w:szCs w:val="21"/>
                      <w:lang w:eastAsia="zh-CN"/>
                      <w:highlight w:val="none"/>
                    </w:rPr>
                    <w:t>：</w:t>
                  </w:r>
                  <w:r>
                    <w:rPr>
                      <w:rFonts w:ascii="Times New Roman" w:cs="Times New Roman" w:hAnsi="Times New Roman"/>
                      <w:color w:val="auto"/>
                      <w:sz w:val="21"/>
                      <w:szCs w:val="21"/>
                      <w:highlight w:val="none"/>
                    </w:rPr>
                    <w:t>河北石家庄装备制造产业园规划总用地面积43.72平方公里，其中栾城境内40.33平方公里、元氏境内3.39平方公里，规划范围北至南三环、西至107国道、南至规划337省道、东至石栾大街。规划范围内包含城镇开发边界36.10平方公里。</w:t>
                  </w:r>
                </w:p>
              </w:tc>
              <w:tc>
                <w:tcPr>
                  <w:tcW w:w="3037" w:type="dxa"/>
                  <w:tcBorders>
                    <w:tl2br w:val="nil"/>
                    <w:tr2bl w:val="nil"/>
                  </w:tcBorders>
                  <w:vAlign w:val="center"/>
                </w:tcPr>
                <w:p>
                  <w:pPr>
                    <w:pStyle w:val="56"/>
                    <w:keepNext w:val="0"/>
                    <w:keepLines w:val="0"/>
                    <w:pageBreakBefore w:val="0"/>
                    <w:widowControl w:val="0"/>
                    <w:kinsoku/>
                    <w:wordWrap/>
                    <w:overflowPunct/>
                    <w:topLinePunct w:val="0"/>
                    <w:autoSpaceDE/>
                    <w:autoSpaceDN/>
                    <w:bidi w:val="0"/>
                    <w:adjustRightInd w:val="0"/>
                    <w:snapToGrid/>
                    <w:spacing w:line="240" w:lineRule="auto"/>
                    <w:ind w:left="0" w:firstLineChars="0" w:firstLine="0"/>
                    <w:jc w:val="both"/>
                    <w:textAlignment w:val="baseline"/>
                    <w:rPr>
                      <w:rFonts w:cs="Times New Roman"/>
                      <w:b/>
                      <w:bCs/>
                      <w:color w:val="auto"/>
                      <w:sz w:val="21"/>
                      <w:szCs w:val="21"/>
                      <w:vertAlign w:val="baseline"/>
                      <w:lang w:val="en-US" w:eastAsia="zh-CN"/>
                      <w:highlight w:val="none"/>
                    </w:rPr>
                  </w:pPr>
                  <w:r>
                    <w:rPr>
                      <w:rFonts w:ascii="Times New Roman" w:cs="Times New Roman" w:hAnsi="Times New Roman"/>
                      <w:b w:val="0"/>
                      <w:bCs w:val="0"/>
                      <w:color w:val="auto"/>
                      <w:sz w:val="21"/>
                      <w:szCs w:val="21"/>
                      <w:highlight w:val="none"/>
                    </w:rPr>
                    <w:t>项目位于</w:t>
                  </w:r>
                  <w:r>
                    <w:rPr>
                      <w:rFonts w:cs="Times New Roman" w:hint="eastAsia"/>
                      <w:color w:val="auto"/>
                      <w:sz w:val="21"/>
                      <w:szCs w:val="21"/>
                      <w:lang w:val="en-US" w:eastAsia="zh-CN"/>
                      <w:highlight w:val="none"/>
                    </w:rPr>
                    <w:t>石家庄市栾城区装备制造基地楼底镇段家营村裕翔街168号103厂房（南）</w:t>
                  </w:r>
                  <w:r>
                    <w:rPr>
                      <w:rFonts w:ascii="Times New Roman" w:cs="Times New Roman" w:hAnsi="Times New Roman"/>
                      <w:b w:val="0"/>
                      <w:bCs w:val="0"/>
                      <w:color w:val="auto"/>
                      <w:sz w:val="21"/>
                      <w:szCs w:val="21"/>
                      <w:highlight w:val="none"/>
                    </w:rPr>
                    <w:t>，位于规划范围内</w:t>
                  </w:r>
                  <w:r>
                    <w:rPr>
                      <w:rFonts w:cs="Times New Roman" w:hint="eastAsia"/>
                      <w:color w:val="auto"/>
                      <w:sz w:val="21"/>
                      <w:szCs w:val="21"/>
                      <w:lang w:val="en-US" w:eastAsia="zh-CN"/>
                      <w:highlight w:val="none"/>
                    </w:rPr>
                    <w:t>。</w:t>
                  </w:r>
                </w:p>
              </w:tc>
            </w:tr>
            <w:tr>
              <w:trPr>
                <w:trHeight w:val="397"/>
              </w:trPr>
              <w:tc>
                <w:tcPr>
                  <w:tcW w:w="4559" w:type="dxa"/>
                  <w:gridSpan w:val="2"/>
                  <w:tcBorders>
                    <w:tl2br w:val="nil"/>
                    <w:tr2bl w:val="nil"/>
                  </w:tcBorders>
                  <w:vAlign w:val="center"/>
                </w:tcPr>
                <w:p>
                  <w:pPr>
                    <w:pStyle w:val="56"/>
                    <w:keepNext w:val="0"/>
                    <w:keepLines w:val="0"/>
                    <w:pageBreakBefore w:val="0"/>
                    <w:widowControl w:val="0"/>
                    <w:kinsoku/>
                    <w:wordWrap/>
                    <w:overflowPunct/>
                    <w:topLinePunct w:val="0"/>
                    <w:autoSpaceDE/>
                    <w:autoSpaceDN/>
                    <w:bidi w:val="0"/>
                    <w:adjustRightInd w:val="0"/>
                    <w:snapToGrid/>
                    <w:spacing w:line="240" w:lineRule="auto"/>
                    <w:ind w:left="0" w:firstLineChars="0" w:firstLine="0"/>
                    <w:jc w:val="both"/>
                    <w:textAlignment w:val="baseline"/>
                    <w:rPr>
                      <w:rFonts w:ascii="Times New Roman" w:eastAsia="宋体" w:cs="Times New Roman" w:hAnsi="Times New Roman" w:hint="eastAsia"/>
                      <w:color w:val="auto"/>
                      <w:sz w:val="21"/>
                      <w:szCs w:val="21"/>
                      <w:lang w:val="en-US" w:eastAsia="zh-CN"/>
                      <w:highlight w:val="none"/>
                    </w:rPr>
                  </w:pPr>
                  <w:r>
                    <w:rPr>
                      <w:rFonts w:ascii="Times New Roman" w:cs="Times New Roman" w:hAnsi="Times New Roman"/>
                      <w:b/>
                      <w:bCs/>
                      <w:color w:val="auto"/>
                      <w:sz w:val="21"/>
                      <w:szCs w:val="21"/>
                      <w:highlight w:val="none"/>
                    </w:rPr>
                    <w:t>规划定位</w:t>
                  </w:r>
                  <w:r>
                    <w:rPr>
                      <w:rFonts w:ascii="Times New Roman" w:cs="Times New Roman" w:hAnsi="Times New Roman" w:hint="eastAsia"/>
                      <w:b/>
                      <w:bCs/>
                      <w:color w:val="auto"/>
                      <w:sz w:val="21"/>
                      <w:szCs w:val="21"/>
                      <w:lang w:eastAsia="zh-CN"/>
                      <w:highlight w:val="none"/>
                    </w:rPr>
                    <w:t>：</w:t>
                  </w:r>
                  <w:r>
                    <w:rPr>
                      <w:rFonts w:ascii="Times New Roman" w:cs="Times New Roman" w:hAnsi="Times New Roman"/>
                      <w:color w:val="auto"/>
                      <w:sz w:val="21"/>
                      <w:szCs w:val="21"/>
                      <w:highlight w:val="none"/>
                    </w:rPr>
                    <w:t>国家外贸转型升级基地，北方地区工业无人机研发、生产基地，河北省装备制造产业聚集区，石家庄市六大产业基地之一，以装备制造产业为主导的集生物医药大健康产业、物流产业、配套服务产业及现代城市居住功能于一体的综合性产业基地</w:t>
                  </w:r>
                  <w:r>
                    <w:rPr>
                      <w:rFonts w:cs="Times New Roman" w:hint="eastAsia"/>
                      <w:color w:val="auto"/>
                      <w:sz w:val="21"/>
                      <w:szCs w:val="21"/>
                      <w:lang w:eastAsia="zh-CN"/>
                      <w:highlight w:val="none"/>
                    </w:rPr>
                    <w:t>。</w:t>
                  </w:r>
                </w:p>
              </w:tc>
              <w:tc>
                <w:tcPr>
                  <w:tcW w:w="3037" w:type="dxa"/>
                  <w:tcBorders>
                    <w:tl2br w:val="nil"/>
                    <w:tr2bl w:val="nil"/>
                  </w:tcBorders>
                  <w:vAlign w:val="center"/>
                </w:tcPr>
                <w:p>
                  <w:pPr>
                    <w:pStyle w:val="56"/>
                    <w:keepNext w:val="0"/>
                    <w:keepLines w:val="0"/>
                    <w:pageBreakBefore w:val="0"/>
                    <w:widowControl w:val="0"/>
                    <w:kinsoku/>
                    <w:wordWrap/>
                    <w:overflowPunct/>
                    <w:topLinePunct w:val="0"/>
                    <w:autoSpaceDE/>
                    <w:autoSpaceDN/>
                    <w:bidi w:val="0"/>
                    <w:adjustRightInd w:val="0"/>
                    <w:snapToGrid/>
                    <w:spacing w:line="240" w:lineRule="auto"/>
                    <w:ind w:left="0" w:firstLineChars="0" w:firstLine="0"/>
                    <w:textAlignment w:val="baseline"/>
                    <w:rPr>
                      <w:rFonts w:cs="Times New Roman"/>
                      <w:b/>
                      <w:bCs/>
                      <w:color w:val="auto"/>
                      <w:sz w:val="21"/>
                      <w:szCs w:val="21"/>
                      <w:vertAlign w:val="baseline"/>
                      <w:lang w:val="en-US" w:eastAsia="zh-CN"/>
                      <w:highlight w:val="none"/>
                    </w:rPr>
                  </w:pPr>
                  <w:r>
                    <w:rPr>
                      <w:rFonts w:cs="Times New Roman" w:hint="eastAsia"/>
                      <w:color w:val="auto"/>
                      <w:sz w:val="21"/>
                      <w:szCs w:val="21"/>
                      <w:lang w:val="en-US" w:eastAsia="zh-CN"/>
                      <w:highlight w:val="none"/>
                    </w:rPr>
                    <w:t>项目位于</w:t>
                  </w:r>
                  <w:r>
                    <w:rPr>
                      <w:rFonts w:ascii="Times New Roman" w:cs="Times New Roman" w:hAnsi="Times New Roman" w:hint="eastAsia"/>
                      <w:color w:val="auto"/>
                      <w:sz w:val="21"/>
                      <w:szCs w:val="21"/>
                      <w:lang w:val="en-US" w:eastAsia="zh-CN"/>
                      <w:highlight w:val="none"/>
                    </w:rPr>
                    <w:t>装备制造产业园区</w:t>
                  </w:r>
                  <w:r>
                    <w:rPr>
                      <w:rFonts w:cs="Times New Roman" w:hint="eastAsia"/>
                      <w:color w:val="auto"/>
                      <w:sz w:val="21"/>
                      <w:szCs w:val="21"/>
                      <w:lang w:val="en-US" w:eastAsia="zh-CN"/>
                      <w:highlight w:val="none"/>
                    </w:rPr>
                    <w:t>，涉</w:t>
                  </w:r>
                  <w:r>
                    <w:rPr>
                      <w:rFonts w:ascii="Times New Roman" w:cs="Times New Roman" w:hAnsi="Times New Roman" w:hint="eastAsia"/>
                      <w:color w:val="auto"/>
                      <w:sz w:val="21"/>
                      <w:szCs w:val="21"/>
                      <w:lang w:val="en-US" w:eastAsia="zh-CN"/>
                      <w:highlight w:val="none"/>
                    </w:rPr>
                    <w:t>及行业为生态保护和环境治理业</w:t>
                  </w:r>
                  <w:r>
                    <w:rPr>
                      <w:rFonts w:ascii="Times New Roman" w:eastAsia="宋体" w:cs="Times New Roman" w:hAnsi="Times New Roman" w:hint="eastAsia"/>
                      <w:color w:val="auto"/>
                      <w:spacing w:val="-6"/>
                      <w:sz w:val="21"/>
                      <w:szCs w:val="21"/>
                      <w:lang w:eastAsia="zh-CN"/>
                      <w:highlight w:val="none"/>
                    </w:rPr>
                    <w:t>，</w:t>
                  </w:r>
                  <w:r>
                    <w:rPr>
                      <w:rFonts w:cs="Times New Roman" w:hint="eastAsia"/>
                      <w:color w:val="auto"/>
                      <w:spacing w:val="-6"/>
                      <w:sz w:val="21"/>
                      <w:szCs w:val="21"/>
                      <w:lang w:eastAsia="zh-CN"/>
                      <w:highlight w:val="none"/>
                    </w:rPr>
                    <w:t>可为园区提供废铅蓄电池贮存、中转场所，属于园区</w:t>
                  </w:r>
                  <w:r>
                    <w:rPr>
                      <w:rFonts w:ascii="Times New Roman" w:cs="Times New Roman" w:hAnsi="Times New Roman"/>
                      <w:color w:val="auto"/>
                      <w:sz w:val="21"/>
                      <w:szCs w:val="21"/>
                      <w:highlight w:val="none"/>
                    </w:rPr>
                    <w:t>配套服务产业</w:t>
                  </w:r>
                  <w:r>
                    <w:rPr>
                      <w:rFonts w:cs="Times New Roman" w:hint="eastAsia"/>
                      <w:color w:val="auto"/>
                      <w:sz w:val="21"/>
                      <w:szCs w:val="21"/>
                      <w:lang w:eastAsia="zh-CN"/>
                      <w:highlight w:val="none"/>
                    </w:rPr>
                    <w:t>，同时满足园区准入要求。本项目备案信息已通过河北石家庄装备制造产业园管理委员会的审批（备案编号：装管委投资备字〔2026〕36 号）</w:t>
                  </w:r>
                  <w:r>
                    <w:rPr>
                      <w:rFonts w:cs="Times New Roman" w:hint="eastAsia"/>
                      <w:color w:val="auto"/>
                      <w:sz w:val="21"/>
                      <w:szCs w:val="21"/>
                      <w:lang w:val="en-US" w:eastAsia="zh-CN"/>
                      <w:highlight w:val="none"/>
                    </w:rPr>
                    <w:t>。</w:t>
                  </w:r>
                </w:p>
              </w:tc>
            </w:tr>
            <w:tr>
              <w:trPr>
                <w:trHeight w:val="397"/>
              </w:trPr>
              <w:tc>
                <w:tcPr>
                  <w:tcW w:w="4559" w:type="dxa"/>
                  <w:gridSpan w:val="2"/>
                  <w:tcBorders>
                    <w:tl2br w:val="nil"/>
                    <w:tr2bl w:val="nil"/>
                  </w:tcBorders>
                  <w:vAlign w:val="center"/>
                </w:tcPr>
                <w:p>
                  <w:pPr>
                    <w:pStyle w:val="56"/>
                    <w:keepNext w:val="0"/>
                    <w:keepLines w:val="0"/>
                    <w:pageBreakBefore w:val="0"/>
                    <w:widowControl w:val="0"/>
                    <w:kinsoku/>
                    <w:wordWrap/>
                    <w:overflowPunct/>
                    <w:topLinePunct w:val="0"/>
                    <w:autoSpaceDE/>
                    <w:autoSpaceDN/>
                    <w:bidi w:val="0"/>
                    <w:adjustRightInd w:val="0"/>
                    <w:snapToGrid/>
                    <w:spacing w:line="240" w:lineRule="auto"/>
                    <w:ind w:left="0" w:firstLineChars="0" w:firstLine="0"/>
                    <w:jc w:val="both"/>
                    <w:textAlignment w:val="baseline"/>
                    <w:rPr>
                      <w:rFonts w:ascii="Times New Roman" w:cs="Times New Roman" w:hAnsi="Times New Roman"/>
                      <w:color w:val="auto"/>
                      <w:sz w:val="21"/>
                      <w:szCs w:val="21"/>
                      <w:lang w:val="en-US" w:eastAsia="zh-CN"/>
                      <w:highlight w:val="none"/>
                    </w:rPr>
                  </w:pPr>
                  <w:r>
                    <w:rPr>
                      <w:rFonts w:ascii="Times New Roman" w:cs="Times New Roman" w:hAnsi="Times New Roman"/>
                      <w:b/>
                      <w:bCs/>
                      <w:color w:val="auto"/>
                      <w:sz w:val="21"/>
                      <w:szCs w:val="21"/>
                      <w:highlight w:val="none"/>
                    </w:rPr>
                    <w:t>规划用地布局</w:t>
                  </w:r>
                  <w:r>
                    <w:rPr>
                      <w:rFonts w:ascii="Times New Roman" w:cs="Times New Roman" w:hAnsi="Times New Roman" w:hint="eastAsia"/>
                      <w:b/>
                      <w:bCs/>
                      <w:color w:val="auto"/>
                      <w:sz w:val="21"/>
                      <w:szCs w:val="21"/>
                      <w:lang w:eastAsia="zh-CN"/>
                      <w:highlight w:val="none"/>
                    </w:rPr>
                    <w:t>：</w:t>
                  </w:r>
                  <w:r>
                    <w:rPr>
                      <w:rFonts w:ascii="Times New Roman" w:cs="Times New Roman" w:hAnsi="Times New Roman"/>
                      <w:color w:val="auto"/>
                      <w:sz w:val="21"/>
                      <w:szCs w:val="21"/>
                      <w:highlight w:val="none"/>
                    </w:rPr>
                    <w:t>规划总用地面积4372.05公顷，其中城镇建设用地3502.78公顷，占总规划用地的80.12%；区域基础设施用地106.76公顷，占总规划用地的2.4%；其他建设用地9.36公顷，占总规划用地的0.21%；非建设用地753.15，占总规划用地的17.23%。</w:t>
                  </w:r>
                </w:p>
              </w:tc>
              <w:tc>
                <w:tcPr>
                  <w:tcW w:w="3037" w:type="dxa"/>
                  <w:tcBorders>
                    <w:tl2br w:val="nil"/>
                    <w:tr2bl w:val="nil"/>
                  </w:tcBorders>
                  <w:vAlign w:val="center"/>
                </w:tcPr>
                <w:p>
                  <w:pPr>
                    <w:pStyle w:val="56"/>
                    <w:keepNext w:val="0"/>
                    <w:keepLines w:val="0"/>
                    <w:pageBreakBefore w:val="0"/>
                    <w:widowControl w:val="0"/>
                    <w:kinsoku/>
                    <w:wordWrap/>
                    <w:overflowPunct/>
                    <w:topLinePunct w:val="0"/>
                    <w:autoSpaceDE/>
                    <w:autoSpaceDN/>
                    <w:bidi w:val="0"/>
                    <w:adjustRightInd w:val="0"/>
                    <w:snapToGrid/>
                    <w:spacing w:line="240" w:lineRule="auto"/>
                    <w:ind w:left="0" w:firstLineChars="0" w:firstLine="0"/>
                    <w:textAlignment w:val="baseline"/>
                    <w:rPr>
                      <w:rFonts w:cs="Times New Roman"/>
                      <w:b/>
                      <w:bCs/>
                      <w:color w:val="auto"/>
                      <w:sz w:val="21"/>
                      <w:szCs w:val="21"/>
                      <w:vertAlign w:val="baseline"/>
                      <w:lang w:val="en-US" w:eastAsia="zh-CN"/>
                      <w:highlight w:val="none"/>
                    </w:rPr>
                  </w:pPr>
                  <w:r>
                    <w:rPr>
                      <w:rFonts w:ascii="Times New Roman" w:eastAsia="宋体" w:cs="Times New Roman" w:hAnsi="Times New Roman" w:hint="eastAsia"/>
                      <w:color w:val="auto"/>
                      <w:sz w:val="21"/>
                      <w:szCs w:val="21"/>
                      <w:lang w:val="en-US" w:eastAsia="zh-CN"/>
                      <w:highlight w:val="none"/>
                    </w:rPr>
                    <w:t>项目租赁河北泽豪环保新材料科技有限公司闲置库房和两间办公室，</w:t>
                  </w:r>
                  <w:r>
                    <w:rPr>
                      <w:rFonts w:cs="Times New Roman" w:hint="eastAsia"/>
                      <w:color w:val="auto"/>
                      <w:sz w:val="21"/>
                      <w:szCs w:val="21"/>
                      <w:lang w:val="en-US" w:eastAsia="zh-CN"/>
                      <w:highlight w:val="none"/>
                    </w:rPr>
                    <w:t>根据中华人民共和国不动产权证书（冀（2016）栾城区不动产权第0000959号），占地为</w:t>
                  </w:r>
                  <w:r>
                    <w:rPr>
                      <w:rFonts w:ascii="Times New Roman" w:cs="Times New Roman" w:hAnsi="Times New Roman"/>
                      <w:color w:val="auto"/>
                      <w:sz w:val="21"/>
                      <w:szCs w:val="21"/>
                      <w:highlight w:val="none"/>
                    </w:rPr>
                    <w:t>工业用地，符合用地规划。</w:t>
                  </w:r>
                </w:p>
              </w:tc>
            </w:tr>
            <w:tr>
              <w:trPr>
                <w:trHeight w:val="1906"/>
              </w:trPr>
              <w:tc>
                <w:tcPr>
                  <w:tcW w:w="1072" w:type="dxa"/>
                  <w:vMerge w:val="restart"/>
                  <w:tcBorders>
                    <w:tl2br w:val="nil"/>
                    <w:tr2bl w:val="nil"/>
                  </w:tcBorders>
                  <w:vAlign w:val="center"/>
                </w:tcPr>
                <w:p>
                  <w:pPr>
                    <w:pStyle w:val="56"/>
                    <w:keepNext w:val="0"/>
                    <w:keepLines w:val="0"/>
                    <w:pageBreakBefore w:val="0"/>
                    <w:widowControl w:val="0"/>
                    <w:kinsoku/>
                    <w:wordWrap/>
                    <w:overflowPunct/>
                    <w:topLinePunct w:val="0"/>
                    <w:autoSpaceDE/>
                    <w:autoSpaceDN/>
                    <w:bidi w:val="0"/>
                    <w:adjustRightInd w:val="0"/>
                    <w:snapToGrid/>
                    <w:spacing w:line="240" w:lineRule="auto"/>
                    <w:ind w:left="0" w:firstLineChars="0" w:firstLine="0"/>
                    <w:jc w:val="both"/>
                    <w:textAlignment w:val="baseline"/>
                    <w:rPr>
                      <w:rFonts w:ascii="Times New Roman" w:cs="Times New Roman" w:hAnsi="Times New Roman"/>
                      <w:color w:val="auto"/>
                      <w:sz w:val="21"/>
                      <w:szCs w:val="21"/>
                      <w:highlight w:val="none"/>
                    </w:rPr>
                  </w:pPr>
                  <w:r>
                    <w:rPr>
                      <w:rFonts w:ascii="Times New Roman" w:cs="Times New Roman" w:hAnsi="Times New Roman"/>
                      <w:color w:val="auto"/>
                      <w:sz w:val="21"/>
                      <w:szCs w:val="21"/>
                      <w:highlight w:val="none"/>
                    </w:rPr>
                    <w:t>产业发展：规划形成西部、东部两大工业组团，包含四大产业园区。</w:t>
                  </w:r>
                </w:p>
              </w:tc>
              <w:tc>
                <w:tcPr>
                  <w:tcW w:w="3487" w:type="dxa"/>
                  <w:tcBorders>
                    <w:tl2br w:val="nil"/>
                    <w:tr2bl w:val="nil"/>
                  </w:tcBorders>
                  <w:vAlign w:val="center"/>
                </w:tcPr>
                <w:p>
                  <w:pPr>
                    <w:pStyle w:val="56"/>
                    <w:keepNext w:val="0"/>
                    <w:keepLines w:val="0"/>
                    <w:pageBreakBefore w:val="0"/>
                    <w:widowControl w:val="0"/>
                    <w:kinsoku/>
                    <w:wordWrap/>
                    <w:overflowPunct/>
                    <w:topLinePunct w:val="0"/>
                    <w:autoSpaceDE/>
                    <w:autoSpaceDN/>
                    <w:bidi w:val="0"/>
                    <w:adjustRightInd w:val="0"/>
                    <w:snapToGrid/>
                    <w:spacing w:line="240" w:lineRule="auto"/>
                    <w:ind w:left="0" w:firstLineChars="0" w:firstLine="0"/>
                    <w:jc w:val="both"/>
                    <w:textAlignment w:val="baseline"/>
                    <w:rPr>
                      <w:rFonts w:ascii="Times New Roman" w:cs="Times New Roman" w:hAnsi="Times New Roman" w:hint="eastAsia"/>
                      <w:color w:val="auto"/>
                      <w:sz w:val="21"/>
                      <w:szCs w:val="21"/>
                      <w:lang w:val="en-US" w:eastAsia="zh-CN"/>
                      <w:highlight w:val="none"/>
                    </w:rPr>
                  </w:pPr>
                  <w:r>
                    <w:rPr>
                      <w:rFonts w:ascii="Times New Roman" w:cs="Times New Roman" w:hAnsi="Times New Roman" w:hint="eastAsia"/>
                      <w:color w:val="auto"/>
                      <w:sz w:val="21"/>
                      <w:szCs w:val="21"/>
                      <w:lang w:val="en-US" w:eastAsia="zh-CN"/>
                      <w:highlight w:val="none"/>
                    </w:rPr>
                    <w:t>①装备制造产业园区：位于环北路以南、中兴大道以北、</w:t>
                  </w:r>
                  <w:r>
                    <w:rPr>
                      <w:rFonts w:ascii="Times New Roman" w:cs="Times New Roman" w:hAnsi="Times New Roman"/>
                      <w:color w:val="auto"/>
                      <w:sz w:val="21"/>
                      <w:szCs w:val="21"/>
                      <w:lang w:val="en-US" w:eastAsia="zh-CN"/>
                      <w:highlight w:val="none"/>
                    </w:rPr>
                    <w:t>107</w:t>
                  </w:r>
                  <w:r>
                    <w:rPr>
                      <w:rFonts w:ascii="Times New Roman" w:cs="Times New Roman" w:hAnsi="Times New Roman" w:hint="eastAsia"/>
                      <w:color w:val="auto"/>
                      <w:sz w:val="21"/>
                      <w:szCs w:val="21"/>
                      <w:lang w:val="en-US" w:eastAsia="zh-CN"/>
                      <w:highlight w:val="none"/>
                    </w:rPr>
                    <w:t>国道以东、方西大街以西，约占园区总用地的40.12%。规划以发展汽车及零部件制造、铁路运输设备生产与维修、通用设备制造、金属制品制造、专用设备制造、电气机械和器材制造等装备制造产业为主，以发展装备制造产业配套的包装印刷、橡胶、塑料制品制造和仓储物流业为辅，并培育发展智能化设备产业集群和小微企业孵化。</w:t>
                  </w:r>
                </w:p>
              </w:tc>
              <w:tc>
                <w:tcPr>
                  <w:tcW w:w="3037" w:type="dxa"/>
                  <w:vMerge w:val="restart"/>
                  <w:tcBorders>
                    <w:tl2br w:val="nil"/>
                    <w:tr2bl w:val="nil"/>
                  </w:tcBorders>
                  <w:vAlign w:val="center"/>
                </w:tcPr>
                <w:p>
                  <w:pPr>
                    <w:pStyle w:val="56"/>
                    <w:keepNext w:val="0"/>
                    <w:keepLines w:val="0"/>
                    <w:pageBreakBefore w:val="0"/>
                    <w:widowControl w:val="0"/>
                    <w:kinsoku/>
                    <w:wordWrap/>
                    <w:overflowPunct/>
                    <w:topLinePunct w:val="0"/>
                    <w:autoSpaceDE/>
                    <w:autoSpaceDN/>
                    <w:bidi w:val="0"/>
                    <w:adjustRightInd w:val="0"/>
                    <w:snapToGrid/>
                    <w:spacing w:line="240" w:lineRule="auto"/>
                    <w:ind w:left="0" w:firstLineChars="0" w:firstLine="0"/>
                    <w:textAlignment w:val="baseline"/>
                    <w:rPr>
                      <w:rFonts w:ascii="Times New Roman" w:eastAsia="宋体" w:cs="Times New Roman" w:hAnsi="Times New Roman"/>
                      <w:color w:val="auto"/>
                      <w:sz w:val="21"/>
                      <w:szCs w:val="21"/>
                      <w:lang w:val="en-US" w:eastAsia="zh-CN"/>
                      <w:highlight w:val="none"/>
                    </w:rPr>
                  </w:pPr>
                  <w:r>
                    <w:rPr>
                      <w:rFonts w:cs="Times New Roman" w:hint="eastAsia"/>
                      <w:color w:val="auto"/>
                      <w:sz w:val="21"/>
                      <w:szCs w:val="21"/>
                      <w:lang w:val="en-US" w:eastAsia="zh-CN"/>
                      <w:highlight w:val="none"/>
                    </w:rPr>
                    <w:t>项目位于</w:t>
                  </w:r>
                  <w:r>
                    <w:rPr>
                      <w:rFonts w:ascii="Times New Roman" w:cs="Times New Roman" w:hAnsi="Times New Roman" w:hint="eastAsia"/>
                      <w:color w:val="auto"/>
                      <w:sz w:val="21"/>
                      <w:szCs w:val="21"/>
                      <w:lang w:val="en-US" w:eastAsia="zh-CN"/>
                      <w:highlight w:val="none"/>
                    </w:rPr>
                    <w:t>装备制造产业园区</w:t>
                  </w:r>
                  <w:r>
                    <w:rPr>
                      <w:rFonts w:cs="Times New Roman" w:hint="eastAsia"/>
                      <w:color w:val="auto"/>
                      <w:sz w:val="21"/>
                      <w:szCs w:val="21"/>
                      <w:lang w:val="en-US" w:eastAsia="zh-CN"/>
                      <w:highlight w:val="none"/>
                    </w:rPr>
                    <w:t>，涉</w:t>
                  </w:r>
                  <w:r>
                    <w:rPr>
                      <w:rFonts w:ascii="Times New Roman" w:cs="Times New Roman" w:hAnsi="Times New Roman" w:hint="eastAsia"/>
                      <w:color w:val="auto"/>
                      <w:sz w:val="21"/>
                      <w:szCs w:val="21"/>
                      <w:lang w:val="en-US" w:eastAsia="zh-CN"/>
                      <w:highlight w:val="none"/>
                    </w:rPr>
                    <w:t>及行业为生态保护和环境治理业</w:t>
                  </w:r>
                  <w:r>
                    <w:rPr>
                      <w:rFonts w:ascii="Times New Roman" w:eastAsia="宋体" w:cs="Times New Roman" w:hAnsi="Times New Roman" w:hint="eastAsia"/>
                      <w:color w:val="auto"/>
                      <w:spacing w:val="-6"/>
                      <w:sz w:val="21"/>
                      <w:szCs w:val="21"/>
                      <w:lang w:eastAsia="zh-CN"/>
                      <w:highlight w:val="none"/>
                    </w:rPr>
                    <w:t>，</w:t>
                  </w:r>
                  <w:r>
                    <w:rPr>
                      <w:rFonts w:cs="Times New Roman" w:hint="eastAsia"/>
                      <w:color w:val="auto"/>
                      <w:spacing w:val="-6"/>
                      <w:sz w:val="21"/>
                      <w:szCs w:val="21"/>
                      <w:lang w:eastAsia="zh-CN"/>
                      <w:highlight w:val="none"/>
                    </w:rPr>
                    <w:t>可为园区提供废铅蓄电池贮存、中转场所，属于园区</w:t>
                  </w:r>
                  <w:r>
                    <w:rPr>
                      <w:rFonts w:ascii="Times New Roman" w:cs="Times New Roman" w:hAnsi="Times New Roman"/>
                      <w:color w:val="auto"/>
                      <w:sz w:val="21"/>
                      <w:szCs w:val="21"/>
                      <w:highlight w:val="none"/>
                    </w:rPr>
                    <w:t>配套服务产业</w:t>
                  </w:r>
                  <w:r>
                    <w:rPr>
                      <w:rFonts w:cs="Times New Roman" w:hint="eastAsia"/>
                      <w:color w:val="auto"/>
                      <w:sz w:val="21"/>
                      <w:szCs w:val="21"/>
                      <w:lang w:eastAsia="zh-CN"/>
                      <w:highlight w:val="none"/>
                    </w:rPr>
                    <w:t>，同时满足园区准入要求。本项目备案信息已通过河北石家庄装备制造产业园管理委员会的审批（备案编号：装管委投资备字〔2026〕36 号）</w:t>
                  </w:r>
                  <w:r>
                    <w:rPr>
                      <w:rFonts w:cs="Times New Roman" w:hint="eastAsia"/>
                      <w:color w:val="auto"/>
                      <w:sz w:val="21"/>
                      <w:szCs w:val="21"/>
                      <w:lang w:val="en-US" w:eastAsia="zh-CN"/>
                      <w:highlight w:val="none"/>
                    </w:rPr>
                    <w:t>。</w:t>
                  </w:r>
                </w:p>
              </w:tc>
            </w:tr>
            <w:tr>
              <w:trPr>
                <w:trHeight w:val="941"/>
              </w:trPr>
              <w:tc>
                <w:tcPr>
                  <w:tcW w:w="1072" w:type="dxa"/>
                  <w:vMerge/>
                  <w:tcBorders>
                    <w:tl2br w:val="nil"/>
                    <w:tr2bl w:val="nil"/>
                  </w:tcBorders>
                  <w:vAlign w:val="center"/>
                </w:tcPr>
                <w:p/>
              </w:tc>
              <w:tc>
                <w:tcPr>
                  <w:tcW w:w="3487" w:type="dxa"/>
                  <w:tcBorders>
                    <w:tl2br w:val="nil"/>
                    <w:tr2bl w:val="nil"/>
                  </w:tcBorders>
                  <w:vAlign w:val="center"/>
                </w:tcPr>
                <w:p>
                  <w:pPr>
                    <w:keepNext w:val="0"/>
                    <w:keepLines w:val="0"/>
                    <w:widowControl/>
                    <w:suppressLineNumbers w:val="0"/>
                    <w:jc w:val="both"/>
                    <w:rPr>
                      <w:rFonts w:ascii="Times New Roman" w:eastAsia="宋体" w:cs="Times New Roman" w:hAnsi="Times New Roman"/>
                      <w:color w:val="auto"/>
                      <w:kern w:val="0"/>
                      <w:sz w:val="21"/>
                      <w:szCs w:val="21"/>
                      <w:lang w:val="en-US" w:eastAsia="zh-CN" w:bidi="ar-SA"/>
                      <w:highlight w:val="none"/>
                    </w:rPr>
                  </w:pPr>
                  <w:r>
                    <w:rPr>
                      <w:rFonts w:ascii="Times New Roman" w:eastAsia="宋体" w:cs="Times New Roman" w:hAnsi="Times New Roman" w:hint="eastAsia"/>
                      <w:color w:val="auto"/>
                      <w:kern w:val="0"/>
                      <w:sz w:val="21"/>
                      <w:szCs w:val="21"/>
                      <w:lang w:val="en-US" w:eastAsia="zh-CN" w:bidi="ar-SA"/>
                      <w:highlight w:val="none"/>
                    </w:rPr>
                    <w:t>②产业转型升级示范区：位于</w:t>
                  </w:r>
                  <w:r>
                    <w:rPr>
                      <w:rFonts w:ascii="Times New Roman" w:eastAsia="宋体" w:cs="Times New Roman" w:hAnsi="Times New Roman"/>
                      <w:color w:val="auto"/>
                      <w:kern w:val="0"/>
                      <w:sz w:val="21"/>
                      <w:szCs w:val="21"/>
                      <w:lang w:val="en-US" w:eastAsia="zh-CN" w:bidi="ar-SA"/>
                      <w:highlight w:val="none"/>
                    </w:rPr>
                    <w:t>107</w:t>
                  </w:r>
                  <w:r>
                    <w:rPr>
                      <w:rFonts w:ascii="Times New Roman" w:eastAsia="宋体" w:cs="Times New Roman" w:hAnsi="Times New Roman" w:hint="eastAsia"/>
                      <w:color w:val="auto"/>
                      <w:kern w:val="0"/>
                      <w:sz w:val="21"/>
                      <w:szCs w:val="21"/>
                      <w:lang w:val="en-US" w:eastAsia="zh-CN" w:bidi="ar-SA"/>
                      <w:highlight w:val="none"/>
                    </w:rPr>
                    <w:t>国道以东、洨河以西，约占园区总用地的</w:t>
                  </w:r>
                  <w:r>
                    <w:rPr>
                      <w:rFonts w:cs="Times New Roman" w:hint="eastAsia"/>
                      <w:color w:val="auto"/>
                      <w:kern w:val="0"/>
                      <w:sz w:val="21"/>
                      <w:szCs w:val="21"/>
                      <w:lang w:val="en-US" w:eastAsia="zh-CN" w:bidi="ar-SA"/>
                      <w:highlight w:val="none"/>
                    </w:rPr>
                    <w:t>16.42</w:t>
                  </w:r>
                  <w:r>
                    <w:rPr>
                      <w:rFonts w:ascii="Times New Roman" w:eastAsia="宋体" w:cs="Times New Roman" w:hAnsi="Times New Roman" w:hint="eastAsia"/>
                      <w:color w:val="auto"/>
                      <w:kern w:val="0"/>
                      <w:sz w:val="21"/>
                      <w:szCs w:val="21"/>
                      <w:lang w:val="en-US" w:eastAsia="zh-CN" w:bidi="ar-SA"/>
                      <w:highlight w:val="none"/>
                    </w:rPr>
                    <w:t>%。规划以现状汽车制造、机械制造、食品生产、再生资源综合利用、仓储物流、化工原料和化学制造等现有产业转型升级为主。其中，化工产业依托重点化工监控点打造生态环保、绿色环保、节能安全的化工连片区，并培育小微企业孵化。</w:t>
                  </w:r>
                </w:p>
              </w:tc>
              <w:tc>
                <w:tcPr>
                  <w:tcW w:w="3037" w:type="dxa"/>
                  <w:vMerge/>
                  <w:tcBorders>
                    <w:tl2br w:val="nil"/>
                    <w:tr2bl w:val="nil"/>
                  </w:tcBorders>
                  <w:vAlign w:val="center"/>
                </w:tcPr>
                <w:p/>
              </w:tc>
            </w:tr>
            <w:tr>
              <w:trPr>
                <w:trHeight w:val="1906"/>
              </w:trPr>
              <w:tc>
                <w:tcPr>
                  <w:tcW w:w="1072" w:type="dxa"/>
                  <w:vMerge/>
                  <w:tcBorders>
                    <w:tl2br w:val="nil"/>
                    <w:tr2bl w:val="nil"/>
                  </w:tcBorders>
                  <w:vAlign w:val="center"/>
                </w:tcPr>
                <w:p/>
              </w:tc>
              <w:tc>
                <w:tcPr>
                  <w:tcW w:w="3487" w:type="dxa"/>
                  <w:tcBorders>
                    <w:tl2br w:val="nil"/>
                    <w:tr2bl w:val="nil"/>
                  </w:tcBorders>
                  <w:vAlign w:val="center"/>
                </w:tcPr>
                <w:p>
                  <w:pPr>
                    <w:keepNext w:val="0"/>
                    <w:keepLines w:val="0"/>
                    <w:widowControl/>
                    <w:suppressLineNumbers w:val="0"/>
                    <w:jc w:val="both"/>
                    <w:rPr>
                      <w:rFonts w:ascii="Times New Roman" w:eastAsia="宋体" w:cs="Times New Roman" w:hAnsi="Times New Roman"/>
                      <w:color w:val="auto"/>
                      <w:kern w:val="0"/>
                      <w:sz w:val="21"/>
                      <w:szCs w:val="21"/>
                      <w:lang w:val="en-US" w:eastAsia="zh-CN" w:bidi="ar-SA"/>
                      <w:highlight w:val="none"/>
                    </w:rPr>
                  </w:pPr>
                  <w:r>
                    <w:rPr>
                      <w:rFonts w:ascii="Times New Roman" w:eastAsia="宋体" w:cs="Times New Roman" w:hAnsi="Times New Roman" w:hint="eastAsia"/>
                      <w:color w:val="auto"/>
                      <w:kern w:val="0"/>
                      <w:sz w:val="21"/>
                      <w:szCs w:val="21"/>
                      <w:lang w:val="en-US" w:eastAsia="zh-CN" w:bidi="ar-SA"/>
                      <w:highlight w:val="none"/>
                    </w:rPr>
                    <w:t>③通用飞机产业园区：位于复兴大街以东、</w:t>
                  </w:r>
                  <w:r>
                    <w:rPr>
                      <w:rFonts w:ascii="Times New Roman" w:eastAsia="宋体" w:cs="Times New Roman" w:hAnsi="Times New Roman"/>
                      <w:color w:val="auto"/>
                      <w:kern w:val="0"/>
                      <w:sz w:val="21"/>
                      <w:szCs w:val="21"/>
                      <w:lang w:val="en-US" w:eastAsia="zh-CN" w:bidi="ar-SA"/>
                      <w:highlight w:val="none"/>
                    </w:rPr>
                    <w:t>308</w:t>
                  </w:r>
                  <w:r>
                    <w:rPr>
                      <w:rFonts w:ascii="Times New Roman" w:eastAsia="宋体" w:cs="Times New Roman" w:hAnsi="Times New Roman" w:hint="eastAsia"/>
                      <w:color w:val="auto"/>
                      <w:kern w:val="0"/>
                      <w:sz w:val="21"/>
                      <w:szCs w:val="21"/>
                      <w:lang w:val="en-US" w:eastAsia="zh-CN" w:bidi="ar-SA"/>
                      <w:highlight w:val="none"/>
                    </w:rPr>
                    <w:t>国道以北，约占园区总用地的</w:t>
                  </w:r>
                  <w:r>
                    <w:rPr>
                      <w:rFonts w:cs="Times New Roman" w:hint="eastAsia"/>
                      <w:color w:val="auto"/>
                      <w:kern w:val="0"/>
                      <w:sz w:val="21"/>
                      <w:szCs w:val="21"/>
                      <w:lang w:val="en-US" w:eastAsia="zh-CN" w:bidi="ar-SA"/>
                      <w:highlight w:val="none"/>
                    </w:rPr>
                    <w:t>4</w:t>
                  </w:r>
                  <w:r>
                    <w:rPr>
                      <w:rFonts w:ascii="Times New Roman" w:eastAsia="宋体" w:cs="Times New Roman" w:hAnsi="Times New Roman" w:hint="eastAsia"/>
                      <w:color w:val="auto"/>
                      <w:kern w:val="0"/>
                      <w:sz w:val="21"/>
                      <w:szCs w:val="21"/>
                      <w:lang w:val="en-US" w:eastAsia="zh-CN" w:bidi="ar-SA"/>
                      <w:highlight w:val="none"/>
                    </w:rPr>
                    <w:t>.</w:t>
                  </w:r>
                  <w:r>
                    <w:rPr>
                      <w:rFonts w:cs="Times New Roman" w:hint="eastAsia"/>
                      <w:color w:val="auto"/>
                      <w:kern w:val="0"/>
                      <w:sz w:val="21"/>
                      <w:szCs w:val="21"/>
                      <w:lang w:val="en-US" w:eastAsia="zh-CN" w:bidi="ar-SA"/>
                      <w:highlight w:val="none"/>
                    </w:rPr>
                    <w:t>71</w:t>
                  </w:r>
                  <w:r>
                    <w:rPr>
                      <w:rFonts w:ascii="Times New Roman" w:eastAsia="宋体" w:cs="Times New Roman" w:hAnsi="Times New Roman" w:hint="eastAsia"/>
                      <w:color w:val="auto"/>
                      <w:kern w:val="0"/>
                      <w:sz w:val="21"/>
                      <w:szCs w:val="21"/>
                      <w:lang w:val="en-US" w:eastAsia="zh-CN" w:bidi="ar-SA"/>
                      <w:highlight w:val="none"/>
                    </w:rPr>
                    <w:t>%。石家庄栾城机场位于其中。规划发展通用飞机整机及部件生产和无人机研发和生产，逐步培育飞机研制和航空培训配套服务等综合性航空产业和低空经济产业为主，并培育小微企业孵化。</w:t>
                  </w:r>
                </w:p>
              </w:tc>
              <w:tc>
                <w:tcPr>
                  <w:tcW w:w="3037" w:type="dxa"/>
                  <w:vMerge/>
                  <w:tcBorders>
                    <w:tl2br w:val="nil"/>
                    <w:tr2bl w:val="nil"/>
                  </w:tcBorders>
                  <w:vAlign w:val="center"/>
                </w:tcPr>
                <w:p/>
              </w:tc>
            </w:tr>
            <w:tr>
              <w:trPr>
                <w:trHeight w:val="1906"/>
              </w:trPr>
              <w:tc>
                <w:tcPr>
                  <w:tcW w:w="1072" w:type="dxa"/>
                  <w:vMerge/>
                  <w:tcBorders>
                    <w:tl2br w:val="nil"/>
                    <w:tr2bl w:val="nil"/>
                  </w:tcBorders>
                  <w:vAlign w:val="center"/>
                </w:tcPr>
                <w:p/>
              </w:tc>
              <w:tc>
                <w:tcPr>
                  <w:tcW w:w="3487" w:type="dxa"/>
                  <w:tcBorders>
                    <w:tl2br w:val="nil"/>
                    <w:tr2bl w:val="nil"/>
                  </w:tcBorders>
                  <w:vAlign w:val="center"/>
                </w:tcPr>
                <w:p>
                  <w:pPr>
                    <w:keepNext w:val="0"/>
                    <w:keepLines w:val="0"/>
                    <w:widowControl/>
                    <w:suppressLineNumbers w:val="0"/>
                    <w:jc w:val="both"/>
                    <w:rPr>
                      <w:rFonts w:ascii="Times New Roman" w:eastAsia="宋体" w:cs="Times New Roman" w:hAnsi="Times New Roman" w:hint="eastAsia"/>
                      <w:color w:val="auto"/>
                      <w:kern w:val="0"/>
                      <w:sz w:val="21"/>
                      <w:szCs w:val="21"/>
                      <w:lang w:val="en-US" w:eastAsia="zh-CN" w:bidi="ar-SA"/>
                      <w:highlight w:val="none"/>
                    </w:rPr>
                  </w:pPr>
                  <w:r>
                    <w:rPr>
                      <w:rFonts w:cs="Times New Roman" w:hint="eastAsia"/>
                      <w:color w:val="auto"/>
                      <w:kern w:val="0"/>
                      <w:sz w:val="21"/>
                      <w:szCs w:val="21"/>
                      <w:lang w:val="en-US" w:eastAsia="zh-CN" w:bidi="ar-SA"/>
                      <w:highlight w:val="none"/>
                    </w:rPr>
                    <w:t>④</w:t>
                  </w:r>
                  <w:r>
                    <w:rPr>
                      <w:rFonts w:ascii="Times New Roman" w:eastAsia="宋体" w:cs="Times New Roman" w:hAnsi="Times New Roman" w:hint="eastAsia"/>
                      <w:color w:val="auto"/>
                      <w:kern w:val="0"/>
                      <w:sz w:val="21"/>
                      <w:szCs w:val="21"/>
                      <w:lang w:val="en-US" w:eastAsia="zh-CN" w:bidi="ar-SA"/>
                      <w:highlight w:val="none"/>
                    </w:rPr>
                    <w:t>食品和医药产业园区：位于</w:t>
                  </w:r>
                  <w:r>
                    <w:rPr>
                      <w:rFonts w:ascii="Times New Roman" w:eastAsia="宋体" w:cs="Times New Roman" w:hAnsi="Times New Roman"/>
                      <w:color w:val="auto"/>
                      <w:kern w:val="0"/>
                      <w:sz w:val="21"/>
                      <w:szCs w:val="21"/>
                      <w:lang w:val="en-US" w:eastAsia="zh-CN" w:bidi="ar-SA"/>
                      <w:highlight w:val="none"/>
                    </w:rPr>
                    <w:t>337</w:t>
                  </w:r>
                  <w:r>
                    <w:rPr>
                      <w:rFonts w:ascii="Times New Roman" w:eastAsia="宋体" w:cs="Times New Roman" w:hAnsi="Times New Roman" w:hint="eastAsia"/>
                      <w:color w:val="auto"/>
                      <w:kern w:val="0"/>
                      <w:sz w:val="21"/>
                      <w:szCs w:val="21"/>
                      <w:lang w:val="en-US" w:eastAsia="zh-CN" w:bidi="ar-SA"/>
                      <w:highlight w:val="none"/>
                    </w:rPr>
                    <w:t>省道以北、</w:t>
                  </w:r>
                  <w:r>
                    <w:rPr>
                      <w:rFonts w:ascii="Times New Roman" w:eastAsia="宋体" w:cs="Times New Roman" w:hAnsi="Times New Roman"/>
                      <w:color w:val="auto"/>
                      <w:kern w:val="0"/>
                      <w:sz w:val="21"/>
                      <w:szCs w:val="21"/>
                      <w:lang w:val="en-US" w:eastAsia="zh-CN" w:bidi="ar-SA"/>
                      <w:highlight w:val="none"/>
                    </w:rPr>
                    <w:t>308</w:t>
                  </w:r>
                  <w:r>
                    <w:rPr>
                      <w:rFonts w:ascii="Times New Roman" w:eastAsia="宋体" w:cs="Times New Roman" w:hAnsi="Times New Roman" w:hint="eastAsia"/>
                      <w:color w:val="auto"/>
                      <w:kern w:val="0"/>
                      <w:sz w:val="21"/>
                      <w:szCs w:val="21"/>
                      <w:lang w:val="en-US" w:eastAsia="zh-CN" w:bidi="ar-SA"/>
                      <w:highlight w:val="none"/>
                    </w:rPr>
                    <w:t>国道以东、石栾大街以西、惠源路以南，约占园区总用地的</w:t>
                  </w:r>
                  <w:r>
                    <w:rPr>
                      <w:rFonts w:cs="Times New Roman" w:hint="eastAsia"/>
                      <w:color w:val="auto"/>
                      <w:kern w:val="0"/>
                      <w:sz w:val="21"/>
                      <w:szCs w:val="21"/>
                      <w:lang w:val="en-US" w:eastAsia="zh-CN" w:bidi="ar-SA"/>
                      <w:highlight w:val="none"/>
                    </w:rPr>
                    <w:t>18.81</w:t>
                  </w:r>
                  <w:r>
                    <w:rPr>
                      <w:rFonts w:ascii="Times New Roman" w:eastAsia="宋体" w:cs="Times New Roman" w:hAnsi="Times New Roman" w:hint="eastAsia"/>
                      <w:color w:val="auto"/>
                      <w:kern w:val="0"/>
                      <w:sz w:val="21"/>
                      <w:szCs w:val="21"/>
                      <w:lang w:val="en-US" w:eastAsia="zh-CN" w:bidi="ar-SA"/>
                      <w:highlight w:val="none"/>
                    </w:rPr>
                    <w:t>%。规划以医药制造产业和食品制造产业为主，以发展医药制造、食品制造产业配套的包装印刷、橡胶和塑料制品制造为辅，培育发展大健康产业和小微企业孵化。其中，列入重点化工监控点的企业在项目审批、建设和管理方面参照省、市规定执行。其他现有化工企业，</w:t>
                  </w:r>
                  <w:r>
                    <w:rPr>
                      <w:rFonts w:cs="Times New Roman" w:hint="eastAsia"/>
                      <w:color w:val="auto"/>
                      <w:kern w:val="0"/>
                      <w:sz w:val="21"/>
                      <w:szCs w:val="21"/>
                      <w:lang w:val="en-US" w:eastAsia="zh-CN" w:bidi="ar-SA"/>
                      <w:highlight w:val="none"/>
                    </w:rPr>
                    <w:t>允许建设安全、环保、节能和智能化改造项目</w:t>
                  </w:r>
                  <w:r>
                    <w:rPr>
                      <w:rFonts w:ascii="Times New Roman" w:eastAsia="宋体" w:cs="Times New Roman" w:hAnsi="Times New Roman" w:hint="eastAsia"/>
                      <w:color w:val="auto"/>
                      <w:kern w:val="0"/>
                      <w:sz w:val="21"/>
                      <w:szCs w:val="21"/>
                      <w:lang w:val="en-US" w:eastAsia="zh-CN" w:bidi="ar-SA"/>
                      <w:highlight w:val="none"/>
                    </w:rPr>
                    <w:t>。</w:t>
                  </w:r>
                </w:p>
              </w:tc>
              <w:tc>
                <w:tcPr>
                  <w:tcW w:w="3037" w:type="dxa"/>
                  <w:vMerge/>
                  <w:tcBorders>
                    <w:tl2br w:val="nil"/>
                    <w:tr2bl w:val="nil"/>
                  </w:tcBorders>
                  <w:vAlign w:val="center"/>
                </w:tcPr>
                <w:p/>
              </w:tc>
            </w:tr>
          </w:tbl>
          <w:p>
            <w:pPr>
              <w:pStyle w:val="56"/>
              <w:rPr>
                <w:rFonts w:ascii="Times New Roman" w:cs="Times New Roman" w:hAnsi="Times New Roman"/>
                <w:b/>
                <w:bCs/>
                <w:color w:val="auto"/>
                <w:highlight w:val="none"/>
              </w:rPr>
            </w:pPr>
            <w:r>
              <w:rPr>
                <w:rFonts w:cs="Times New Roman" w:hint="eastAsia"/>
                <w:b/>
                <w:bCs/>
                <w:color w:val="auto"/>
                <w:lang w:eastAsia="zh-CN"/>
                <w:highlight w:val="none"/>
              </w:rPr>
              <w:t>（</w:t>
            </w:r>
            <w:r>
              <w:rPr>
                <w:rFonts w:cs="Times New Roman" w:hint="eastAsia"/>
                <w:b/>
                <w:bCs/>
                <w:color w:val="auto"/>
                <w:lang w:val="en-US" w:eastAsia="zh-CN"/>
                <w:highlight w:val="none"/>
              </w:rPr>
              <w:t>2</w:t>
            </w:r>
            <w:r>
              <w:rPr>
                <w:rFonts w:cs="Times New Roman" w:hint="eastAsia"/>
                <w:b/>
                <w:bCs/>
                <w:color w:val="auto"/>
                <w:lang w:eastAsia="zh-CN"/>
                <w:highlight w:val="none"/>
              </w:rPr>
              <w:t>）</w:t>
            </w:r>
            <w:r>
              <w:rPr>
                <w:rFonts w:ascii="Times New Roman" w:cs="Times New Roman" w:hAnsi="Times New Roman"/>
                <w:b/>
                <w:bCs/>
                <w:color w:val="auto"/>
                <w:highlight w:val="none"/>
              </w:rPr>
              <w:t>园区基础设施</w:t>
            </w:r>
          </w:p>
          <w:p>
            <w:pPr>
              <w:pStyle w:val="56"/>
              <w:keepNext w:val="0"/>
              <w:keepLines w:val="0"/>
              <w:pageBreakBefore w:val="0"/>
              <w:widowControl w:val="0"/>
              <w:kinsoku/>
              <w:wordWrap/>
              <w:overflowPunct/>
              <w:topLinePunct w:val="0"/>
              <w:autoSpaceDE/>
              <w:autoSpaceDN/>
              <w:bidi w:val="0"/>
              <w:adjustRightInd w:val="0"/>
              <w:snapToGrid/>
              <w:textAlignment w:val="baseline"/>
              <w:rPr>
                <w:rFonts w:cs="Times New Roman" w:hint="eastAsia"/>
                <w:color w:val="auto"/>
                <w:lang w:val="en-US" w:eastAsia="zh-CN"/>
                <w:highlight w:val="none"/>
              </w:rPr>
            </w:pPr>
            <w:r>
              <w:rPr>
                <w:rFonts w:cs="Times New Roman" w:hint="eastAsia"/>
                <w:color w:val="auto"/>
                <w:lang w:val="en-US" w:eastAsia="zh-CN"/>
                <w:highlight w:val="none"/>
              </w:rPr>
              <w:t>园区基础设施见下：</w:t>
            </w:r>
          </w:p>
          <w:p>
            <w:pPr>
              <w:pStyle w:val="56"/>
              <w:keepNext w:val="0"/>
              <w:keepLines w:val="0"/>
              <w:pageBreakBefore w:val="0"/>
              <w:widowControl w:val="0"/>
              <w:kinsoku/>
              <w:wordWrap/>
              <w:overflowPunct/>
              <w:topLinePunct w:val="0"/>
              <w:autoSpaceDE/>
              <w:autoSpaceDN/>
              <w:bidi w:val="0"/>
              <w:adjustRightInd w:val="0"/>
              <w:snapToGrid/>
              <w:textAlignment w:val="baseline"/>
              <w:rPr>
                <w:rFonts w:cs="Times New Roman"/>
                <w:color w:val="auto"/>
                <w:lang w:val="en-US" w:eastAsia="zh-CN"/>
                <w:highlight w:val="none"/>
              </w:rPr>
            </w:pPr>
          </w:p>
          <w:p>
            <w:pPr>
              <w:pStyle w:val="56"/>
              <w:keepNext w:val="0"/>
              <w:keepLines w:val="0"/>
              <w:pageBreakBefore w:val="0"/>
              <w:widowControl w:val="0"/>
              <w:kinsoku/>
              <w:wordWrap/>
              <w:overflowPunct/>
              <w:topLinePunct w:val="0"/>
              <w:autoSpaceDE/>
              <w:autoSpaceDN/>
              <w:bidi w:val="0"/>
              <w:adjustRightInd w:val="0"/>
              <w:snapToGrid/>
              <w:spacing w:line="240" w:lineRule="auto"/>
              <w:ind w:left="0" w:firstLineChars="0" w:firstLine="0"/>
              <w:jc w:val="center"/>
              <w:textAlignment w:val="baseline"/>
              <w:rPr>
                <w:rFonts w:cs="Times New Roman" w:hint="eastAsia"/>
                <w:b/>
                <w:bCs/>
                <w:color w:val="auto"/>
                <w:lang w:val="en-US" w:eastAsia="zh-CN"/>
                <w:highlight w:val="none"/>
              </w:rPr>
            </w:pPr>
            <w:r>
              <w:rPr>
                <w:rFonts w:cs="Times New Roman" w:hint="eastAsia"/>
                <w:b/>
                <w:bCs/>
                <w:color w:val="auto"/>
                <w:lang w:val="en-US" w:eastAsia="zh-CN"/>
                <w:highlight w:val="none"/>
              </w:rPr>
              <w:t>表1-3  园区基础设施符合性分析一览表</w:t>
            </w:r>
          </w:p>
          <w:tbl>
            <w:tblPr>
              <w:jc w:val="center"/>
              <w:tblW w:w="7596" w:type="dxa"/>
              <w:tblBorders>
                <w:top w:val="single" w:sz="12" w:space="0" w:color="auto"/>
                <w:left w:val="none" w:sz="0" w:space="0" w:color="auto"/>
                <w:bottom w:val="single" w:sz="12" w:space="0" w:color="auto"/>
                <w:right w:val="none" w:sz="0" w:space="0" w:color="auto"/>
                <w:insideH w:val="single" w:sz="4" w:space="0" w:color="auto"/>
                <w:insideV w:val="single" w:sz="4" w:space="0" w:color="auto"/>
              </w:tblBorders>
              <w:tblCellMar>
                <w:top w:w="0" w:type="dxa"/>
                <w:left w:w="108" w:type="dxa"/>
                <w:bottom w:w="0" w:type="dxa"/>
                <w:right w:w="108" w:type="dxa"/>
              </w:tblCellMar>
              <w:tblLook w:val="0600" w:firstRow="0" w:lastRow="0" w:firstColumn="0" w:lastColumn="0" w:noHBand="1" w:noVBand="1"/>
            </w:tblPr>
            <w:tblGrid>
              <w:gridCol w:w="559"/>
              <w:gridCol w:w="4107"/>
              <w:gridCol w:w="2930"/>
            </w:tblGrid>
            <w:tr>
              <w:trPr>
                <w:trHeight w:val="397"/>
              </w:trPr>
              <w:tc>
                <w:tcPr>
                  <w:tcW w:w="4666" w:type="dxa"/>
                  <w:gridSpan w:val="2"/>
                  <w:tcBorders>
                    <w:tl2br w:val="nil"/>
                    <w:tr2bl w:val="nil"/>
                  </w:tcBorders>
                  <w:vAlign w:val="center"/>
                </w:tcPr>
                <w:p>
                  <w:pPr>
                    <w:pStyle w:val="56"/>
                    <w:keepNext w:val="0"/>
                    <w:keepLines w:val="0"/>
                    <w:pageBreakBefore w:val="0"/>
                    <w:widowControl w:val="0"/>
                    <w:kinsoku/>
                    <w:wordWrap/>
                    <w:overflowPunct/>
                    <w:topLinePunct w:val="0"/>
                    <w:autoSpaceDE/>
                    <w:autoSpaceDN/>
                    <w:bidi w:val="0"/>
                    <w:adjustRightInd w:val="0"/>
                    <w:snapToGrid/>
                    <w:spacing w:line="240" w:lineRule="auto"/>
                    <w:ind w:firstLineChars="0" w:firstLine="0"/>
                    <w:jc w:val="center"/>
                    <w:textAlignment w:val="baseline"/>
                    <w:rPr>
                      <w:rFonts w:ascii="Times New Roman" w:cs="Times New Roman" w:hAnsi="Times New Roman"/>
                      <w:b/>
                      <w:bCs/>
                      <w:color w:val="auto"/>
                      <w:sz w:val="21"/>
                      <w:szCs w:val="21"/>
                      <w:lang w:val="en-US" w:eastAsia="zh-CN"/>
                      <w:highlight w:val="none"/>
                    </w:rPr>
                  </w:pPr>
                  <w:r>
                    <w:rPr>
                      <w:rFonts w:ascii="Times New Roman" w:cs="Times New Roman" w:hAnsi="Times New Roman" w:hint="eastAsia"/>
                      <w:b/>
                      <w:bCs/>
                      <w:color w:val="auto"/>
                      <w:sz w:val="21"/>
                      <w:szCs w:val="21"/>
                      <w:lang w:val="en-US" w:eastAsia="zh-CN"/>
                      <w:highlight w:val="none"/>
                    </w:rPr>
                    <w:t>规划内容</w:t>
                  </w:r>
                </w:p>
              </w:tc>
              <w:tc>
                <w:tcPr>
                  <w:tcW w:w="2930" w:type="dxa"/>
                  <w:tcBorders>
                    <w:tl2br w:val="nil"/>
                    <w:tr2bl w:val="nil"/>
                  </w:tcBorders>
                  <w:vAlign w:val="center"/>
                </w:tcPr>
                <w:p>
                  <w:pPr>
                    <w:pStyle w:val="56"/>
                    <w:keepNext w:val="0"/>
                    <w:keepLines w:val="0"/>
                    <w:pageBreakBefore w:val="0"/>
                    <w:widowControl w:val="0"/>
                    <w:kinsoku/>
                    <w:wordWrap/>
                    <w:overflowPunct/>
                    <w:topLinePunct w:val="0"/>
                    <w:autoSpaceDE/>
                    <w:autoSpaceDN/>
                    <w:bidi w:val="0"/>
                    <w:adjustRightInd w:val="0"/>
                    <w:snapToGrid/>
                    <w:spacing w:line="240" w:lineRule="auto"/>
                    <w:ind w:firstLineChars="0" w:firstLine="0"/>
                    <w:jc w:val="center"/>
                    <w:textAlignment w:val="baseline"/>
                    <w:rPr>
                      <w:rFonts w:ascii="Times New Roman" w:cs="Times New Roman" w:hAnsi="Times New Roman"/>
                      <w:b/>
                      <w:bCs/>
                      <w:color w:val="auto"/>
                      <w:sz w:val="21"/>
                      <w:szCs w:val="21"/>
                      <w:lang w:val="en-US" w:eastAsia="zh-CN"/>
                      <w:highlight w:val="none"/>
                    </w:rPr>
                  </w:pPr>
                  <w:r>
                    <w:rPr>
                      <w:rFonts w:ascii="Times New Roman" w:cs="Times New Roman" w:hAnsi="Times New Roman" w:hint="eastAsia"/>
                      <w:b/>
                      <w:bCs/>
                      <w:color w:val="auto"/>
                      <w:sz w:val="21"/>
                      <w:szCs w:val="21"/>
                      <w:lang w:val="en-US" w:eastAsia="zh-CN"/>
                      <w:highlight w:val="none"/>
                    </w:rPr>
                    <w:t>项目情况</w:t>
                  </w:r>
                </w:p>
              </w:tc>
            </w:tr>
            <w:tr>
              <w:trPr>
                <w:trHeight w:val="397"/>
              </w:trPr>
              <w:tc>
                <w:tcPr>
                  <w:tcW w:w="559" w:type="dxa"/>
                  <w:tcBorders>
                    <w:tl2br w:val="nil"/>
                    <w:tr2bl w:val="nil"/>
                  </w:tcBorders>
                  <w:vAlign w:val="center"/>
                </w:tcPr>
                <w:p>
                  <w:pPr>
                    <w:pStyle w:val="56"/>
                    <w:keepNext w:val="0"/>
                    <w:keepLines w:val="0"/>
                    <w:pageBreakBefore w:val="0"/>
                    <w:widowControl w:val="0"/>
                    <w:kinsoku/>
                    <w:wordWrap/>
                    <w:overflowPunct/>
                    <w:topLinePunct w:val="0"/>
                    <w:autoSpaceDE/>
                    <w:autoSpaceDN/>
                    <w:bidi w:val="0"/>
                    <w:adjustRightInd w:val="0"/>
                    <w:snapToGrid/>
                    <w:spacing w:line="240" w:lineRule="auto"/>
                    <w:ind w:firstLineChars="0" w:firstLine="0"/>
                    <w:jc w:val="center"/>
                    <w:textAlignment w:val="baseline"/>
                    <w:rPr>
                      <w:rFonts w:ascii="Times New Roman" w:cs="Times New Roman" w:hAnsi="Times New Roman" w:hint="eastAsia"/>
                      <w:b/>
                      <w:bCs/>
                      <w:color w:val="auto"/>
                      <w:sz w:val="21"/>
                      <w:szCs w:val="21"/>
                      <w:lang w:val="en-US" w:eastAsia="zh-CN"/>
                      <w:highlight w:val="none"/>
                    </w:rPr>
                  </w:pPr>
                  <w:r>
                    <w:rPr>
                      <w:rFonts w:ascii="Times New Roman" w:cs="Times New Roman" w:hAnsi="Times New Roman"/>
                      <w:color w:val="auto"/>
                      <w:sz w:val="21"/>
                      <w:szCs w:val="21"/>
                      <w:highlight w:val="none"/>
                    </w:rPr>
                    <w:t>给水</w:t>
                  </w:r>
                </w:p>
              </w:tc>
              <w:tc>
                <w:tcPr>
                  <w:tcW w:w="4107" w:type="dxa"/>
                  <w:tcBorders>
                    <w:tl2br w:val="nil"/>
                    <w:tr2bl w:val="nil"/>
                  </w:tcBorders>
                  <w:vAlign w:val="center"/>
                </w:tcPr>
                <w:p>
                  <w:pPr>
                    <w:keepNext w:val="0"/>
                    <w:keepLines w:val="0"/>
                    <w:widowControl/>
                    <w:suppressLineNumbers w:val="0"/>
                    <w:jc w:val="both"/>
                    <w:rPr>
                      <w:rFonts w:ascii="Times New Roman" w:eastAsia="宋体" w:cs="Times New Roman" w:hAnsi="Times New Roman"/>
                      <w:color w:val="auto"/>
                      <w:kern w:val="0"/>
                      <w:sz w:val="21"/>
                      <w:szCs w:val="21"/>
                      <w:lang w:val="en-US" w:eastAsia="zh-CN"/>
                      <w:highlight w:val="none"/>
                    </w:rPr>
                  </w:pPr>
                  <w:r>
                    <w:rPr>
                      <w:rFonts w:ascii="Times New Roman" w:eastAsia="宋体" w:cs="Times New Roman" w:hAnsi="Times New Roman"/>
                      <w:color w:val="auto"/>
                      <w:kern w:val="0"/>
                      <w:sz w:val="21"/>
                      <w:szCs w:val="21"/>
                      <w:lang w:val="en-US" w:eastAsia="zh-CN"/>
                      <w:highlight w:val="none"/>
                    </w:rPr>
                    <w:t>规划区远期最高日总用水量为11.70万m</w:t>
                  </w:r>
                  <w:r>
                    <w:rPr>
                      <w:rFonts w:cs="Times New Roman" w:hint="eastAsia"/>
                      <w:color w:val="auto"/>
                      <w:kern w:val="0"/>
                      <w:sz w:val="21"/>
                      <w:szCs w:val="21"/>
                      <w:vertAlign w:val="superscript"/>
                      <w:lang w:val="en-US" w:eastAsia="zh-CN"/>
                      <w:highlight w:val="none"/>
                    </w:rPr>
                    <w:t>3</w:t>
                  </w:r>
                  <w:r>
                    <w:rPr>
                      <w:rFonts w:ascii="Times New Roman" w:eastAsia="宋体" w:cs="Times New Roman" w:hAnsi="Times New Roman"/>
                      <w:color w:val="auto"/>
                      <w:kern w:val="0"/>
                      <w:sz w:val="21"/>
                      <w:szCs w:val="21"/>
                      <w:vertAlign w:val="superscript"/>
                      <w:lang w:val="en-US" w:eastAsia="zh-CN"/>
                      <w:highlight w:val="none"/>
                    </w:rPr>
                    <w:t>/</w:t>
                  </w:r>
                  <w:r>
                    <w:rPr>
                      <w:rFonts w:ascii="Times New Roman" w:eastAsia="宋体" w:cs="Times New Roman" w:hAnsi="Times New Roman"/>
                      <w:color w:val="auto"/>
                      <w:kern w:val="0"/>
                      <w:sz w:val="21"/>
                      <w:szCs w:val="21"/>
                      <w:lang w:val="en-US" w:eastAsia="zh-CN"/>
                      <w:highlight w:val="none"/>
                    </w:rPr>
                    <w:t>d，其中栾城区境内用水量为10.93万m</w:t>
                  </w:r>
                  <w:r>
                    <w:rPr>
                      <w:rFonts w:cs="Times New Roman" w:hint="eastAsia"/>
                      <w:color w:val="auto"/>
                      <w:kern w:val="0"/>
                      <w:sz w:val="21"/>
                      <w:szCs w:val="21"/>
                      <w:vertAlign w:val="superscript"/>
                      <w:lang w:val="en-US" w:eastAsia="zh-CN"/>
                      <w:highlight w:val="none"/>
                    </w:rPr>
                    <w:t>3</w:t>
                  </w:r>
                  <w:r>
                    <w:rPr>
                      <w:rFonts w:ascii="Times New Roman" w:eastAsia="宋体" w:cs="Times New Roman" w:hAnsi="Times New Roman"/>
                      <w:color w:val="auto"/>
                      <w:kern w:val="0"/>
                      <w:sz w:val="21"/>
                      <w:szCs w:val="21"/>
                      <w:vertAlign w:val="superscript"/>
                      <w:lang w:val="en-US" w:eastAsia="zh-CN"/>
                      <w:highlight w:val="none"/>
                    </w:rPr>
                    <w:t>/</w:t>
                  </w:r>
                  <w:r>
                    <w:rPr>
                      <w:rFonts w:ascii="Times New Roman" w:eastAsia="宋体" w:cs="Times New Roman" w:hAnsi="Times New Roman"/>
                      <w:color w:val="auto"/>
                      <w:kern w:val="0"/>
                      <w:sz w:val="21"/>
                      <w:szCs w:val="21"/>
                      <w:lang w:val="en-US" w:eastAsia="zh-CN"/>
                      <w:highlight w:val="none"/>
                    </w:rPr>
                    <w:t>d、元氏县境内用水量为0.77万m</w:t>
                  </w:r>
                  <w:r>
                    <w:rPr>
                      <w:rFonts w:cs="Times New Roman" w:hint="eastAsia"/>
                      <w:color w:val="auto"/>
                      <w:kern w:val="0"/>
                      <w:sz w:val="21"/>
                      <w:szCs w:val="21"/>
                      <w:vertAlign w:val="superscript"/>
                      <w:lang w:val="en-US" w:eastAsia="zh-CN"/>
                      <w:highlight w:val="none"/>
                    </w:rPr>
                    <w:t>3</w:t>
                  </w:r>
                  <w:r>
                    <w:rPr>
                      <w:rFonts w:ascii="Times New Roman" w:eastAsia="宋体" w:cs="Times New Roman" w:hAnsi="Times New Roman"/>
                      <w:color w:val="auto"/>
                      <w:kern w:val="0"/>
                      <w:sz w:val="21"/>
                      <w:szCs w:val="21"/>
                      <w:vertAlign w:val="superscript"/>
                      <w:lang w:val="en-US" w:eastAsia="zh-CN"/>
                      <w:highlight w:val="none"/>
                    </w:rPr>
                    <w:t>/</w:t>
                  </w:r>
                  <w:r>
                    <w:rPr>
                      <w:rFonts w:ascii="Times New Roman" w:eastAsia="宋体" w:cs="Times New Roman" w:hAnsi="Times New Roman"/>
                      <w:color w:val="auto"/>
                      <w:kern w:val="0"/>
                      <w:sz w:val="21"/>
                      <w:szCs w:val="21"/>
                      <w:lang w:val="en-US" w:eastAsia="zh-CN"/>
                      <w:highlight w:val="none"/>
                    </w:rPr>
                    <w:t>d。规划新建园区东地表水厂</w:t>
                  </w:r>
                  <w:r>
                    <w:rPr>
                      <w:rFonts w:cs="Times New Roman" w:hint="eastAsia"/>
                      <w:color w:val="auto"/>
                      <w:kern w:val="0"/>
                      <w:sz w:val="21"/>
                      <w:szCs w:val="21"/>
                      <w:lang w:val="en-US" w:eastAsia="zh-CN"/>
                      <w:highlight w:val="none"/>
                    </w:rPr>
                    <w:t>（</w:t>
                  </w:r>
                  <w:r>
                    <w:rPr>
                      <w:rFonts w:ascii="Times New Roman" w:eastAsia="宋体" w:cs="Times New Roman" w:hAnsi="Times New Roman"/>
                      <w:color w:val="auto"/>
                      <w:kern w:val="0"/>
                      <w:sz w:val="21"/>
                      <w:szCs w:val="21"/>
                      <w:lang w:val="en-US" w:eastAsia="zh-CN"/>
                      <w:highlight w:val="none"/>
                    </w:rPr>
                    <w:t>石家庄装备制造产业园第一水厂</w:t>
                  </w:r>
                  <w:r>
                    <w:rPr>
                      <w:rFonts w:cs="Times New Roman" w:hint="eastAsia"/>
                      <w:color w:val="auto"/>
                      <w:kern w:val="0"/>
                      <w:sz w:val="21"/>
                      <w:szCs w:val="21"/>
                      <w:lang w:val="en-US" w:eastAsia="zh-CN"/>
                      <w:highlight w:val="none"/>
                    </w:rPr>
                    <w:t>）</w:t>
                  </w:r>
                  <w:r>
                    <w:rPr>
                      <w:rFonts w:ascii="Times New Roman" w:eastAsia="宋体" w:cs="Times New Roman" w:hAnsi="Times New Roman"/>
                      <w:color w:val="auto"/>
                      <w:kern w:val="0"/>
                      <w:sz w:val="21"/>
                      <w:szCs w:val="21"/>
                      <w:lang w:val="en-US" w:eastAsia="zh-CN"/>
                      <w:highlight w:val="none"/>
                    </w:rPr>
                    <w:t>，扩建城区地表水厂</w:t>
                  </w:r>
                  <w:r>
                    <w:rPr>
                      <w:rFonts w:cs="Times New Roman" w:hint="eastAsia"/>
                      <w:color w:val="auto"/>
                      <w:kern w:val="0"/>
                      <w:sz w:val="21"/>
                      <w:szCs w:val="21"/>
                      <w:lang w:val="en-US" w:eastAsia="zh-CN"/>
                      <w:highlight w:val="none"/>
                    </w:rPr>
                    <w:t>（</w:t>
                  </w:r>
                  <w:r>
                    <w:rPr>
                      <w:rFonts w:ascii="Times New Roman" w:eastAsia="宋体" w:cs="Times New Roman" w:hAnsi="Times New Roman"/>
                      <w:color w:val="auto"/>
                      <w:kern w:val="0"/>
                      <w:sz w:val="21"/>
                      <w:szCs w:val="21"/>
                      <w:lang w:val="en-US" w:eastAsia="zh-CN"/>
                      <w:highlight w:val="none"/>
                    </w:rPr>
                    <w:t>栾城区供水服务中心</w:t>
                  </w:r>
                  <w:r>
                    <w:rPr>
                      <w:rFonts w:cs="Times New Roman" w:hint="eastAsia"/>
                      <w:color w:val="auto"/>
                      <w:kern w:val="0"/>
                      <w:sz w:val="21"/>
                      <w:szCs w:val="21"/>
                      <w:lang w:val="en-US" w:eastAsia="zh-CN"/>
                      <w:highlight w:val="none"/>
                    </w:rPr>
                    <w:t>）</w:t>
                  </w:r>
                  <w:r>
                    <w:rPr>
                      <w:rFonts w:ascii="Times New Roman" w:eastAsia="宋体" w:cs="Times New Roman" w:hAnsi="Times New Roman"/>
                      <w:color w:val="auto"/>
                      <w:kern w:val="0"/>
                      <w:sz w:val="21"/>
                      <w:szCs w:val="21"/>
                      <w:lang w:val="en-US" w:eastAsia="zh-CN"/>
                      <w:highlight w:val="none"/>
                    </w:rPr>
                    <w:t>，保留中瀚水务地表水厂</w:t>
                  </w:r>
                  <w:r>
                    <w:rPr>
                      <w:rFonts w:cs="Times New Roman" w:hint="eastAsia"/>
                      <w:color w:val="auto"/>
                      <w:kern w:val="0"/>
                      <w:sz w:val="21"/>
                      <w:szCs w:val="21"/>
                      <w:lang w:val="en-US" w:eastAsia="zh-CN"/>
                      <w:highlight w:val="none"/>
                    </w:rPr>
                    <w:t>（</w:t>
                  </w:r>
                  <w:r>
                    <w:rPr>
                      <w:rFonts w:ascii="Times New Roman" w:eastAsia="宋体" w:cs="Times New Roman" w:hAnsi="Times New Roman"/>
                      <w:color w:val="auto"/>
                      <w:kern w:val="0"/>
                      <w:sz w:val="21"/>
                      <w:szCs w:val="21"/>
                      <w:lang w:val="en-US" w:eastAsia="zh-CN"/>
                      <w:highlight w:val="none"/>
                    </w:rPr>
                    <w:t>栾城区供水服务中心</w:t>
                  </w:r>
                  <w:r>
                    <w:rPr>
                      <w:rFonts w:cs="Times New Roman" w:hint="eastAsia"/>
                      <w:color w:val="auto"/>
                      <w:kern w:val="0"/>
                      <w:sz w:val="21"/>
                      <w:szCs w:val="21"/>
                      <w:lang w:val="en-US" w:eastAsia="zh-CN"/>
                      <w:highlight w:val="none"/>
                    </w:rPr>
                    <w:t>）</w:t>
                  </w:r>
                  <w:r>
                    <w:rPr>
                      <w:rFonts w:ascii="Times New Roman" w:eastAsia="宋体" w:cs="Times New Roman" w:hAnsi="Times New Roman"/>
                      <w:color w:val="auto"/>
                      <w:kern w:val="0"/>
                      <w:sz w:val="21"/>
                      <w:szCs w:val="21"/>
                      <w:lang w:val="en-US" w:eastAsia="zh-CN"/>
                      <w:highlight w:val="none"/>
                    </w:rPr>
                    <w:t>和栾城区第一水厂</w:t>
                  </w:r>
                  <w:r>
                    <w:rPr>
                      <w:rFonts w:cs="Times New Roman" w:hint="eastAsia"/>
                      <w:color w:val="auto"/>
                      <w:kern w:val="0"/>
                      <w:sz w:val="21"/>
                      <w:szCs w:val="21"/>
                      <w:lang w:val="en-US" w:eastAsia="zh-CN"/>
                      <w:highlight w:val="none"/>
                    </w:rPr>
                    <w:t>（</w:t>
                  </w:r>
                  <w:r>
                    <w:rPr>
                      <w:rFonts w:ascii="Times New Roman" w:eastAsia="宋体" w:cs="Times New Roman" w:hAnsi="Times New Roman"/>
                      <w:color w:val="auto"/>
                      <w:kern w:val="0"/>
                      <w:sz w:val="21"/>
                      <w:szCs w:val="21"/>
                      <w:lang w:val="en-US" w:eastAsia="zh-CN"/>
                      <w:highlight w:val="none"/>
                    </w:rPr>
                    <w:t>苏邱供水厂</w:t>
                  </w:r>
                  <w:r>
                    <w:rPr>
                      <w:rFonts w:cs="Times New Roman" w:hint="eastAsia"/>
                      <w:color w:val="auto"/>
                      <w:kern w:val="0"/>
                      <w:sz w:val="21"/>
                      <w:szCs w:val="21"/>
                      <w:lang w:val="en-US" w:eastAsia="zh-CN"/>
                      <w:highlight w:val="none"/>
                    </w:rPr>
                    <w:t>）</w:t>
                  </w:r>
                  <w:r>
                    <w:rPr>
                      <w:rFonts w:ascii="Times New Roman" w:eastAsia="宋体" w:cs="Times New Roman" w:hAnsi="Times New Roman"/>
                      <w:color w:val="auto"/>
                      <w:kern w:val="0"/>
                      <w:sz w:val="21"/>
                      <w:szCs w:val="21"/>
                      <w:lang w:val="en-US" w:eastAsia="zh-CN"/>
                      <w:highlight w:val="none"/>
                    </w:rPr>
                    <w:t>，将原绿源污水处理厂改建为再生水厂。</w:t>
                  </w:r>
                </w:p>
                <w:p>
                  <w:pPr>
                    <w:keepNext w:val="0"/>
                    <w:keepLines w:val="0"/>
                    <w:widowControl/>
                    <w:suppressLineNumbers w:val="0"/>
                    <w:jc w:val="both"/>
                    <w:rPr>
                      <w:rFonts w:ascii="Times New Roman" w:cs="Times New Roman" w:hAnsi="Times New Roman" w:hint="eastAsia"/>
                      <w:b/>
                      <w:bCs/>
                      <w:color w:val="auto"/>
                      <w:sz w:val="21"/>
                      <w:szCs w:val="21"/>
                      <w:lang w:val="en-US" w:eastAsia="zh-CN"/>
                      <w:highlight w:val="none"/>
                    </w:rPr>
                  </w:pPr>
                  <w:r>
                    <w:rPr>
                      <w:rFonts w:ascii="Times New Roman" w:eastAsia="宋体" w:cs="Times New Roman" w:hAnsi="Times New Roman"/>
                      <w:color w:val="auto"/>
                      <w:kern w:val="0"/>
                      <w:sz w:val="21"/>
                      <w:szCs w:val="21"/>
                      <w:lang w:val="en-US" w:eastAsia="zh-CN"/>
                      <w:highlight w:val="none"/>
                    </w:rPr>
                    <w:t>园区方西大街以西栾城区境内由中瀚水务地表水厂、园区东地表水厂联合供给，方西大街以西元氏境内由元氏县华电水厂供给，方西大街以东由城区地表水厂供给，栾城区第一供水厂作为应急水源。</w:t>
                  </w:r>
                </w:p>
              </w:tc>
              <w:tc>
                <w:tcPr>
                  <w:tcW w:w="2930" w:type="dxa"/>
                  <w:tcBorders>
                    <w:tl2br w:val="nil"/>
                    <w:tr2bl w:val="nil"/>
                  </w:tcBorders>
                  <w:vAlign w:val="center"/>
                </w:tcPr>
                <w:p>
                  <w:pPr>
                    <w:pStyle w:val="56"/>
                    <w:keepNext w:val="0"/>
                    <w:keepLines w:val="0"/>
                    <w:pageBreakBefore w:val="0"/>
                    <w:widowControl w:val="0"/>
                    <w:kinsoku/>
                    <w:wordWrap/>
                    <w:overflowPunct/>
                    <w:topLinePunct w:val="0"/>
                    <w:autoSpaceDE/>
                    <w:autoSpaceDN/>
                    <w:bidi w:val="0"/>
                    <w:adjustRightInd w:val="0"/>
                    <w:snapToGrid/>
                    <w:spacing w:line="240" w:lineRule="auto"/>
                    <w:ind w:firstLineChars="0" w:firstLine="0"/>
                    <w:jc w:val="center"/>
                    <w:textAlignment w:val="baseline"/>
                    <w:rPr>
                      <w:rFonts w:ascii="Times New Roman" w:eastAsia="宋体" w:cs="Times New Roman" w:hAnsi="Times New Roman"/>
                      <w:b/>
                      <w:bCs/>
                      <w:color w:val="auto"/>
                      <w:sz w:val="21"/>
                      <w:szCs w:val="21"/>
                      <w:lang w:val="en-US" w:eastAsia="zh-CN"/>
                      <w:highlight w:val="none"/>
                    </w:rPr>
                  </w:pPr>
                  <w:r>
                    <w:rPr>
                      <w:rFonts w:ascii="Times New Roman" w:cs="Times New Roman" w:hAnsi="Times New Roman"/>
                      <w:b w:val="0"/>
                      <w:bCs w:val="0"/>
                      <w:color w:val="auto"/>
                      <w:sz w:val="21"/>
                      <w:szCs w:val="21"/>
                      <w:highlight w:val="none"/>
                    </w:rPr>
                    <w:t>项目新鲜水由园区供水管网供给</w:t>
                  </w:r>
                  <w:r>
                    <w:rPr>
                      <w:rFonts w:cs="Times New Roman" w:hint="eastAsia"/>
                      <w:color w:val="auto"/>
                      <w:sz w:val="21"/>
                      <w:szCs w:val="21"/>
                      <w:lang w:eastAsia="zh-CN"/>
                      <w:highlight w:val="none"/>
                    </w:rPr>
                    <w:t>，</w:t>
                  </w:r>
                  <w:r>
                    <w:rPr>
                      <w:rFonts w:ascii="Times New Roman" w:eastAsia="宋体" w:cs="Times New Roman" w:hAnsi="Times New Roman" w:hint="eastAsia"/>
                      <w:color w:val="auto"/>
                      <w:sz w:val="21"/>
                      <w:szCs w:val="21"/>
                      <w:lang w:val="en-US" w:eastAsia="zh-CN"/>
                      <w:highlight w:val="none"/>
                    </w:rPr>
                    <w:t>取水水源</w:t>
                  </w:r>
                  <w:r>
                    <w:rPr>
                      <w:rFonts w:cs="Times New Roman" w:hint="eastAsia"/>
                      <w:color w:val="auto"/>
                      <w:sz w:val="21"/>
                      <w:szCs w:val="21"/>
                      <w:lang w:val="en-US" w:eastAsia="zh-CN"/>
                      <w:highlight w:val="none"/>
                    </w:rPr>
                    <w:t>由</w:t>
                  </w:r>
                  <w:r>
                    <w:rPr>
                      <w:rFonts w:ascii="Times New Roman" w:eastAsia="宋体" w:cs="Times New Roman" w:hAnsi="Times New Roman" w:hint="eastAsia"/>
                      <w:color w:val="auto"/>
                      <w:kern w:val="0"/>
                      <w:sz w:val="21"/>
                      <w:szCs w:val="21"/>
                      <w:lang w:val="en-US" w:eastAsia="zh-CN" w:bidi="ar-SA"/>
                      <w:highlight w:val="none"/>
                    </w:rPr>
                    <w:t>园区东地表水厂</w:t>
                  </w:r>
                  <w:r>
                    <w:rPr>
                      <w:rFonts w:cs="Times New Roman" w:hint="eastAsia"/>
                      <w:color w:val="auto"/>
                      <w:kern w:val="0"/>
                      <w:sz w:val="21"/>
                      <w:szCs w:val="21"/>
                      <w:lang w:val="en-US" w:eastAsia="zh-CN" w:bidi="ar-SA"/>
                      <w:highlight w:val="none"/>
                    </w:rPr>
                    <w:t>供给</w:t>
                  </w:r>
                  <w:r>
                    <w:rPr>
                      <w:rFonts w:cs="Times New Roman" w:hint="eastAsia"/>
                      <w:color w:val="auto"/>
                      <w:sz w:val="21"/>
                      <w:szCs w:val="21"/>
                      <w:lang w:val="en-US" w:eastAsia="zh-CN"/>
                      <w:highlight w:val="none"/>
                    </w:rPr>
                    <w:t>。</w:t>
                  </w:r>
                </w:p>
              </w:tc>
            </w:tr>
            <w:tr>
              <w:trPr>
                <w:trHeight w:val="524"/>
              </w:trPr>
              <w:tc>
                <w:tcPr>
                  <w:tcW w:w="559" w:type="dxa"/>
                  <w:tcBorders>
                    <w:tl2br w:val="nil"/>
                    <w:tr2bl w:val="nil"/>
                  </w:tcBorders>
                  <w:vAlign w:val="center"/>
                </w:tcPr>
                <w:p>
                  <w:pPr>
                    <w:pStyle w:val="56"/>
                    <w:keepNext w:val="0"/>
                    <w:keepLines w:val="0"/>
                    <w:pageBreakBefore w:val="0"/>
                    <w:widowControl w:val="0"/>
                    <w:kinsoku/>
                    <w:wordWrap/>
                    <w:overflowPunct/>
                    <w:topLinePunct w:val="0"/>
                    <w:autoSpaceDE/>
                    <w:autoSpaceDN/>
                    <w:bidi w:val="0"/>
                    <w:adjustRightInd w:val="0"/>
                    <w:snapToGrid/>
                    <w:spacing w:line="240" w:lineRule="auto"/>
                    <w:ind w:firstLineChars="0" w:firstLine="0"/>
                    <w:jc w:val="center"/>
                    <w:textAlignment w:val="baseline"/>
                    <w:rPr>
                      <w:rFonts w:ascii="Times New Roman" w:cs="Times New Roman" w:hAnsi="Times New Roman" w:hint="eastAsia"/>
                      <w:b/>
                      <w:bCs/>
                      <w:color w:val="auto"/>
                      <w:sz w:val="21"/>
                      <w:szCs w:val="21"/>
                      <w:lang w:val="en-US" w:eastAsia="zh-CN"/>
                      <w:highlight w:val="none"/>
                    </w:rPr>
                  </w:pPr>
                  <w:r>
                    <w:rPr>
                      <w:rFonts w:ascii="Times New Roman" w:eastAsia="宋体" w:cs="Times New Roman" w:hAnsi="Times New Roman"/>
                      <w:color w:val="auto"/>
                      <w:sz w:val="21"/>
                      <w:szCs w:val="21"/>
                      <w:highlight w:val="none"/>
                    </w:rPr>
                    <w:t>排水</w:t>
                  </w:r>
                </w:p>
              </w:tc>
              <w:tc>
                <w:tcPr>
                  <w:tcW w:w="4107" w:type="dxa"/>
                  <w:tcBorders>
                    <w:tl2br w:val="nil"/>
                    <w:tr2bl w:val="nil"/>
                  </w:tcBorders>
                  <w:vAlign w:val="center"/>
                </w:tcPr>
                <w:p>
                  <w:pPr>
                    <w:keepNext w:val="0"/>
                    <w:keepLines w:val="0"/>
                    <w:widowControl/>
                    <w:suppressLineNumbers w:val="0"/>
                    <w:jc w:val="both"/>
                    <w:rPr>
                      <w:rFonts w:ascii="Times New Roman" w:eastAsia="宋体" w:cs="Times New Roman" w:hAnsi="Times New Roman" w:hint="eastAsia"/>
                      <w:color w:val="auto"/>
                      <w:kern w:val="0"/>
                      <w:sz w:val="21"/>
                      <w:szCs w:val="21"/>
                      <w:lang w:val="en-US" w:eastAsia="zh-CN" w:bidi="ar-SA"/>
                      <w:highlight w:val="none"/>
                    </w:rPr>
                  </w:pPr>
                  <w:r>
                    <w:rPr>
                      <w:rFonts w:ascii="Times New Roman" w:eastAsia="宋体" w:cs="Times New Roman" w:hAnsi="Times New Roman" w:hint="eastAsia"/>
                      <w:color w:val="auto"/>
                      <w:kern w:val="0"/>
                      <w:sz w:val="21"/>
                      <w:szCs w:val="21"/>
                      <w:lang w:val="en-US" w:eastAsia="zh-CN" w:bidi="ar-SA"/>
                      <w:highlight w:val="none"/>
                    </w:rPr>
                    <w:t>根据园区用地特点，采用不同类别用地用水量对污水量进行预测，规划远期园区总污水量约为</w:t>
                  </w:r>
                  <w:r>
                    <w:rPr>
                      <w:rFonts w:cs="Times New Roman" w:hint="eastAsia"/>
                      <w:color w:val="auto"/>
                      <w:kern w:val="0"/>
                      <w:sz w:val="21"/>
                      <w:szCs w:val="21"/>
                      <w:lang w:val="en-US" w:eastAsia="zh-CN" w:bidi="ar-SA"/>
                      <w:highlight w:val="none"/>
                    </w:rPr>
                    <w:t>5.95</w:t>
                  </w:r>
                  <w:r>
                    <w:rPr>
                      <w:rFonts w:ascii="Times New Roman" w:eastAsia="宋体" w:cs="Times New Roman" w:hAnsi="Times New Roman" w:hint="eastAsia"/>
                      <w:color w:val="auto"/>
                      <w:kern w:val="0"/>
                      <w:sz w:val="21"/>
                      <w:szCs w:val="21"/>
                      <w:lang w:val="en-US" w:eastAsia="zh-CN" w:bidi="ar-SA"/>
                      <w:highlight w:val="none"/>
                    </w:rPr>
                    <w:t>万</w:t>
                  </w:r>
                  <w:r>
                    <w:rPr>
                      <w:rFonts w:ascii="Times New Roman" w:eastAsia="宋体" w:cs="Times New Roman" w:hAnsi="Times New Roman"/>
                      <w:color w:val="auto"/>
                      <w:kern w:val="0"/>
                      <w:sz w:val="21"/>
                      <w:szCs w:val="21"/>
                      <w:lang w:val="en-US" w:eastAsia="zh-CN" w:bidi="ar-SA"/>
                      <w:highlight w:val="none"/>
                    </w:rPr>
                    <w:t>m</w:t>
                  </w:r>
                  <w:r>
                    <w:rPr>
                      <w:rFonts w:ascii="Times New Roman" w:eastAsia="宋体" w:cs="Times New Roman" w:hAnsi="Times New Roman"/>
                      <w:color w:val="auto"/>
                      <w:kern w:val="0"/>
                      <w:sz w:val="21"/>
                      <w:szCs w:val="21"/>
                      <w:vertAlign w:val="superscript"/>
                      <w:lang w:val="en-US" w:eastAsia="zh-CN" w:bidi="ar-SA"/>
                      <w:highlight w:val="none"/>
                    </w:rPr>
                    <w:t>3</w:t>
                  </w:r>
                  <w:r>
                    <w:rPr>
                      <w:rFonts w:ascii="Times New Roman" w:eastAsia="宋体" w:cs="Times New Roman" w:hAnsi="Times New Roman"/>
                      <w:color w:val="auto"/>
                      <w:kern w:val="0"/>
                      <w:sz w:val="21"/>
                      <w:szCs w:val="21"/>
                      <w:lang w:val="en-US" w:eastAsia="zh-CN" w:bidi="ar-SA"/>
                      <w:highlight w:val="none"/>
                    </w:rPr>
                    <w:t>/d</w:t>
                  </w:r>
                  <w:r>
                    <w:rPr>
                      <w:rFonts w:ascii="Times New Roman" w:eastAsia="宋体" w:cs="Times New Roman" w:hAnsi="Times New Roman" w:hint="eastAsia"/>
                      <w:color w:val="auto"/>
                      <w:kern w:val="0"/>
                      <w:sz w:val="21"/>
                      <w:szCs w:val="21"/>
                      <w:lang w:val="en-US" w:eastAsia="zh-CN" w:bidi="ar-SA"/>
                      <w:highlight w:val="none"/>
                    </w:rPr>
                    <w:t>，其中栾城区境内污水量约为</w:t>
                  </w:r>
                  <w:r>
                    <w:rPr>
                      <w:rFonts w:cs="Times New Roman" w:hint="eastAsia"/>
                      <w:color w:val="auto"/>
                      <w:kern w:val="0"/>
                      <w:sz w:val="21"/>
                      <w:szCs w:val="21"/>
                      <w:lang w:val="en-US" w:eastAsia="zh-CN" w:bidi="ar-SA"/>
                      <w:highlight w:val="none"/>
                    </w:rPr>
                    <w:t>5.52</w:t>
                  </w:r>
                  <w:r>
                    <w:rPr>
                      <w:rFonts w:ascii="Times New Roman" w:eastAsia="宋体" w:cs="Times New Roman" w:hAnsi="Times New Roman" w:hint="eastAsia"/>
                      <w:color w:val="auto"/>
                      <w:kern w:val="0"/>
                      <w:sz w:val="21"/>
                      <w:szCs w:val="21"/>
                      <w:lang w:val="en-US" w:eastAsia="zh-CN" w:bidi="ar-SA"/>
                      <w:highlight w:val="none"/>
                    </w:rPr>
                    <w:t>万</w:t>
                  </w:r>
                  <w:r>
                    <w:rPr>
                      <w:rFonts w:ascii="Times New Roman" w:eastAsia="宋体" w:cs="Times New Roman" w:hAnsi="Times New Roman"/>
                      <w:color w:val="auto"/>
                      <w:kern w:val="0"/>
                      <w:sz w:val="21"/>
                      <w:szCs w:val="21"/>
                      <w:lang w:val="en-US" w:eastAsia="zh-CN" w:bidi="ar-SA"/>
                      <w:highlight w:val="none"/>
                    </w:rPr>
                    <w:t>m</w:t>
                  </w:r>
                  <w:r>
                    <w:rPr>
                      <w:rFonts w:ascii="Times New Roman" w:eastAsia="宋体" w:cs="Times New Roman" w:hAnsi="Times New Roman"/>
                      <w:color w:val="auto"/>
                      <w:kern w:val="0"/>
                      <w:sz w:val="21"/>
                      <w:szCs w:val="21"/>
                      <w:vertAlign w:val="superscript"/>
                      <w:lang w:val="en-US" w:eastAsia="zh-CN" w:bidi="ar-SA"/>
                      <w:highlight w:val="none"/>
                    </w:rPr>
                    <w:t>3</w:t>
                  </w:r>
                  <w:r>
                    <w:rPr>
                      <w:rFonts w:ascii="Times New Roman" w:eastAsia="宋体" w:cs="Times New Roman" w:hAnsi="Times New Roman"/>
                      <w:color w:val="auto"/>
                      <w:kern w:val="0"/>
                      <w:sz w:val="21"/>
                      <w:szCs w:val="21"/>
                      <w:lang w:val="en-US" w:eastAsia="zh-CN" w:bidi="ar-SA"/>
                      <w:highlight w:val="none"/>
                    </w:rPr>
                    <w:t>/d</w:t>
                  </w:r>
                  <w:r>
                    <w:rPr>
                      <w:rFonts w:ascii="Times New Roman" w:eastAsia="宋体" w:cs="Times New Roman" w:hAnsi="Times New Roman" w:hint="eastAsia"/>
                      <w:color w:val="auto"/>
                      <w:kern w:val="0"/>
                      <w:sz w:val="21"/>
                      <w:szCs w:val="21"/>
                      <w:lang w:val="en-US" w:eastAsia="zh-CN" w:bidi="ar-SA"/>
                      <w:highlight w:val="none"/>
                    </w:rPr>
                    <w:t>、元氏县境内污水量约为</w:t>
                  </w:r>
                  <w:r>
                    <w:rPr>
                      <w:rFonts w:ascii="Times New Roman" w:eastAsia="宋体" w:cs="Times New Roman" w:hAnsi="Times New Roman"/>
                      <w:color w:val="auto"/>
                      <w:kern w:val="0"/>
                      <w:sz w:val="21"/>
                      <w:szCs w:val="21"/>
                      <w:lang w:val="en-US" w:eastAsia="zh-CN" w:bidi="ar-SA"/>
                      <w:highlight w:val="none"/>
                    </w:rPr>
                    <w:t>0.4</w:t>
                  </w:r>
                  <w:r>
                    <w:rPr>
                      <w:rFonts w:cs="Times New Roman" w:hint="eastAsia"/>
                      <w:color w:val="auto"/>
                      <w:kern w:val="0"/>
                      <w:sz w:val="21"/>
                      <w:szCs w:val="21"/>
                      <w:lang w:val="en-US" w:eastAsia="zh-CN" w:bidi="ar-SA"/>
                      <w:highlight w:val="none"/>
                    </w:rPr>
                    <w:t>4</w:t>
                  </w:r>
                  <w:r>
                    <w:rPr>
                      <w:rFonts w:ascii="Times New Roman" w:eastAsia="宋体" w:cs="Times New Roman" w:hAnsi="Times New Roman" w:hint="eastAsia"/>
                      <w:color w:val="auto"/>
                      <w:kern w:val="0"/>
                      <w:sz w:val="21"/>
                      <w:szCs w:val="21"/>
                      <w:lang w:val="en-US" w:eastAsia="zh-CN" w:bidi="ar-SA"/>
                      <w:highlight w:val="none"/>
                    </w:rPr>
                    <w:t>万</w:t>
                  </w:r>
                  <w:r>
                    <w:rPr>
                      <w:rFonts w:ascii="Times New Roman" w:eastAsia="宋体" w:cs="Times New Roman" w:hAnsi="Times New Roman"/>
                      <w:color w:val="auto"/>
                      <w:kern w:val="0"/>
                      <w:sz w:val="21"/>
                      <w:szCs w:val="21"/>
                      <w:lang w:val="en-US" w:eastAsia="zh-CN" w:bidi="ar-SA"/>
                      <w:highlight w:val="none"/>
                    </w:rPr>
                    <w:t>m</w:t>
                  </w:r>
                  <w:r>
                    <w:rPr>
                      <w:rFonts w:ascii="Times New Roman" w:eastAsia="宋体" w:cs="Times New Roman" w:hAnsi="Times New Roman"/>
                      <w:color w:val="auto"/>
                      <w:kern w:val="0"/>
                      <w:sz w:val="21"/>
                      <w:szCs w:val="21"/>
                      <w:vertAlign w:val="superscript"/>
                      <w:lang w:val="en-US" w:eastAsia="zh-CN" w:bidi="ar-SA"/>
                      <w:highlight w:val="none"/>
                    </w:rPr>
                    <w:t>3</w:t>
                  </w:r>
                  <w:r>
                    <w:rPr>
                      <w:rFonts w:ascii="Times New Roman" w:eastAsia="宋体" w:cs="Times New Roman" w:hAnsi="Times New Roman"/>
                      <w:color w:val="auto"/>
                      <w:kern w:val="0"/>
                      <w:sz w:val="21"/>
                      <w:szCs w:val="21"/>
                      <w:lang w:val="en-US" w:eastAsia="zh-CN" w:bidi="ar-SA"/>
                      <w:highlight w:val="none"/>
                    </w:rPr>
                    <w:t>/d</w:t>
                  </w:r>
                  <w:r>
                    <w:rPr>
                      <w:rFonts w:ascii="Times New Roman" w:eastAsia="宋体" w:cs="Times New Roman" w:hAnsi="Times New Roman" w:hint="eastAsia"/>
                      <w:color w:val="auto"/>
                      <w:kern w:val="0"/>
                      <w:sz w:val="21"/>
                      <w:szCs w:val="21"/>
                      <w:lang w:val="en-US" w:eastAsia="zh-CN" w:bidi="ar-SA"/>
                      <w:highlight w:val="none"/>
                    </w:rPr>
                    <w:t>。规划保留洨河西污水处理厂和城区污水处理厂，并在城区污水处理厂内增加提标处理工艺设施。</w:t>
                  </w:r>
                </w:p>
                <w:p>
                  <w:pPr>
                    <w:keepNext w:val="0"/>
                    <w:keepLines w:val="0"/>
                    <w:widowControl/>
                    <w:suppressLineNumbers w:val="0"/>
                    <w:jc w:val="both"/>
                    <w:rPr>
                      <w:rFonts w:ascii="Times New Roman" w:eastAsia="宋体" w:cs="Times New Roman" w:hAnsi="Times New Roman" w:hint="eastAsia"/>
                      <w:color w:val="auto"/>
                      <w:sz w:val="21"/>
                      <w:szCs w:val="21"/>
                      <w:lang w:val="en-US" w:eastAsia="zh-CN"/>
                      <w:highlight w:val="none"/>
                    </w:rPr>
                  </w:pPr>
                  <w:r>
                    <w:rPr>
                      <w:rFonts w:ascii="Times New Roman" w:eastAsia="宋体" w:cs="Times New Roman" w:hAnsi="Times New Roman" w:hint="eastAsia"/>
                      <w:color w:val="auto"/>
                      <w:kern w:val="0"/>
                      <w:sz w:val="21"/>
                      <w:szCs w:val="21"/>
                      <w:lang w:val="en-US" w:eastAsia="zh-CN" w:bidi="ar-SA"/>
                      <w:highlight w:val="none"/>
                    </w:rPr>
                    <w:t>洨河西污水处理厂</w:t>
                  </w:r>
                  <w:r>
                    <w:rPr>
                      <w:rFonts w:cs="Times New Roman" w:hint="eastAsia"/>
                      <w:color w:val="auto"/>
                      <w:kern w:val="0"/>
                      <w:sz w:val="21"/>
                      <w:szCs w:val="21"/>
                      <w:lang w:val="en-US" w:eastAsia="zh-CN" w:bidi="ar-SA"/>
                      <w:highlight w:val="none"/>
                    </w:rPr>
                    <w:t>（</w:t>
                  </w:r>
                  <w:r>
                    <w:rPr>
                      <w:rFonts w:ascii="Times New Roman" w:eastAsia="宋体" w:cs="Times New Roman" w:hAnsi="Times New Roman" w:hint="eastAsia"/>
                      <w:color w:val="auto"/>
                      <w:kern w:val="0"/>
                      <w:sz w:val="21"/>
                      <w:szCs w:val="21"/>
                      <w:lang w:val="en-US" w:eastAsia="zh-CN" w:bidi="ar-SA"/>
                      <w:highlight w:val="none"/>
                    </w:rPr>
                    <w:t>栾城区绿源污水处理厂</w:t>
                  </w:r>
                  <w:r>
                    <w:rPr>
                      <w:rFonts w:cs="Times New Roman" w:hint="eastAsia"/>
                      <w:color w:val="auto"/>
                      <w:kern w:val="0"/>
                      <w:sz w:val="21"/>
                      <w:szCs w:val="21"/>
                      <w:lang w:val="en-US" w:eastAsia="zh-CN" w:bidi="ar-SA"/>
                      <w:highlight w:val="none"/>
                    </w:rPr>
                    <w:t>）</w:t>
                  </w:r>
                  <w:r>
                    <w:rPr>
                      <w:rFonts w:ascii="Times New Roman" w:eastAsia="宋体" w:cs="Times New Roman" w:hAnsi="Times New Roman" w:hint="eastAsia"/>
                      <w:color w:val="auto"/>
                      <w:kern w:val="0"/>
                      <w:sz w:val="21"/>
                      <w:szCs w:val="21"/>
                      <w:lang w:val="en-US" w:eastAsia="zh-CN" w:bidi="ar-SA"/>
                      <w:highlight w:val="none"/>
                    </w:rPr>
                    <w:t>收水范围为西部工业组团</w:t>
                  </w:r>
                  <w:r>
                    <w:rPr>
                      <w:rFonts w:cs="Times New Roman" w:hint="eastAsia"/>
                      <w:color w:val="auto"/>
                      <w:kern w:val="0"/>
                      <w:sz w:val="21"/>
                      <w:szCs w:val="21"/>
                      <w:lang w:val="en-US" w:eastAsia="zh-CN" w:bidi="ar-SA"/>
                      <w:highlight w:val="none"/>
                    </w:rPr>
                    <w:t>（</w:t>
                  </w:r>
                  <w:r>
                    <w:rPr>
                      <w:rFonts w:ascii="Times New Roman" w:eastAsia="宋体" w:cs="Times New Roman" w:hAnsi="Times New Roman" w:hint="eastAsia"/>
                      <w:color w:val="auto"/>
                      <w:kern w:val="0"/>
                      <w:sz w:val="21"/>
                      <w:szCs w:val="21"/>
                      <w:lang w:val="en-US" w:eastAsia="zh-CN" w:bidi="ar-SA"/>
                      <w:highlight w:val="none"/>
                    </w:rPr>
                    <w:t>装备制造产业园区、产业转型升级示范区栾城区境内</w:t>
                  </w:r>
                  <w:r>
                    <w:rPr>
                      <w:rFonts w:cs="Times New Roman" w:hint="eastAsia"/>
                      <w:color w:val="auto"/>
                      <w:kern w:val="0"/>
                      <w:sz w:val="21"/>
                      <w:szCs w:val="21"/>
                      <w:lang w:val="en-US" w:eastAsia="zh-CN" w:bidi="ar-SA"/>
                      <w:highlight w:val="none"/>
                    </w:rPr>
                    <w:t>）</w:t>
                  </w:r>
                  <w:r>
                    <w:rPr>
                      <w:rFonts w:ascii="Times New Roman" w:eastAsia="宋体" w:cs="Times New Roman" w:hAnsi="Times New Roman" w:hint="eastAsia"/>
                      <w:color w:val="auto"/>
                      <w:kern w:val="0"/>
                      <w:sz w:val="21"/>
                      <w:szCs w:val="21"/>
                      <w:lang w:val="en-US" w:eastAsia="zh-CN" w:bidi="ar-SA"/>
                      <w:highlight w:val="none"/>
                    </w:rPr>
                    <w:t>。城区污水处理厂</w:t>
                  </w:r>
                  <w:r>
                    <w:rPr>
                      <w:rFonts w:cs="Times New Roman" w:hint="eastAsia"/>
                      <w:color w:val="auto"/>
                      <w:kern w:val="0"/>
                      <w:sz w:val="21"/>
                      <w:szCs w:val="21"/>
                      <w:lang w:val="en-US" w:eastAsia="zh-CN" w:bidi="ar-SA"/>
                      <w:highlight w:val="none"/>
                    </w:rPr>
                    <w:t>（</w:t>
                  </w:r>
                  <w:r>
                    <w:rPr>
                      <w:rFonts w:ascii="Times New Roman" w:eastAsia="宋体" w:cs="Times New Roman" w:hAnsi="Times New Roman" w:hint="eastAsia"/>
                      <w:color w:val="auto"/>
                      <w:kern w:val="0"/>
                      <w:sz w:val="21"/>
                      <w:szCs w:val="21"/>
                      <w:lang w:val="en-US" w:eastAsia="zh-CN" w:bidi="ar-SA"/>
                      <w:highlight w:val="none"/>
                    </w:rPr>
                    <w:t>德威华泰石家庄市栾城水务有限公司</w:t>
                  </w:r>
                  <w:r>
                    <w:rPr>
                      <w:rFonts w:cs="Times New Roman" w:hint="eastAsia"/>
                      <w:color w:val="auto"/>
                      <w:kern w:val="0"/>
                      <w:sz w:val="21"/>
                      <w:szCs w:val="21"/>
                      <w:lang w:val="en-US" w:eastAsia="zh-CN" w:bidi="ar-SA"/>
                      <w:highlight w:val="none"/>
                    </w:rPr>
                    <w:t>）</w:t>
                  </w:r>
                  <w:r>
                    <w:rPr>
                      <w:rFonts w:ascii="Times New Roman" w:eastAsia="宋体" w:cs="Times New Roman" w:hAnsi="Times New Roman" w:hint="eastAsia"/>
                      <w:color w:val="auto"/>
                      <w:kern w:val="0"/>
                      <w:sz w:val="21"/>
                      <w:szCs w:val="21"/>
                      <w:lang w:val="en-US" w:eastAsia="zh-CN" w:bidi="ar-SA"/>
                      <w:highlight w:val="none"/>
                    </w:rPr>
                    <w:t>收水范围为东部工业组团</w:t>
                  </w:r>
                  <w:r>
                    <w:rPr>
                      <w:rFonts w:cs="Times New Roman" w:hint="eastAsia"/>
                      <w:color w:val="auto"/>
                      <w:kern w:val="0"/>
                      <w:sz w:val="21"/>
                      <w:szCs w:val="21"/>
                      <w:lang w:val="en-US" w:eastAsia="zh-CN" w:bidi="ar-SA"/>
                      <w:highlight w:val="none"/>
                    </w:rPr>
                    <w:t>（</w:t>
                  </w:r>
                  <w:r>
                    <w:rPr>
                      <w:rFonts w:ascii="Times New Roman" w:eastAsia="宋体" w:cs="Times New Roman" w:hAnsi="Times New Roman" w:hint="eastAsia"/>
                      <w:color w:val="auto"/>
                      <w:kern w:val="0"/>
                      <w:sz w:val="21"/>
                      <w:szCs w:val="21"/>
                      <w:lang w:val="en-US" w:eastAsia="zh-CN" w:bidi="ar-SA"/>
                      <w:highlight w:val="none"/>
                    </w:rPr>
                    <w:t>通用飞机产业园区、食品和医药产业园区</w:t>
                  </w:r>
                  <w:r>
                    <w:rPr>
                      <w:rFonts w:cs="Times New Roman" w:hint="eastAsia"/>
                      <w:color w:val="auto"/>
                      <w:kern w:val="0"/>
                      <w:sz w:val="21"/>
                      <w:szCs w:val="21"/>
                      <w:lang w:val="en-US" w:eastAsia="zh-CN" w:bidi="ar-SA"/>
                      <w:highlight w:val="none"/>
                    </w:rPr>
                    <w:t>）</w:t>
                  </w:r>
                  <w:r>
                    <w:rPr>
                      <w:rFonts w:ascii="Times New Roman" w:eastAsia="宋体" w:cs="Times New Roman" w:hAnsi="Times New Roman" w:hint="eastAsia"/>
                      <w:color w:val="auto"/>
                      <w:kern w:val="0"/>
                      <w:sz w:val="21"/>
                      <w:szCs w:val="21"/>
                      <w:lang w:val="en-US" w:eastAsia="zh-CN" w:bidi="ar-SA"/>
                      <w:highlight w:val="none"/>
                    </w:rPr>
                    <w:t>。西部工业组团中的产业转型升级示范区的元氏县境内的废水排至元氏县槐东污水厂</w:t>
                  </w:r>
                  <w:r>
                    <w:rPr>
                      <w:rFonts w:cs="Times New Roman" w:hint="eastAsia"/>
                      <w:color w:val="auto"/>
                      <w:kern w:val="0"/>
                      <w:sz w:val="21"/>
                      <w:szCs w:val="21"/>
                      <w:lang w:val="en-US" w:eastAsia="zh-CN" w:bidi="ar-SA"/>
                      <w:highlight w:val="none"/>
                    </w:rPr>
                    <w:t>。</w:t>
                  </w:r>
                </w:p>
              </w:tc>
              <w:tc>
                <w:tcPr>
                  <w:tcW w:w="2930" w:type="dxa"/>
                  <w:tcBorders>
                    <w:tl2br w:val="nil"/>
                    <w:tr2bl w:val="nil"/>
                  </w:tcBorders>
                  <w:vAlign w:val="center"/>
                </w:tcPr>
                <w:p>
                  <w:pPr>
                    <w:pStyle w:val="56"/>
                    <w:keepNext w:val="0"/>
                    <w:keepLines w:val="0"/>
                    <w:pageBreakBefore w:val="0"/>
                    <w:widowControl w:val="0"/>
                    <w:kinsoku/>
                    <w:wordWrap/>
                    <w:overflowPunct/>
                    <w:topLinePunct w:val="0"/>
                    <w:autoSpaceDE/>
                    <w:autoSpaceDN/>
                    <w:bidi w:val="0"/>
                    <w:adjustRightInd w:val="0"/>
                    <w:snapToGrid/>
                    <w:spacing w:line="240" w:lineRule="auto"/>
                    <w:ind w:firstLineChars="0" w:firstLine="0"/>
                    <w:jc w:val="both"/>
                    <w:textAlignment w:val="baseline"/>
                    <w:rPr>
                      <w:rFonts w:ascii="Times New Roman" w:eastAsia="宋体" w:cs="Times New Roman" w:hAnsi="Times New Roman" w:hint="eastAsia"/>
                      <w:color w:val="auto"/>
                      <w:sz w:val="21"/>
                      <w:szCs w:val="21"/>
                      <w:lang w:val="en-US" w:eastAsia="zh-CN"/>
                      <w:highlight w:val="none"/>
                    </w:rPr>
                  </w:pPr>
                  <w:r>
                    <w:rPr>
                      <w:rFonts w:ascii="Times New Roman" w:eastAsia="宋体" w:cs="Times New Roman" w:hAnsi="Times New Roman"/>
                      <w:color w:val="auto"/>
                      <w:kern w:val="0"/>
                      <w:sz w:val="21"/>
                      <w:szCs w:val="21"/>
                      <w:lang w:val="en-US" w:eastAsia="zh-CN" w:bidi="ar-SA"/>
                      <w:highlight w:val="none"/>
                    </w:rPr>
                    <w:t>项目</w:t>
                  </w:r>
                  <w:r>
                    <w:rPr>
                      <w:rFonts w:ascii="Times New Roman" w:eastAsia="宋体" w:cs="Times New Roman" w:hAnsi="Times New Roman" w:hint="eastAsia"/>
                      <w:color w:val="auto"/>
                      <w:kern w:val="0"/>
                      <w:sz w:val="21"/>
                      <w:szCs w:val="21"/>
                      <w:lang w:val="en-US" w:eastAsia="zh-CN" w:bidi="ar-SA"/>
                      <w:highlight w:val="none"/>
                    </w:rPr>
                    <w:t>废水主要为生活污水，</w:t>
                  </w:r>
                  <w:r>
                    <w:rPr>
                      <w:rFonts w:ascii="Times New Roman" w:eastAsia="宋体" w:cs="Times New Roman" w:hAnsi="Times New Roman"/>
                      <w:color w:val="auto"/>
                      <w:kern w:val="2"/>
                      <w:sz w:val="21"/>
                      <w:szCs w:val="21"/>
                      <w:lang w:val="en-US" w:eastAsia="zh-CN" w:bidi="ar-SA"/>
                      <w:highlight w:val="none"/>
                    </w:rPr>
                    <w:t>依托河北泽豪环保新材料科技有限公司化粪池处理后，</w:t>
                  </w:r>
                  <w:r>
                    <w:rPr>
                      <w:rFonts w:cs="Times New Roman" w:hint="eastAsia"/>
                      <w:color w:val="auto"/>
                      <w:kern w:val="2"/>
                      <w:sz w:val="21"/>
                      <w:szCs w:val="21"/>
                      <w:lang w:val="en-US" w:eastAsia="zh-CN" w:bidi="ar-SA"/>
                      <w:highlight w:val="none"/>
                    </w:rPr>
                    <w:t>定期清掏，不外排</w:t>
                  </w:r>
                  <w:r>
                    <w:rPr>
                      <w:rFonts w:ascii="Times New Roman" w:eastAsia="Segoe UI" w:cs="Times New Roman" w:hAnsi="Times New Roman"/>
                      <w:bCs w:val="0"/>
                      <w:i w:val="0"/>
                      <w:iCs w:val="0"/>
                      <w:caps w:val="0"/>
                      <w:smallCaps w:val="0"/>
                      <w:color w:val="auto"/>
                      <w:spacing w:val="0"/>
                      <w:kern w:val="0"/>
                      <w:sz w:val="21"/>
                      <w:szCs w:val="21"/>
                      <w:shd w:val="clear" w:color="auto" w:fill="FFFFFF"/>
                      <w:lang w:val="en-US" w:eastAsia="zh-CN" w:bidi="ar-SA"/>
                      <w:highlight w:val="none"/>
                    </w:rPr>
                    <w:t>。</w:t>
                  </w:r>
                </w:p>
              </w:tc>
            </w:tr>
            <w:tr>
              <w:trPr>
                <w:trHeight w:val="580"/>
              </w:trPr>
              <w:tc>
                <w:tcPr>
                  <w:tcW w:w="559" w:type="dxa"/>
                  <w:tcBorders>
                    <w:tl2br w:val="nil"/>
                    <w:tr2bl w:val="nil"/>
                  </w:tcBorders>
                  <w:vAlign w:val="center"/>
                </w:tcPr>
                <w:p>
                  <w:pPr>
                    <w:pStyle w:val="56"/>
                    <w:keepNext w:val="0"/>
                    <w:keepLines w:val="0"/>
                    <w:pageBreakBefore w:val="0"/>
                    <w:widowControl w:val="0"/>
                    <w:kinsoku/>
                    <w:wordWrap/>
                    <w:overflowPunct/>
                    <w:topLinePunct w:val="0"/>
                    <w:autoSpaceDE/>
                    <w:autoSpaceDN/>
                    <w:bidi w:val="0"/>
                    <w:adjustRightInd w:val="0"/>
                    <w:snapToGrid/>
                    <w:spacing w:line="240" w:lineRule="auto"/>
                    <w:ind w:firstLineChars="0" w:firstLine="0"/>
                    <w:jc w:val="center"/>
                    <w:textAlignment w:val="baseline"/>
                    <w:rPr>
                      <w:rFonts w:ascii="Times New Roman" w:cs="Times New Roman" w:hAnsi="Times New Roman" w:hint="eastAsia"/>
                      <w:b/>
                      <w:bCs/>
                      <w:color w:val="auto"/>
                      <w:sz w:val="21"/>
                      <w:szCs w:val="21"/>
                      <w:lang w:val="en-US" w:eastAsia="zh-CN"/>
                      <w:highlight w:val="none"/>
                    </w:rPr>
                  </w:pPr>
                  <w:r>
                    <w:rPr>
                      <w:rFonts w:ascii="Times New Roman" w:eastAsia="宋体" w:cs="Times New Roman" w:hAnsi="Times New Roman" w:hint="eastAsia"/>
                      <w:color w:val="auto"/>
                      <w:sz w:val="21"/>
                      <w:szCs w:val="21"/>
                      <w:lang w:val="en-US" w:eastAsia="zh-CN"/>
                      <w:highlight w:val="none"/>
                    </w:rPr>
                    <w:t>供热</w:t>
                  </w:r>
                </w:p>
              </w:tc>
              <w:tc>
                <w:tcPr>
                  <w:tcW w:w="4107" w:type="dxa"/>
                  <w:tcBorders>
                    <w:tl2br w:val="nil"/>
                    <w:tr2bl w:val="nil"/>
                  </w:tcBorders>
                  <w:vAlign w:val="center"/>
                </w:tcPr>
                <w:p>
                  <w:pPr>
                    <w:keepNext w:val="0"/>
                    <w:keepLines w:val="0"/>
                    <w:widowControl/>
                    <w:suppressLineNumbers w:val="0"/>
                    <w:jc w:val="both"/>
                    <w:rPr>
                      <w:rFonts w:ascii="Times New Roman" w:eastAsia="宋体" w:cs="Times New Roman" w:hAnsi="Times New Roman" w:hint="eastAsia"/>
                      <w:color w:val="auto"/>
                      <w:kern w:val="0"/>
                      <w:sz w:val="21"/>
                      <w:szCs w:val="21"/>
                      <w:lang w:val="en-US" w:eastAsia="zh-CN" w:bidi="ar-SA"/>
                      <w:highlight w:val="none"/>
                    </w:rPr>
                  </w:pPr>
                  <w:r>
                    <w:rPr>
                      <w:rFonts w:ascii="Times New Roman" w:eastAsia="宋体" w:cs="Times New Roman" w:hAnsi="Times New Roman" w:hint="eastAsia"/>
                      <w:color w:val="auto"/>
                      <w:kern w:val="0"/>
                      <w:sz w:val="21"/>
                      <w:szCs w:val="21"/>
                      <w:lang w:val="en-US" w:eastAsia="zh-CN" w:bidi="ar-SA"/>
                      <w:highlight w:val="none"/>
                    </w:rPr>
                    <w:t>规划远期集中供热总热负荷为</w:t>
                  </w:r>
                  <w:r>
                    <w:rPr>
                      <w:rFonts w:ascii="Times New Roman" w:eastAsia="宋体" w:cs="Times New Roman" w:hAnsi="Times New Roman"/>
                      <w:color w:val="auto"/>
                      <w:kern w:val="0"/>
                      <w:sz w:val="21"/>
                      <w:szCs w:val="21"/>
                      <w:lang w:val="en-US" w:eastAsia="zh-CN" w:bidi="ar-SA"/>
                      <w:highlight w:val="none"/>
                    </w:rPr>
                    <w:t>1100.01MW</w:t>
                  </w:r>
                  <w:r>
                    <w:rPr>
                      <w:rFonts w:ascii="Times New Roman" w:eastAsia="宋体" w:cs="Times New Roman" w:hAnsi="Times New Roman" w:hint="eastAsia"/>
                      <w:color w:val="auto"/>
                      <w:kern w:val="0"/>
                      <w:sz w:val="21"/>
                      <w:szCs w:val="21"/>
                      <w:lang w:val="en-US" w:eastAsia="zh-CN" w:bidi="ar-SA"/>
                      <w:highlight w:val="none"/>
                    </w:rPr>
                    <w:t>，其中栾城区境内采暖热负荷为</w:t>
                  </w:r>
                  <w:r>
                    <w:rPr>
                      <w:rFonts w:ascii="Times New Roman" w:eastAsia="宋体" w:cs="Times New Roman" w:hAnsi="Times New Roman"/>
                      <w:color w:val="auto"/>
                      <w:kern w:val="0"/>
                      <w:sz w:val="21"/>
                      <w:szCs w:val="21"/>
                      <w:lang w:val="en-US" w:eastAsia="zh-CN" w:bidi="ar-SA"/>
                      <w:highlight w:val="none"/>
                    </w:rPr>
                    <w:t>1047.60MW</w:t>
                  </w:r>
                  <w:r>
                    <w:rPr>
                      <w:rFonts w:ascii="Times New Roman" w:eastAsia="宋体" w:cs="Times New Roman" w:hAnsi="Times New Roman" w:hint="eastAsia"/>
                      <w:color w:val="auto"/>
                      <w:kern w:val="0"/>
                      <w:sz w:val="21"/>
                      <w:szCs w:val="21"/>
                      <w:lang w:val="en-US" w:eastAsia="zh-CN" w:bidi="ar-SA"/>
                      <w:highlight w:val="none"/>
                    </w:rPr>
                    <w:t>、元氏县境内采暖热负荷为</w:t>
                  </w:r>
                  <w:r>
                    <w:rPr>
                      <w:rFonts w:ascii="Times New Roman" w:eastAsia="宋体" w:cs="Times New Roman" w:hAnsi="Times New Roman"/>
                      <w:color w:val="auto"/>
                      <w:kern w:val="0"/>
                      <w:sz w:val="21"/>
                      <w:szCs w:val="21"/>
                      <w:lang w:val="en-US" w:eastAsia="zh-CN" w:bidi="ar-SA"/>
                      <w:highlight w:val="none"/>
                    </w:rPr>
                    <w:t>52.41MW</w:t>
                  </w:r>
                  <w:r>
                    <w:rPr>
                      <w:rFonts w:ascii="Times New Roman" w:eastAsia="宋体" w:cs="Times New Roman" w:hAnsi="Times New Roman" w:hint="eastAsia"/>
                      <w:color w:val="auto"/>
                      <w:kern w:val="0"/>
                      <w:sz w:val="21"/>
                      <w:szCs w:val="21"/>
                      <w:lang w:val="en-US" w:eastAsia="zh-CN" w:bidi="ar-SA"/>
                      <w:highlight w:val="none"/>
                    </w:rPr>
                    <w:t xml:space="preserve">。 </w:t>
                  </w:r>
                </w:p>
                <w:p>
                  <w:pPr>
                    <w:keepNext w:val="0"/>
                    <w:keepLines w:val="0"/>
                    <w:widowControl/>
                    <w:suppressLineNumbers w:val="0"/>
                    <w:jc w:val="both"/>
                    <w:rPr>
                      <w:rFonts w:ascii="Times New Roman" w:eastAsia="宋体" w:cs="Times New Roman" w:hAnsi="Times New Roman" w:hint="eastAsia"/>
                      <w:color w:val="auto"/>
                      <w:kern w:val="0"/>
                      <w:sz w:val="21"/>
                      <w:szCs w:val="21"/>
                      <w:lang w:val="en-US" w:eastAsia="zh-CN" w:bidi="ar-SA"/>
                      <w:highlight w:val="none"/>
                    </w:rPr>
                  </w:pPr>
                  <w:r>
                    <w:rPr>
                      <w:rFonts w:ascii="Times New Roman" w:eastAsia="宋体" w:cs="Times New Roman" w:hAnsi="Times New Roman" w:hint="eastAsia"/>
                      <w:color w:val="auto"/>
                      <w:kern w:val="0"/>
                      <w:sz w:val="21"/>
                      <w:szCs w:val="21"/>
                      <w:lang w:val="en-US" w:eastAsia="zh-CN" w:bidi="ar-SA"/>
                      <w:highlight w:val="none"/>
                    </w:rPr>
                    <w:t>规划园区采用集中供热，热源为中节能垃圾焚烧发电厂、宏源热电厂、冀粤垃圾焚烧发电厂、神威热力中心、裕华热电厂及规划新建栾城西中继能源站。</w:t>
                  </w:r>
                </w:p>
                <w:p>
                  <w:pPr>
                    <w:keepNext w:val="0"/>
                    <w:keepLines w:val="0"/>
                    <w:widowControl/>
                    <w:suppressLineNumbers w:val="0"/>
                    <w:jc w:val="both"/>
                    <w:rPr>
                      <w:rFonts w:ascii="Times New Roman" w:eastAsia="宋体" w:cs="Times New Roman" w:hAnsi="Times New Roman" w:hint="eastAsia"/>
                      <w:color w:val="auto"/>
                      <w:sz w:val="21"/>
                      <w:szCs w:val="21"/>
                      <w:lang w:val="en-US" w:eastAsia="zh-CN"/>
                      <w:highlight w:val="none"/>
                    </w:rPr>
                  </w:pPr>
                  <w:r>
                    <w:rPr>
                      <w:rFonts w:ascii="Times New Roman" w:eastAsia="宋体" w:cs="Times New Roman" w:hAnsi="Times New Roman" w:hint="eastAsia"/>
                      <w:color w:val="auto"/>
                      <w:sz w:val="21"/>
                      <w:szCs w:val="21"/>
                      <w:lang w:val="en-US" w:eastAsia="zh-CN"/>
                      <w:highlight w:val="none"/>
                    </w:rPr>
                    <w:t>供热管网规划采用二级管网系统，热电厂及能源站将高温热水输送到热力站后，经热力站换热后至采暖用户。供热管线采用直埋方式沿路敷设。</w:t>
                  </w:r>
                </w:p>
              </w:tc>
              <w:tc>
                <w:tcPr>
                  <w:tcW w:w="2930" w:type="dxa"/>
                  <w:tcBorders>
                    <w:tl2br w:val="nil"/>
                    <w:tr2bl w:val="nil"/>
                  </w:tcBorders>
                  <w:vAlign w:val="center"/>
                </w:tcPr>
                <w:p>
                  <w:pPr>
                    <w:pStyle w:val="56"/>
                    <w:keepNext w:val="0"/>
                    <w:keepLines w:val="0"/>
                    <w:pageBreakBefore w:val="0"/>
                    <w:widowControl w:val="0"/>
                    <w:kinsoku/>
                    <w:wordWrap/>
                    <w:overflowPunct/>
                    <w:topLinePunct w:val="0"/>
                    <w:autoSpaceDE/>
                    <w:autoSpaceDN/>
                    <w:bidi w:val="0"/>
                    <w:adjustRightInd w:val="0"/>
                    <w:snapToGrid/>
                    <w:spacing w:line="240" w:lineRule="auto"/>
                    <w:ind w:firstLineChars="0" w:firstLine="0"/>
                    <w:jc w:val="both"/>
                    <w:textAlignment w:val="baseline"/>
                    <w:rPr>
                      <w:rFonts w:ascii="Times New Roman" w:eastAsia="宋体" w:cs="Times New Roman" w:hAnsi="Times New Roman" w:hint="eastAsia"/>
                      <w:color w:val="auto"/>
                      <w:sz w:val="21"/>
                      <w:szCs w:val="21"/>
                      <w:lang w:val="en-US" w:eastAsia="zh-CN"/>
                      <w:highlight w:val="none"/>
                    </w:rPr>
                  </w:pPr>
                  <w:r>
                    <w:rPr>
                      <w:rFonts w:ascii="Times New Roman" w:eastAsia="宋体" w:cs="Times New Roman" w:hAnsi="Times New Roman" w:hint="eastAsia"/>
                      <w:color w:val="auto"/>
                      <w:sz w:val="21"/>
                      <w:szCs w:val="21"/>
                      <w:lang w:val="en-US" w:eastAsia="zh-CN"/>
                      <w:highlight w:val="none"/>
                    </w:rPr>
                    <w:t>项目生产</w:t>
                  </w:r>
                  <w:r>
                    <w:rPr>
                      <w:rFonts w:cs="Times New Roman" w:hint="eastAsia"/>
                      <w:color w:val="auto"/>
                      <w:sz w:val="21"/>
                      <w:szCs w:val="21"/>
                      <w:lang w:val="en-US"/>
                      <w:highlight w:val="none"/>
                    </w:rPr>
                    <w:t>不涉及用热</w:t>
                  </w:r>
                  <w:r>
                    <w:rPr>
                      <w:rFonts w:ascii="Times New Roman" w:eastAsia="宋体" w:cs="Times New Roman" w:hAnsi="Times New Roman" w:hint="eastAsia"/>
                      <w:color w:val="auto"/>
                      <w:sz w:val="21"/>
                      <w:szCs w:val="21"/>
                      <w:lang w:val="en-US" w:eastAsia="zh-CN"/>
                      <w:highlight w:val="none"/>
                    </w:rPr>
                    <w:t>，职工冬季采暖、夏季制冷均由空调提供。</w:t>
                  </w:r>
                </w:p>
              </w:tc>
            </w:tr>
            <w:tr>
              <w:trPr>
                <w:trHeight w:val="1093"/>
              </w:trPr>
              <w:tc>
                <w:tcPr>
                  <w:tcW w:w="559" w:type="dxa"/>
                  <w:tcBorders>
                    <w:tl2br w:val="nil"/>
                    <w:tr2bl w:val="nil"/>
                  </w:tcBorders>
                  <w:vAlign w:val="center"/>
                </w:tcPr>
                <w:p>
                  <w:pPr>
                    <w:pStyle w:val="56"/>
                    <w:keepNext w:val="0"/>
                    <w:keepLines w:val="0"/>
                    <w:pageBreakBefore w:val="0"/>
                    <w:widowControl w:val="0"/>
                    <w:kinsoku/>
                    <w:wordWrap/>
                    <w:overflowPunct/>
                    <w:topLinePunct w:val="0"/>
                    <w:autoSpaceDE/>
                    <w:autoSpaceDN/>
                    <w:bidi w:val="0"/>
                    <w:adjustRightInd w:val="0"/>
                    <w:snapToGrid/>
                    <w:spacing w:line="240" w:lineRule="auto"/>
                    <w:ind w:firstLineChars="0" w:firstLine="0"/>
                    <w:jc w:val="center"/>
                    <w:textAlignment w:val="baseline"/>
                    <w:rPr>
                      <w:rFonts w:ascii="Times New Roman" w:eastAsia="宋体" w:cs="Times New Roman" w:hAnsi="Times New Roman" w:hint="eastAsia"/>
                      <w:color w:val="auto"/>
                      <w:sz w:val="21"/>
                      <w:szCs w:val="21"/>
                      <w:lang w:val="en-US" w:eastAsia="zh-CN"/>
                      <w:highlight w:val="none"/>
                    </w:rPr>
                  </w:pPr>
                  <w:r>
                    <w:rPr>
                      <w:rFonts w:ascii="Times New Roman" w:eastAsia="宋体" w:cs="Times New Roman" w:hAnsi="Times New Roman" w:hint="eastAsia"/>
                      <w:color w:val="auto"/>
                      <w:sz w:val="21"/>
                      <w:szCs w:val="21"/>
                      <w:lang w:val="en-US" w:eastAsia="zh-CN"/>
                      <w:highlight w:val="none"/>
                    </w:rPr>
                    <w:t>供电</w:t>
                  </w:r>
                </w:p>
              </w:tc>
              <w:tc>
                <w:tcPr>
                  <w:tcW w:w="4107" w:type="dxa"/>
                  <w:tcBorders>
                    <w:tl2br w:val="nil"/>
                    <w:tr2bl w:val="nil"/>
                  </w:tcBorders>
                  <w:vAlign w:val="center"/>
                </w:tcPr>
                <w:p>
                  <w:pPr>
                    <w:pStyle w:val="56"/>
                    <w:keepNext w:val="0"/>
                    <w:keepLines w:val="0"/>
                    <w:pageBreakBefore w:val="0"/>
                    <w:widowControl w:val="0"/>
                    <w:kinsoku/>
                    <w:wordWrap/>
                    <w:overflowPunct/>
                    <w:topLinePunct w:val="0"/>
                    <w:autoSpaceDE/>
                    <w:autoSpaceDN/>
                    <w:bidi w:val="0"/>
                    <w:adjustRightInd w:val="0"/>
                    <w:snapToGrid/>
                    <w:spacing w:line="240" w:lineRule="auto"/>
                    <w:ind w:firstLineChars="0" w:firstLine="0"/>
                    <w:jc w:val="both"/>
                    <w:textAlignment w:val="baseline"/>
                    <w:rPr>
                      <w:rFonts w:ascii="Times New Roman" w:eastAsia="宋体" w:cs="Times New Roman" w:hAnsi="Times New Roman" w:hint="eastAsia"/>
                      <w:color w:val="auto"/>
                      <w:sz w:val="21"/>
                      <w:szCs w:val="21"/>
                      <w:lang w:val="en-US" w:eastAsia="zh-CN"/>
                      <w:highlight w:val="none"/>
                    </w:rPr>
                  </w:pPr>
                  <w:r>
                    <w:rPr>
                      <w:rFonts w:ascii="Times New Roman" w:eastAsia="宋体" w:cs="Times New Roman" w:hAnsi="Times New Roman" w:hint="eastAsia"/>
                      <w:color w:val="auto"/>
                      <w:sz w:val="21"/>
                      <w:szCs w:val="21"/>
                      <w:lang w:val="en-US" w:eastAsia="zh-CN"/>
                      <w:highlight w:val="none"/>
                    </w:rPr>
                    <w:t>园区电力由中节能垃圾焚烧发电厂、冀粤垃圾焚烧发电厂、宏源热电厂、裕华热电厂联合供给。园区电压等级根据国家标准电压等级和上级电网情况，规划为</w:t>
                  </w:r>
                  <w:r>
                    <w:rPr>
                      <w:rFonts w:ascii="Times New Roman" w:eastAsia="宋体" w:cs="Times New Roman" w:hAnsi="Times New Roman"/>
                      <w:color w:val="auto"/>
                      <w:sz w:val="21"/>
                      <w:szCs w:val="21"/>
                      <w:lang w:val="en-US" w:eastAsia="zh-CN"/>
                      <w:highlight w:val="none"/>
                    </w:rPr>
                    <w:t>220kV/110kV/10KV/0.4kV</w:t>
                  </w:r>
                  <w:r>
                    <w:rPr>
                      <w:rFonts w:ascii="Times New Roman" w:eastAsia="宋体" w:cs="Times New Roman" w:hAnsi="Times New Roman" w:hint="eastAsia"/>
                      <w:color w:val="auto"/>
                      <w:sz w:val="21"/>
                      <w:szCs w:val="21"/>
                      <w:lang w:val="en-US" w:eastAsia="zh-CN"/>
                      <w:highlight w:val="none"/>
                    </w:rPr>
                    <w:t>的三级电网。以</w:t>
                  </w:r>
                  <w:r>
                    <w:rPr>
                      <w:rFonts w:ascii="Times New Roman" w:eastAsia="宋体" w:cs="Times New Roman" w:hAnsi="Times New Roman"/>
                      <w:color w:val="auto"/>
                      <w:sz w:val="21"/>
                      <w:szCs w:val="21"/>
                      <w:lang w:val="en-US" w:eastAsia="zh-CN"/>
                      <w:highlight w:val="none"/>
                    </w:rPr>
                    <w:t>220kV</w:t>
                  </w:r>
                  <w:r>
                    <w:rPr>
                      <w:rFonts w:ascii="Times New Roman" w:eastAsia="宋体" w:cs="Times New Roman" w:hAnsi="Times New Roman" w:hint="eastAsia"/>
                      <w:color w:val="auto"/>
                      <w:sz w:val="21"/>
                      <w:szCs w:val="21"/>
                      <w:lang w:val="en-US" w:eastAsia="zh-CN"/>
                      <w:highlight w:val="none"/>
                    </w:rPr>
                    <w:t>、</w:t>
                  </w:r>
                  <w:r>
                    <w:rPr>
                      <w:rFonts w:ascii="Times New Roman" w:eastAsia="宋体" w:cs="Times New Roman" w:hAnsi="Times New Roman"/>
                      <w:color w:val="auto"/>
                      <w:sz w:val="21"/>
                      <w:szCs w:val="21"/>
                      <w:lang w:val="en-US" w:eastAsia="zh-CN"/>
                      <w:highlight w:val="none"/>
                    </w:rPr>
                    <w:t>110kV</w:t>
                  </w:r>
                  <w:r>
                    <w:rPr>
                      <w:rFonts w:ascii="Times New Roman" w:eastAsia="宋体" w:cs="Times New Roman" w:hAnsi="Times New Roman" w:hint="eastAsia"/>
                      <w:color w:val="auto"/>
                      <w:sz w:val="21"/>
                      <w:szCs w:val="21"/>
                      <w:lang w:val="en-US" w:eastAsia="zh-CN"/>
                      <w:highlight w:val="none"/>
                    </w:rPr>
                    <w:t>作为园区的送电电压，中压配电电压为</w:t>
                  </w:r>
                  <w:r>
                    <w:rPr>
                      <w:rFonts w:ascii="Times New Roman" w:eastAsia="宋体" w:cs="Times New Roman" w:hAnsi="Times New Roman"/>
                      <w:color w:val="auto"/>
                      <w:sz w:val="21"/>
                      <w:szCs w:val="21"/>
                      <w:lang w:val="en-US" w:eastAsia="zh-CN"/>
                      <w:highlight w:val="none"/>
                    </w:rPr>
                    <w:t>10kV</w:t>
                  </w:r>
                  <w:r>
                    <w:rPr>
                      <w:rFonts w:ascii="Times New Roman" w:eastAsia="宋体" w:cs="Times New Roman" w:hAnsi="Times New Roman" w:hint="eastAsia"/>
                      <w:color w:val="auto"/>
                      <w:sz w:val="21"/>
                      <w:szCs w:val="21"/>
                      <w:lang w:val="en-US" w:eastAsia="zh-CN"/>
                      <w:highlight w:val="none"/>
                    </w:rPr>
                    <w:t>，低压配电电压为</w:t>
                  </w:r>
                  <w:r>
                    <w:rPr>
                      <w:rFonts w:ascii="Times New Roman" w:eastAsia="宋体" w:cs="Times New Roman" w:hAnsi="Times New Roman"/>
                      <w:color w:val="auto"/>
                      <w:sz w:val="21"/>
                      <w:szCs w:val="21"/>
                      <w:lang w:val="en-US" w:eastAsia="zh-CN"/>
                      <w:highlight w:val="none"/>
                    </w:rPr>
                    <w:t>0.4kV</w:t>
                  </w:r>
                  <w:r>
                    <w:rPr>
                      <w:rFonts w:ascii="Times New Roman" w:eastAsia="宋体" w:cs="Times New Roman" w:hAnsi="Times New Roman" w:hint="eastAsia"/>
                      <w:color w:val="auto"/>
                      <w:sz w:val="21"/>
                      <w:szCs w:val="21"/>
                      <w:lang w:val="en-US" w:eastAsia="zh-CN"/>
                      <w:highlight w:val="none"/>
                    </w:rPr>
                    <w:t>（</w:t>
                  </w:r>
                  <w:r>
                    <w:rPr>
                      <w:rFonts w:ascii="Times New Roman" w:eastAsia="宋体" w:cs="Times New Roman" w:hAnsi="Times New Roman"/>
                      <w:color w:val="auto"/>
                      <w:sz w:val="21"/>
                      <w:szCs w:val="21"/>
                      <w:lang w:val="en-US" w:eastAsia="zh-CN"/>
                      <w:highlight w:val="none"/>
                    </w:rPr>
                    <w:t>220/380V</w:t>
                  </w:r>
                  <w:r>
                    <w:rPr>
                      <w:rFonts w:ascii="Times New Roman" w:eastAsia="宋体" w:cs="Times New Roman" w:hAnsi="Times New Roman" w:hint="eastAsia"/>
                      <w:color w:val="auto"/>
                      <w:sz w:val="21"/>
                      <w:szCs w:val="21"/>
                      <w:lang w:val="en-US" w:eastAsia="zh-CN"/>
                      <w:highlight w:val="none"/>
                    </w:rPr>
                    <w:t>）。规划保留园区范围内</w:t>
                  </w:r>
                  <w:r>
                    <w:rPr>
                      <w:rFonts w:ascii="Times New Roman" w:eastAsia="宋体" w:cs="Times New Roman" w:hAnsi="Times New Roman"/>
                      <w:color w:val="auto"/>
                      <w:sz w:val="21"/>
                      <w:szCs w:val="21"/>
                      <w:lang w:val="en-US" w:eastAsia="zh-CN"/>
                      <w:highlight w:val="none"/>
                    </w:rPr>
                    <w:t>220kV</w:t>
                  </w:r>
                  <w:r>
                    <w:rPr>
                      <w:rFonts w:ascii="Times New Roman" w:eastAsia="宋体" w:cs="Times New Roman" w:hAnsi="Times New Roman" w:hint="eastAsia"/>
                      <w:color w:val="auto"/>
                      <w:sz w:val="21"/>
                      <w:szCs w:val="21"/>
                      <w:lang w:val="en-US" w:eastAsia="zh-CN"/>
                      <w:highlight w:val="none"/>
                    </w:rPr>
                    <w:t>龙岗站、</w:t>
                  </w:r>
                  <w:r>
                    <w:rPr>
                      <w:rFonts w:ascii="Times New Roman" w:eastAsia="宋体" w:cs="Times New Roman" w:hAnsi="Times New Roman"/>
                      <w:color w:val="auto"/>
                      <w:sz w:val="21"/>
                      <w:szCs w:val="21"/>
                      <w:lang w:val="en-US" w:eastAsia="zh-CN"/>
                      <w:highlight w:val="none"/>
                    </w:rPr>
                    <w:t>110kV</w:t>
                  </w:r>
                  <w:r>
                    <w:rPr>
                      <w:rFonts w:ascii="Times New Roman" w:eastAsia="宋体" w:cs="Times New Roman" w:hAnsi="Times New Roman" w:hint="eastAsia"/>
                      <w:color w:val="auto"/>
                      <w:sz w:val="21"/>
                      <w:szCs w:val="21"/>
                      <w:lang w:val="en-US" w:eastAsia="zh-CN"/>
                      <w:highlight w:val="none"/>
                    </w:rPr>
                    <w:t>栾城站、</w:t>
                  </w:r>
                  <w:r>
                    <w:rPr>
                      <w:rFonts w:ascii="Times New Roman" w:eastAsia="宋体" w:cs="Times New Roman" w:hAnsi="Times New Roman"/>
                      <w:color w:val="auto"/>
                      <w:sz w:val="21"/>
                      <w:szCs w:val="21"/>
                      <w:lang w:val="en-US" w:eastAsia="zh-CN"/>
                      <w:highlight w:val="none"/>
                    </w:rPr>
                    <w:t>110kV</w:t>
                  </w:r>
                  <w:r>
                    <w:rPr>
                      <w:rFonts w:ascii="Times New Roman" w:eastAsia="宋体" w:cs="Times New Roman" w:hAnsi="Times New Roman" w:hint="eastAsia"/>
                      <w:color w:val="auto"/>
                      <w:sz w:val="21"/>
                      <w:szCs w:val="21"/>
                      <w:lang w:val="en-US" w:eastAsia="zh-CN"/>
                      <w:highlight w:val="none"/>
                    </w:rPr>
                    <w:t>窦妪站、</w:t>
                  </w:r>
                  <w:r>
                    <w:rPr>
                      <w:rFonts w:ascii="Times New Roman" w:eastAsia="宋体" w:cs="Times New Roman" w:hAnsi="Times New Roman"/>
                      <w:color w:val="auto"/>
                      <w:sz w:val="21"/>
                      <w:szCs w:val="21"/>
                      <w:lang w:val="en-US" w:eastAsia="zh-CN"/>
                      <w:highlight w:val="none"/>
                    </w:rPr>
                    <w:t>110kV</w:t>
                  </w:r>
                  <w:r>
                    <w:rPr>
                      <w:rFonts w:ascii="Times New Roman" w:eastAsia="宋体" w:cs="Times New Roman" w:hAnsi="Times New Roman" w:hint="eastAsia"/>
                      <w:color w:val="auto"/>
                      <w:sz w:val="21"/>
                      <w:szCs w:val="21"/>
                      <w:lang w:val="en-US" w:eastAsia="zh-CN"/>
                      <w:highlight w:val="none"/>
                    </w:rPr>
                    <w:t>苏邱站</w:t>
                  </w:r>
                  <w:r>
                    <w:rPr>
                      <w:rFonts w:ascii="Times New Roman" w:eastAsia="宋体" w:cs="Times New Roman" w:hAnsi="Times New Roman"/>
                      <w:color w:val="auto"/>
                      <w:sz w:val="21"/>
                      <w:szCs w:val="21"/>
                      <w:lang w:val="en-US" w:eastAsia="zh-CN"/>
                      <w:highlight w:val="none"/>
                    </w:rPr>
                    <w:t>4</w:t>
                  </w:r>
                  <w:r>
                    <w:rPr>
                      <w:rFonts w:ascii="Times New Roman" w:eastAsia="宋体" w:cs="Times New Roman" w:hAnsi="Times New Roman" w:hint="eastAsia"/>
                      <w:color w:val="auto"/>
                      <w:sz w:val="21"/>
                      <w:szCs w:val="21"/>
                      <w:lang w:val="en-US" w:eastAsia="zh-CN"/>
                      <w:highlight w:val="none"/>
                    </w:rPr>
                    <w:t>座变电站，并新建</w:t>
                  </w:r>
                  <w:r>
                    <w:rPr>
                      <w:rFonts w:ascii="Times New Roman" w:eastAsia="宋体" w:cs="Times New Roman" w:hAnsi="Times New Roman"/>
                      <w:color w:val="auto"/>
                      <w:sz w:val="21"/>
                      <w:szCs w:val="21"/>
                      <w:lang w:val="en-US" w:eastAsia="zh-CN"/>
                      <w:highlight w:val="none"/>
                    </w:rPr>
                    <w:t>220kV</w:t>
                  </w:r>
                  <w:r>
                    <w:rPr>
                      <w:rFonts w:ascii="Times New Roman" w:eastAsia="宋体" w:cs="Times New Roman" w:hAnsi="Times New Roman" w:hint="eastAsia"/>
                      <w:color w:val="auto"/>
                      <w:sz w:val="21"/>
                      <w:szCs w:val="21"/>
                      <w:lang w:val="en-US" w:eastAsia="zh-CN"/>
                      <w:highlight w:val="none"/>
                    </w:rPr>
                    <w:t>变电站一座、</w:t>
                  </w:r>
                  <w:r>
                    <w:rPr>
                      <w:rFonts w:ascii="Times New Roman" w:eastAsia="宋体" w:cs="Times New Roman" w:hAnsi="Times New Roman"/>
                      <w:color w:val="auto"/>
                      <w:sz w:val="21"/>
                      <w:szCs w:val="21"/>
                      <w:lang w:val="en-US" w:eastAsia="zh-CN"/>
                      <w:highlight w:val="none"/>
                    </w:rPr>
                    <w:t>110kV</w:t>
                  </w:r>
                  <w:r>
                    <w:rPr>
                      <w:rFonts w:ascii="Times New Roman" w:eastAsia="宋体" w:cs="Times New Roman" w:hAnsi="Times New Roman" w:hint="eastAsia"/>
                      <w:color w:val="auto"/>
                      <w:sz w:val="21"/>
                      <w:szCs w:val="21"/>
                      <w:lang w:val="en-US" w:eastAsia="zh-CN"/>
                      <w:highlight w:val="none"/>
                    </w:rPr>
                    <w:t>变电站</w:t>
                  </w:r>
                  <w:r>
                    <w:rPr>
                      <w:rFonts w:ascii="Times New Roman" w:eastAsia="宋体" w:cs="Times New Roman" w:hAnsi="Times New Roman"/>
                      <w:color w:val="auto"/>
                      <w:sz w:val="21"/>
                      <w:szCs w:val="21"/>
                      <w:lang w:val="en-US" w:eastAsia="zh-CN"/>
                      <w:highlight w:val="none"/>
                    </w:rPr>
                    <w:t>4</w:t>
                  </w:r>
                  <w:r>
                    <w:rPr>
                      <w:rFonts w:ascii="Times New Roman" w:eastAsia="宋体" w:cs="Times New Roman" w:hAnsi="Times New Roman" w:hint="eastAsia"/>
                      <w:color w:val="auto"/>
                      <w:sz w:val="21"/>
                      <w:szCs w:val="21"/>
                      <w:lang w:val="en-US" w:eastAsia="zh-CN"/>
                      <w:highlight w:val="none"/>
                    </w:rPr>
                    <w:t>座。</w:t>
                  </w:r>
                </w:p>
              </w:tc>
              <w:tc>
                <w:tcPr>
                  <w:tcW w:w="2930" w:type="dxa"/>
                  <w:tcBorders>
                    <w:tl2br w:val="nil"/>
                    <w:tr2bl w:val="nil"/>
                  </w:tcBorders>
                  <w:vAlign w:val="center"/>
                </w:tcPr>
                <w:p>
                  <w:pPr>
                    <w:pStyle w:val="56"/>
                    <w:keepNext w:val="0"/>
                    <w:keepLines w:val="0"/>
                    <w:pageBreakBefore w:val="0"/>
                    <w:widowControl w:val="0"/>
                    <w:kinsoku/>
                    <w:wordWrap/>
                    <w:overflowPunct/>
                    <w:topLinePunct w:val="0"/>
                    <w:autoSpaceDE/>
                    <w:autoSpaceDN/>
                    <w:bidi w:val="0"/>
                    <w:adjustRightInd w:val="0"/>
                    <w:snapToGrid/>
                    <w:spacing w:line="240" w:lineRule="auto"/>
                    <w:ind w:firstLineChars="0" w:firstLine="0"/>
                    <w:jc w:val="both"/>
                    <w:textAlignment w:val="baseline"/>
                    <w:rPr>
                      <w:rFonts w:ascii="Times New Roman" w:cs="Times New Roman" w:hAnsi="Times New Roman" w:hint="eastAsia"/>
                      <w:b/>
                      <w:bCs/>
                      <w:color w:val="auto"/>
                      <w:sz w:val="21"/>
                      <w:szCs w:val="21"/>
                      <w:lang w:val="en-US" w:eastAsia="zh-CN"/>
                      <w:highlight w:val="none"/>
                    </w:rPr>
                  </w:pPr>
                  <w:r>
                    <w:rPr>
                      <w:rFonts w:ascii="Times New Roman" w:eastAsia="宋体" w:cs="Times New Roman" w:hAnsi="Times New Roman" w:hint="eastAsia"/>
                      <w:color w:val="auto"/>
                      <w:sz w:val="21"/>
                      <w:szCs w:val="21"/>
                      <w:lang w:val="en-US" w:eastAsia="zh-CN"/>
                      <w:highlight w:val="none"/>
                    </w:rPr>
                    <w:t>项目用电由园区供电管网提供。</w:t>
                  </w:r>
                </w:p>
              </w:tc>
            </w:tr>
            <w:tr>
              <w:trPr>
                <w:trHeight w:val="2995"/>
              </w:trPr>
              <w:tc>
                <w:tcPr>
                  <w:tcW w:w="559" w:type="dxa"/>
                  <w:tcBorders>
                    <w:tl2br w:val="nil"/>
                    <w:tr2bl w:val="nil"/>
                  </w:tcBorders>
                  <w:vAlign w:val="center"/>
                </w:tcPr>
                <w:p>
                  <w:pPr>
                    <w:pStyle w:val="56"/>
                    <w:keepNext w:val="0"/>
                    <w:keepLines w:val="0"/>
                    <w:pageBreakBefore w:val="0"/>
                    <w:widowControl w:val="0"/>
                    <w:kinsoku/>
                    <w:wordWrap/>
                    <w:overflowPunct/>
                    <w:topLinePunct w:val="0"/>
                    <w:autoSpaceDE/>
                    <w:autoSpaceDN/>
                    <w:bidi w:val="0"/>
                    <w:adjustRightInd w:val="0"/>
                    <w:snapToGrid/>
                    <w:spacing w:line="240" w:lineRule="auto"/>
                    <w:ind w:firstLineChars="0" w:firstLine="0"/>
                    <w:jc w:val="center"/>
                    <w:textAlignment w:val="baseline"/>
                    <w:rPr>
                      <w:rFonts w:ascii="Times New Roman" w:eastAsia="宋体" w:cs="Times New Roman" w:hAnsi="Times New Roman" w:hint="eastAsia"/>
                      <w:color w:val="auto"/>
                      <w:sz w:val="21"/>
                      <w:szCs w:val="21"/>
                      <w:lang w:val="en-US" w:eastAsia="zh-CN"/>
                      <w:highlight w:val="none"/>
                    </w:rPr>
                  </w:pPr>
                  <w:r>
                    <w:rPr>
                      <w:rFonts w:ascii="Times New Roman" w:eastAsia="宋体" w:cs="Times New Roman" w:hAnsi="Times New Roman" w:hint="eastAsia"/>
                      <w:color w:val="auto"/>
                      <w:sz w:val="21"/>
                      <w:szCs w:val="21"/>
                      <w:lang w:val="en-US" w:eastAsia="zh-CN"/>
                      <w:highlight w:val="none"/>
                    </w:rPr>
                    <w:t>燃气</w:t>
                  </w:r>
                </w:p>
              </w:tc>
              <w:tc>
                <w:tcPr>
                  <w:tcW w:w="4107" w:type="dxa"/>
                  <w:tcBorders>
                    <w:tl2br w:val="nil"/>
                    <w:tr2bl w:val="nil"/>
                  </w:tcBorders>
                  <w:vAlign w:val="center"/>
                </w:tcPr>
                <w:p>
                  <w:pPr>
                    <w:keepNext w:val="0"/>
                    <w:keepLines w:val="0"/>
                    <w:widowControl/>
                    <w:suppressLineNumbers w:val="0"/>
                    <w:jc w:val="both"/>
                    <w:rPr>
                      <w:rFonts w:ascii="Times New Roman" w:eastAsia="宋体" w:cs="Times New Roman" w:hAnsi="Times New Roman" w:hint="eastAsia"/>
                      <w:color w:val="auto"/>
                      <w:kern w:val="0"/>
                      <w:sz w:val="21"/>
                      <w:szCs w:val="21"/>
                      <w:lang w:val="en-US" w:eastAsia="zh-CN" w:bidi="ar-SA"/>
                      <w:highlight w:val="none"/>
                    </w:rPr>
                  </w:pPr>
                  <w:r>
                    <w:rPr>
                      <w:rFonts w:ascii="Times New Roman" w:eastAsia="宋体" w:cs="Times New Roman" w:hAnsi="Times New Roman" w:hint="eastAsia"/>
                      <w:color w:val="auto"/>
                      <w:kern w:val="0"/>
                      <w:sz w:val="21"/>
                      <w:szCs w:val="21"/>
                      <w:lang w:val="en-US" w:eastAsia="zh-CN" w:bidi="ar-SA"/>
                      <w:highlight w:val="none"/>
                    </w:rPr>
                    <w:t>规划以天然气为主要气源，管道天然气采用京石邯长输管道为气源。栾城区境内接入点为西营门站，元氏县境内接入点为城东门站。</w:t>
                  </w:r>
                </w:p>
                <w:p>
                  <w:pPr>
                    <w:keepNext w:val="0"/>
                    <w:keepLines w:val="0"/>
                    <w:widowControl/>
                    <w:suppressLineNumbers w:val="0"/>
                    <w:jc w:val="both"/>
                    <w:rPr>
                      <w:rFonts w:ascii="Times New Roman" w:eastAsia="宋体" w:cs="Times New Roman" w:hAnsi="Times New Roman" w:hint="eastAsia"/>
                      <w:color w:val="auto"/>
                      <w:kern w:val="0"/>
                      <w:sz w:val="21"/>
                      <w:szCs w:val="21"/>
                      <w:lang w:val="en-US" w:eastAsia="zh-CN" w:bidi="ar-SA"/>
                      <w:highlight w:val="none"/>
                    </w:rPr>
                  </w:pPr>
                  <w:r>
                    <w:rPr>
                      <w:rFonts w:ascii="Times New Roman" w:eastAsia="宋体" w:cs="Times New Roman" w:hAnsi="Times New Roman" w:hint="eastAsia"/>
                      <w:color w:val="auto"/>
                      <w:kern w:val="0"/>
                      <w:sz w:val="21"/>
                      <w:szCs w:val="21"/>
                      <w:lang w:val="en-US" w:eastAsia="zh-CN" w:bidi="ar-SA"/>
                      <w:highlight w:val="none"/>
                    </w:rPr>
                    <w:t>园区规划远期天然气新增用量为</w:t>
                  </w:r>
                  <w:r>
                    <w:rPr>
                      <w:rFonts w:cs="Times New Roman" w:hint="eastAsia"/>
                      <w:color w:val="auto"/>
                      <w:kern w:val="0"/>
                      <w:sz w:val="21"/>
                      <w:szCs w:val="21"/>
                      <w:lang w:val="en-US" w:eastAsia="zh-CN" w:bidi="ar-SA"/>
                      <w:highlight w:val="none"/>
                    </w:rPr>
                    <w:t>2855.43</w:t>
                  </w:r>
                  <w:r>
                    <w:rPr>
                      <w:rFonts w:ascii="Times New Roman" w:eastAsia="宋体" w:cs="Times New Roman" w:hAnsi="Times New Roman" w:hint="eastAsia"/>
                      <w:color w:val="auto"/>
                      <w:kern w:val="0"/>
                      <w:sz w:val="21"/>
                      <w:szCs w:val="21"/>
                      <w:lang w:val="en-US" w:eastAsia="zh-CN" w:bidi="ar-SA"/>
                      <w:highlight w:val="none"/>
                    </w:rPr>
                    <w:t>万</w:t>
                  </w:r>
                  <w:r>
                    <w:rPr>
                      <w:rFonts w:ascii="Times New Roman" w:eastAsia="宋体" w:cs="Times New Roman" w:hAnsi="Times New Roman"/>
                      <w:color w:val="auto"/>
                      <w:kern w:val="0"/>
                      <w:sz w:val="21"/>
                      <w:szCs w:val="21"/>
                      <w:lang w:val="en-US" w:eastAsia="zh-CN" w:bidi="ar-SA"/>
                      <w:highlight w:val="none"/>
                    </w:rPr>
                    <w:t>m</w:t>
                  </w:r>
                  <w:r>
                    <w:rPr>
                      <w:rFonts w:ascii="Times New Roman" w:eastAsia="宋体" w:cs="Times New Roman" w:hAnsi="Times New Roman"/>
                      <w:color w:val="auto"/>
                      <w:kern w:val="0"/>
                      <w:sz w:val="21"/>
                      <w:szCs w:val="21"/>
                      <w:vertAlign w:val="superscript"/>
                      <w:lang w:val="en-US" w:eastAsia="zh-CN" w:bidi="ar-SA"/>
                      <w:highlight w:val="none"/>
                    </w:rPr>
                    <w:t>3</w:t>
                  </w:r>
                  <w:r>
                    <w:rPr>
                      <w:rFonts w:cs="Times New Roman" w:hint="eastAsia"/>
                      <w:color w:val="auto"/>
                      <w:kern w:val="0"/>
                      <w:sz w:val="21"/>
                      <w:szCs w:val="21"/>
                      <w:vertAlign w:val="baseline"/>
                      <w:lang w:val="en-US" w:eastAsia="zh-CN" w:bidi="ar-SA"/>
                      <w:highlight w:val="none"/>
                    </w:rPr>
                    <w:t>/</w:t>
                  </w:r>
                  <w:r>
                    <w:rPr>
                      <w:rFonts w:ascii="Times New Roman" w:eastAsia="宋体" w:cs="Times New Roman" w:hAnsi="Times New Roman" w:hint="eastAsia"/>
                      <w:color w:val="auto"/>
                      <w:kern w:val="0"/>
                      <w:sz w:val="21"/>
                      <w:szCs w:val="21"/>
                      <w:lang w:val="en-US" w:eastAsia="zh-CN" w:bidi="ar-SA"/>
                      <w:highlight w:val="none"/>
                    </w:rPr>
                    <w:t>年，其中栾城区境内天然气用量为</w:t>
                  </w:r>
                  <w:r>
                    <w:rPr>
                      <w:rFonts w:cs="Times New Roman" w:hint="eastAsia"/>
                      <w:color w:val="auto"/>
                      <w:kern w:val="0"/>
                      <w:sz w:val="21"/>
                      <w:szCs w:val="21"/>
                      <w:lang w:val="en-US" w:eastAsia="zh-CN" w:bidi="ar-SA"/>
                      <w:highlight w:val="none"/>
                    </w:rPr>
                    <w:t>2647.32</w:t>
                  </w:r>
                  <w:r>
                    <w:rPr>
                      <w:rFonts w:ascii="Times New Roman" w:eastAsia="宋体" w:cs="Times New Roman" w:hAnsi="Times New Roman" w:hint="eastAsia"/>
                      <w:color w:val="auto"/>
                      <w:kern w:val="0"/>
                      <w:sz w:val="21"/>
                      <w:szCs w:val="21"/>
                      <w:lang w:val="en-US" w:eastAsia="zh-CN" w:bidi="ar-SA"/>
                      <w:highlight w:val="none"/>
                    </w:rPr>
                    <w:t>万</w:t>
                  </w:r>
                  <w:r>
                    <w:rPr>
                      <w:rFonts w:ascii="Times New Roman" w:eastAsia="宋体" w:cs="Times New Roman" w:hAnsi="Times New Roman"/>
                      <w:color w:val="auto"/>
                      <w:kern w:val="0"/>
                      <w:sz w:val="21"/>
                      <w:szCs w:val="21"/>
                      <w:lang w:val="en-US" w:eastAsia="zh-CN" w:bidi="ar-SA"/>
                      <w:highlight w:val="none"/>
                    </w:rPr>
                    <w:t>m</w:t>
                  </w:r>
                  <w:r>
                    <w:rPr>
                      <w:rFonts w:ascii="Times New Roman" w:eastAsia="宋体" w:cs="Times New Roman" w:hAnsi="Times New Roman"/>
                      <w:color w:val="auto"/>
                      <w:kern w:val="0"/>
                      <w:sz w:val="21"/>
                      <w:szCs w:val="21"/>
                      <w:vertAlign w:val="superscript"/>
                      <w:lang w:val="en-US" w:eastAsia="zh-CN" w:bidi="ar-SA"/>
                      <w:highlight w:val="none"/>
                    </w:rPr>
                    <w:t>3</w:t>
                  </w:r>
                  <w:r>
                    <w:rPr>
                      <w:rFonts w:cs="Times New Roman" w:hint="eastAsia"/>
                      <w:color w:val="auto"/>
                      <w:kern w:val="0"/>
                      <w:sz w:val="21"/>
                      <w:szCs w:val="21"/>
                      <w:vertAlign w:val="baseline"/>
                      <w:lang w:val="en-US" w:eastAsia="zh-CN" w:bidi="ar-SA"/>
                      <w:highlight w:val="none"/>
                    </w:rPr>
                    <w:t>/</w:t>
                  </w:r>
                  <w:r>
                    <w:rPr>
                      <w:rFonts w:ascii="Times New Roman" w:eastAsia="宋体" w:cs="Times New Roman" w:hAnsi="Times New Roman" w:hint="eastAsia"/>
                      <w:color w:val="auto"/>
                      <w:kern w:val="0"/>
                      <w:sz w:val="21"/>
                      <w:szCs w:val="21"/>
                      <w:lang w:val="en-US" w:eastAsia="zh-CN" w:bidi="ar-SA"/>
                      <w:highlight w:val="none"/>
                    </w:rPr>
                    <w:t>年、元氏县境内天然气用量为</w:t>
                  </w:r>
                  <w:r>
                    <w:rPr>
                      <w:rFonts w:cs="Times New Roman" w:hint="eastAsia"/>
                      <w:color w:val="auto"/>
                      <w:kern w:val="0"/>
                      <w:sz w:val="21"/>
                      <w:szCs w:val="21"/>
                      <w:lang w:val="en-US" w:eastAsia="zh-CN" w:bidi="ar-SA"/>
                      <w:highlight w:val="none"/>
                    </w:rPr>
                    <w:t>208.11</w:t>
                  </w:r>
                  <w:r>
                    <w:rPr>
                      <w:rFonts w:ascii="Times New Roman" w:eastAsia="宋体" w:cs="Times New Roman" w:hAnsi="Times New Roman" w:hint="eastAsia"/>
                      <w:color w:val="auto"/>
                      <w:kern w:val="0"/>
                      <w:sz w:val="21"/>
                      <w:szCs w:val="21"/>
                      <w:lang w:val="en-US" w:eastAsia="zh-CN" w:bidi="ar-SA"/>
                      <w:highlight w:val="none"/>
                    </w:rPr>
                    <w:t>万</w:t>
                  </w:r>
                  <w:r>
                    <w:rPr>
                      <w:rFonts w:ascii="Times New Roman" w:eastAsia="宋体" w:cs="Times New Roman" w:hAnsi="Times New Roman"/>
                      <w:color w:val="auto"/>
                      <w:kern w:val="0"/>
                      <w:sz w:val="21"/>
                      <w:szCs w:val="21"/>
                      <w:lang w:val="en-US" w:eastAsia="zh-CN" w:bidi="ar-SA"/>
                      <w:highlight w:val="none"/>
                    </w:rPr>
                    <w:t>m</w:t>
                  </w:r>
                  <w:r>
                    <w:rPr>
                      <w:rFonts w:ascii="Times New Roman" w:eastAsia="宋体" w:cs="Times New Roman" w:hAnsi="Times New Roman"/>
                      <w:color w:val="auto"/>
                      <w:kern w:val="0"/>
                      <w:sz w:val="21"/>
                      <w:szCs w:val="21"/>
                      <w:vertAlign w:val="superscript"/>
                      <w:lang w:val="en-US" w:eastAsia="zh-CN" w:bidi="ar-SA"/>
                      <w:highlight w:val="none"/>
                    </w:rPr>
                    <w:t>3</w:t>
                  </w:r>
                  <w:r>
                    <w:rPr>
                      <w:rFonts w:cs="Times New Roman" w:hint="eastAsia"/>
                      <w:color w:val="auto"/>
                      <w:kern w:val="0"/>
                      <w:sz w:val="21"/>
                      <w:szCs w:val="21"/>
                      <w:vertAlign w:val="baseline"/>
                      <w:lang w:val="en-US" w:eastAsia="zh-CN" w:bidi="ar-SA"/>
                      <w:highlight w:val="none"/>
                    </w:rPr>
                    <w:t>/</w:t>
                  </w:r>
                  <w:r>
                    <w:rPr>
                      <w:rFonts w:ascii="Times New Roman" w:eastAsia="宋体" w:cs="Times New Roman" w:hAnsi="Times New Roman" w:hint="eastAsia"/>
                      <w:color w:val="auto"/>
                      <w:kern w:val="0"/>
                      <w:sz w:val="21"/>
                      <w:szCs w:val="21"/>
                      <w:lang w:val="en-US" w:eastAsia="zh-CN" w:bidi="ar-SA"/>
                      <w:highlight w:val="none"/>
                    </w:rPr>
                    <w:t xml:space="preserve">年。 </w:t>
                  </w:r>
                </w:p>
                <w:p>
                  <w:pPr>
                    <w:keepNext w:val="0"/>
                    <w:keepLines w:val="0"/>
                    <w:widowControl/>
                    <w:suppressLineNumbers w:val="0"/>
                    <w:jc w:val="both"/>
                    <w:rPr>
                      <w:rFonts w:ascii="Times New Roman" w:eastAsia="宋体" w:cs="Times New Roman" w:hAnsi="Times New Roman" w:hint="eastAsia"/>
                      <w:color w:val="auto"/>
                      <w:sz w:val="21"/>
                      <w:szCs w:val="21"/>
                      <w:lang w:val="en-US" w:eastAsia="zh-CN"/>
                      <w:highlight w:val="none"/>
                    </w:rPr>
                  </w:pPr>
                  <w:r>
                    <w:rPr>
                      <w:rFonts w:ascii="Times New Roman" w:eastAsia="宋体" w:cs="Times New Roman" w:hAnsi="Times New Roman" w:hint="eastAsia"/>
                      <w:color w:val="auto"/>
                      <w:kern w:val="0"/>
                      <w:sz w:val="21"/>
                      <w:szCs w:val="21"/>
                      <w:lang w:val="en-US" w:eastAsia="zh-CN" w:bidi="ar-SA"/>
                      <w:highlight w:val="none"/>
                    </w:rPr>
                    <w:t>园区天然气管网采用中压一级管网系统，工作压力</w:t>
                  </w:r>
                  <w:r>
                    <w:rPr>
                      <w:rFonts w:ascii="Times New Roman" w:eastAsia="宋体" w:cs="Times New Roman" w:hAnsi="Times New Roman"/>
                      <w:color w:val="auto"/>
                      <w:kern w:val="0"/>
                      <w:sz w:val="21"/>
                      <w:szCs w:val="21"/>
                      <w:lang w:val="en-US" w:eastAsia="zh-CN" w:bidi="ar-SA"/>
                      <w:highlight w:val="none"/>
                    </w:rPr>
                    <w:t>0.4Mpa</w:t>
                  </w:r>
                  <w:r>
                    <w:rPr>
                      <w:rFonts w:ascii="Times New Roman" w:eastAsia="宋体" w:cs="Times New Roman" w:hAnsi="Times New Roman" w:hint="eastAsia"/>
                      <w:color w:val="auto"/>
                      <w:kern w:val="0"/>
                      <w:sz w:val="21"/>
                      <w:szCs w:val="21"/>
                      <w:lang w:val="en-US" w:eastAsia="zh-CN" w:bidi="ar-SA"/>
                      <w:highlight w:val="none"/>
                    </w:rPr>
                    <w:t>，由京石邯天然气长输管线供应，经调压站调压至用户。燃气管网采用环形管网，保证燃气的供气安全，管径为</w:t>
                  </w:r>
                  <w:r>
                    <w:rPr>
                      <w:rFonts w:ascii="Times New Roman" w:eastAsia="宋体" w:cs="Times New Roman" w:hAnsi="Times New Roman"/>
                      <w:color w:val="auto"/>
                      <w:kern w:val="0"/>
                      <w:sz w:val="21"/>
                      <w:szCs w:val="21"/>
                      <w:lang w:val="en-US" w:eastAsia="zh-CN" w:bidi="ar-SA"/>
                      <w:highlight w:val="none"/>
                    </w:rPr>
                    <w:t>150-250mm</w:t>
                  </w:r>
                  <w:r>
                    <w:rPr>
                      <w:rFonts w:ascii="Times New Roman" w:eastAsia="宋体" w:cs="Times New Roman" w:hAnsi="Times New Roman" w:hint="eastAsia"/>
                      <w:color w:val="auto"/>
                      <w:kern w:val="0"/>
                      <w:sz w:val="21"/>
                      <w:szCs w:val="21"/>
                      <w:lang w:val="en-US" w:eastAsia="zh-CN" w:bidi="ar-SA"/>
                      <w:highlight w:val="none"/>
                    </w:rPr>
                    <w:t>。</w:t>
                  </w:r>
                </w:p>
              </w:tc>
              <w:tc>
                <w:tcPr>
                  <w:tcW w:w="2930" w:type="dxa"/>
                  <w:tcBorders>
                    <w:tl2br w:val="nil"/>
                    <w:tr2bl w:val="nil"/>
                  </w:tcBorders>
                  <w:vAlign w:val="center"/>
                </w:tcPr>
                <w:p>
                  <w:pPr>
                    <w:pStyle w:val="56"/>
                    <w:keepNext w:val="0"/>
                    <w:keepLines w:val="0"/>
                    <w:pageBreakBefore w:val="0"/>
                    <w:widowControl w:val="0"/>
                    <w:kinsoku/>
                    <w:wordWrap/>
                    <w:overflowPunct/>
                    <w:topLinePunct w:val="0"/>
                    <w:autoSpaceDE/>
                    <w:autoSpaceDN/>
                    <w:bidi w:val="0"/>
                    <w:adjustRightInd w:val="0"/>
                    <w:snapToGrid/>
                    <w:spacing w:line="240" w:lineRule="auto"/>
                    <w:ind w:left="0" w:firstLineChars="0" w:firstLine="0"/>
                    <w:jc w:val="both"/>
                    <w:textAlignment w:val="baseline"/>
                    <w:rPr>
                      <w:rFonts w:ascii="Times New Roman" w:eastAsia="宋体" w:cs="Times New Roman" w:hAnsi="Times New Roman" w:hint="eastAsia"/>
                      <w:color w:val="auto"/>
                      <w:sz w:val="21"/>
                      <w:szCs w:val="21"/>
                      <w:lang w:val="en-US" w:eastAsia="zh-CN"/>
                      <w:highlight w:val="none"/>
                    </w:rPr>
                  </w:pPr>
                  <w:r>
                    <w:rPr>
                      <w:rFonts w:ascii="Times New Roman" w:eastAsia="宋体" w:cs="Times New Roman" w:hAnsi="Times New Roman" w:hint="eastAsia"/>
                      <w:color w:val="auto"/>
                      <w:sz w:val="21"/>
                      <w:szCs w:val="21"/>
                      <w:lang w:val="en-US" w:eastAsia="zh-CN"/>
                      <w:highlight w:val="none"/>
                    </w:rPr>
                    <w:t>项目</w:t>
                  </w:r>
                  <w:r>
                    <w:rPr>
                      <w:rFonts w:cs="Times New Roman" w:hint="eastAsia"/>
                      <w:color w:val="auto"/>
                      <w:sz w:val="21"/>
                      <w:szCs w:val="21"/>
                      <w:lang w:val="en-US" w:eastAsia="zh-CN"/>
                      <w:highlight w:val="none"/>
                    </w:rPr>
                    <w:t>采用电能，</w:t>
                  </w:r>
                  <w:r>
                    <w:rPr>
                      <w:rFonts w:ascii="Times New Roman" w:eastAsia="宋体" w:cs="Times New Roman" w:hAnsi="Times New Roman" w:hint="eastAsia"/>
                      <w:color w:val="auto"/>
                      <w:sz w:val="21"/>
                      <w:szCs w:val="21"/>
                      <w:lang w:val="en-US" w:eastAsia="zh-CN"/>
                      <w:highlight w:val="none"/>
                    </w:rPr>
                    <w:t>不使用天然气。</w:t>
                  </w:r>
                </w:p>
              </w:tc>
            </w:tr>
          </w:tbl>
          <w:p>
            <w:pPr>
              <w:pStyle w:val="56"/>
              <w:rPr>
                <w:rFonts w:ascii="Times New Roman" w:eastAsia="宋体" w:cs="Times New Roman" w:hAnsi="Times New Roman"/>
                <w:b/>
                <w:bCs/>
                <w:color w:val="auto"/>
                <w:lang w:val="en-US" w:eastAsia="zh-CN"/>
                <w:highlight w:val="none"/>
              </w:rPr>
            </w:pPr>
            <w:r>
              <w:rPr>
                <w:rFonts w:ascii="Times New Roman" w:eastAsia="宋体" w:cs="Times New Roman" w:hAnsi="Times New Roman"/>
                <w:b/>
                <w:bCs/>
                <w:color w:val="auto"/>
                <w:lang w:val="en-US" w:eastAsia="zh-CN"/>
                <w:highlight w:val="none"/>
              </w:rPr>
              <w:t>2、</w:t>
            </w:r>
            <w:r>
              <w:rPr>
                <w:rFonts w:ascii="Times New Roman" w:eastAsia="宋体" w:cs="Times New Roman" w:hAnsi="Times New Roman" w:hint="eastAsia"/>
                <w:b/>
                <w:bCs/>
                <w:color w:val="auto"/>
                <w:lang w:val="en-US" w:eastAsia="zh-CN"/>
                <w:highlight w:val="none"/>
              </w:rPr>
              <w:t>规划环评结论符合性</w:t>
            </w:r>
          </w:p>
          <w:p>
            <w:pPr>
              <w:pStyle w:val="56"/>
              <w:rPr>
                <w:rFonts w:ascii="Times New Roman" w:eastAsia="宋体" w:cs="Times New Roman" w:hAnsi="Times New Roman" w:hint="eastAsia"/>
                <w:color w:val="auto"/>
                <w:lang w:val="en-US" w:eastAsia="zh-CN"/>
                <w:highlight w:val="none"/>
              </w:rPr>
            </w:pPr>
            <w:r>
              <w:rPr>
                <w:rFonts w:ascii="Times New Roman" w:eastAsia="宋体" w:cs="Times New Roman" w:hAnsi="Times New Roman" w:hint="eastAsia"/>
                <w:color w:val="auto"/>
                <w:lang w:val="en-US" w:eastAsia="zh-CN"/>
                <w:highlight w:val="none"/>
              </w:rPr>
              <w:t>本项目与规划环评结论符合性分析情况见下表：</w:t>
            </w:r>
          </w:p>
          <w:p>
            <w:pPr>
              <w:pStyle w:val="56"/>
              <w:keepNext w:val="0"/>
              <w:keepLines w:val="0"/>
              <w:pageBreakBefore w:val="0"/>
              <w:widowControl w:val="0"/>
              <w:kinsoku/>
              <w:wordWrap/>
              <w:overflowPunct/>
              <w:topLinePunct w:val="0"/>
              <w:autoSpaceDE/>
              <w:autoSpaceDN/>
              <w:bidi w:val="0"/>
              <w:adjustRightInd w:val="0"/>
              <w:snapToGrid/>
              <w:spacing w:line="240" w:lineRule="auto"/>
              <w:ind w:firstLineChars="0" w:firstLine="0"/>
              <w:jc w:val="center"/>
              <w:textAlignment w:val="baseline"/>
              <w:rPr>
                <w:rFonts w:ascii="Times New Roman" w:eastAsia="宋体" w:cs="Times New Roman" w:hAnsi="Times New Roman"/>
                <w:b/>
                <w:bCs/>
                <w:color w:val="auto"/>
                <w:sz w:val="24"/>
                <w:highlight w:val="none"/>
              </w:rPr>
            </w:pPr>
            <w:r>
              <w:rPr>
                <w:rFonts w:ascii="Times New Roman" w:eastAsia="宋体" w:cs="Times New Roman" w:hAnsi="Times New Roman" w:hint="eastAsia"/>
                <w:b/>
                <w:bCs/>
                <w:color w:val="auto"/>
                <w:sz w:val="24"/>
                <w:lang w:val="en-US" w:eastAsia="zh-CN"/>
                <w:highlight w:val="none"/>
              </w:rPr>
              <w:t>表</w:t>
            </w:r>
            <w:r>
              <w:rPr>
                <w:rFonts w:ascii="Times New Roman" w:eastAsia="宋体" w:cs="Times New Roman" w:hAnsi="Times New Roman"/>
                <w:b/>
                <w:bCs/>
                <w:color w:val="auto"/>
                <w:sz w:val="24"/>
                <w:lang w:val="en-US" w:eastAsia="zh-CN"/>
                <w:highlight w:val="none"/>
              </w:rPr>
              <w:t>1-</w:t>
            </w:r>
            <w:r>
              <w:rPr>
                <w:rFonts w:cs="Times New Roman" w:hint="eastAsia"/>
                <w:b/>
                <w:bCs/>
                <w:color w:val="auto"/>
                <w:sz w:val="24"/>
                <w:lang w:val="en-US" w:eastAsia="zh-CN"/>
                <w:highlight w:val="none"/>
              </w:rPr>
              <w:t>4</w:t>
            </w:r>
            <w:r>
              <w:rPr>
                <w:rFonts w:ascii="Times New Roman" w:eastAsia="宋体" w:cs="Times New Roman" w:hAnsi="Times New Roman" w:hint="eastAsia"/>
                <w:color w:val="auto"/>
                <w:lang w:val="en-US" w:eastAsia="zh-CN"/>
                <w:highlight w:val="none"/>
              </w:rPr>
              <w:t xml:space="preserve">  </w:t>
            </w:r>
            <w:r>
              <w:rPr>
                <w:rFonts w:ascii="Times New Roman" w:eastAsia="宋体" w:cs="Times New Roman" w:hAnsi="Times New Roman"/>
                <w:color w:val="auto"/>
                <w:lang w:val="en-US" w:eastAsia="zh-CN"/>
                <w:highlight w:val="none"/>
              </w:rPr>
              <w:t xml:space="preserve"> </w:t>
            </w:r>
            <w:r>
              <w:rPr>
                <w:rFonts w:ascii="Times New Roman" w:eastAsia="宋体" w:cs="Times New Roman" w:hAnsi="Times New Roman" w:hint="eastAsia"/>
                <w:b/>
                <w:bCs/>
                <w:color w:val="auto"/>
                <w:sz w:val="24"/>
                <w:lang w:val="en-US" w:eastAsia="zh-CN"/>
                <w:highlight w:val="none"/>
              </w:rPr>
              <w:t>项目与规划环评结论符合性分析一览表</w:t>
            </w:r>
          </w:p>
          <w:tbl>
            <w:tblPr>
              <w:jc w:val="center"/>
              <w:tblW w:w="7592" w:type="dxa"/>
              <w:tblBorders>
                <w:top w:val="single" w:sz="12" w:space="0" w:color="auto"/>
                <w:left w:val="none" w:sz="0" w:space="0" w:color="auto"/>
                <w:bottom w:val="single" w:sz="12" w:space="0" w:color="auto"/>
                <w:right w:val="none" w:sz="0" w:space="0" w:color="auto"/>
                <w:insideH w:val="single" w:sz="4" w:space="0" w:color="auto"/>
                <w:insideV w:val="single" w:sz="4" w:space="0" w:color="auto"/>
              </w:tblBorders>
              <w:tblCellMar>
                <w:top w:w="0" w:type="dxa"/>
                <w:left w:w="108" w:type="dxa"/>
                <w:bottom w:w="0" w:type="dxa"/>
                <w:right w:w="108" w:type="dxa"/>
              </w:tblCellMar>
              <w:tblLook w:val="0600" w:firstRow="0" w:lastRow="0" w:firstColumn="0" w:lastColumn="0" w:noHBand="1" w:noVBand="1"/>
            </w:tblPr>
            <w:tblGrid>
              <w:gridCol w:w="734"/>
              <w:gridCol w:w="3114"/>
              <w:gridCol w:w="2880"/>
              <w:gridCol w:w="864"/>
            </w:tblGrid>
            <w:tr>
              <w:trPr>
                <w:trHeight w:val="397"/>
              </w:trPr>
              <w:tc>
                <w:tcPr>
                  <w:tcW w:w="734" w:type="dxa"/>
                  <w:tcBorders>
                    <w:tl2br w:val="nil"/>
                    <w:tr2bl w:val="nil"/>
                  </w:tcBorders>
                  <w:vAlign w:val="center"/>
                </w:tcPr>
                <w:p>
                  <w:pPr>
                    <w:pStyle w:val="56"/>
                    <w:keepNext w:val="0"/>
                    <w:keepLines w:val="0"/>
                    <w:pageBreakBefore w:val="0"/>
                    <w:kinsoku/>
                    <w:wordWrap/>
                    <w:overflowPunct/>
                    <w:topLinePunct w:val="0"/>
                    <w:autoSpaceDE/>
                    <w:autoSpaceDN/>
                    <w:bidi w:val="0"/>
                    <w:adjustRightInd w:val="0"/>
                    <w:snapToGrid/>
                    <w:spacing w:line="240" w:lineRule="auto"/>
                    <w:ind w:firstLineChars="0" w:firstLine="0"/>
                    <w:jc w:val="center"/>
                    <w:rPr>
                      <w:rFonts w:ascii="Times New Roman" w:eastAsia="宋体" w:cs="Times New Roman" w:hAnsi="Times New Roman" w:hint="eastAsia"/>
                      <w:b/>
                      <w:bCs/>
                      <w:color w:val="auto"/>
                      <w:kern w:val="2"/>
                      <w:sz w:val="21"/>
                      <w:szCs w:val="21"/>
                      <w:lang w:val="en-US" w:eastAsia="zh-CN" w:bidi="ar-SA"/>
                      <w:highlight w:val="none"/>
                    </w:rPr>
                  </w:pPr>
                  <w:r>
                    <w:rPr>
                      <w:rFonts w:ascii="Times New Roman" w:eastAsia="宋体" w:cs="Times New Roman" w:hAnsi="Times New Roman" w:hint="eastAsia"/>
                      <w:b/>
                      <w:bCs/>
                      <w:color w:val="auto"/>
                      <w:kern w:val="2"/>
                      <w:sz w:val="21"/>
                      <w:szCs w:val="21"/>
                      <w:lang w:val="en-US" w:eastAsia="zh-CN" w:bidi="ar-SA"/>
                      <w:highlight w:val="none"/>
                    </w:rPr>
                    <w:t>序号</w:t>
                  </w:r>
                </w:p>
              </w:tc>
              <w:tc>
                <w:tcPr>
                  <w:tcW w:w="311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napToGrid/>
                    <w:spacing w:line="240" w:lineRule="auto"/>
                    <w:ind w:firstLine="0"/>
                    <w:jc w:val="center"/>
                    <w:rPr>
                      <w:rFonts w:ascii="Times New Roman" w:eastAsia="宋体" w:cs="Times New Roman" w:hAnsi="Times New Roman"/>
                      <w:b/>
                      <w:bCs/>
                      <w:color w:val="auto"/>
                      <w:kern w:val="2"/>
                      <w:sz w:val="21"/>
                      <w:szCs w:val="21"/>
                      <w:lang w:val="en-US" w:eastAsia="zh-CN" w:bidi="ar-SA"/>
                      <w:highlight w:val="none"/>
                    </w:rPr>
                  </w:pPr>
                  <w:r>
                    <w:rPr>
                      <w:rFonts w:ascii="Times New Roman" w:eastAsia="宋体" w:cs="Times New Roman" w:hAnsi="Times New Roman" w:hint="eastAsia"/>
                      <w:b/>
                      <w:bCs/>
                      <w:color w:val="auto"/>
                      <w:kern w:val="2"/>
                      <w:sz w:val="21"/>
                      <w:szCs w:val="21"/>
                      <w:lang w:val="en-US" w:eastAsia="zh-CN" w:bidi="ar-SA"/>
                      <w:highlight w:val="none"/>
                    </w:rPr>
                    <w:t>相关内容</w:t>
                  </w:r>
                </w:p>
              </w:tc>
              <w:tc>
                <w:tcPr>
                  <w:tcW w:w="288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napToGrid/>
                    <w:spacing w:line="240" w:lineRule="auto"/>
                    <w:ind w:firstLine="0"/>
                    <w:jc w:val="center"/>
                    <w:rPr>
                      <w:rFonts w:ascii="Times New Roman" w:eastAsia="宋体" w:cs="Times New Roman" w:hAnsi="Times New Roman"/>
                      <w:b/>
                      <w:bCs/>
                      <w:color w:val="auto"/>
                      <w:kern w:val="2"/>
                      <w:sz w:val="21"/>
                      <w:szCs w:val="21"/>
                      <w:lang w:val="en-US" w:eastAsia="zh-CN" w:bidi="ar-SA"/>
                      <w:highlight w:val="none"/>
                    </w:rPr>
                  </w:pPr>
                  <w:r>
                    <w:rPr>
                      <w:rFonts w:ascii="Times New Roman" w:eastAsia="宋体" w:cs="Times New Roman" w:hAnsi="Times New Roman" w:hint="eastAsia"/>
                      <w:b/>
                      <w:bCs/>
                      <w:color w:val="auto"/>
                      <w:kern w:val="2"/>
                      <w:sz w:val="21"/>
                      <w:szCs w:val="21"/>
                      <w:lang w:val="en-US" w:eastAsia="zh-CN" w:bidi="ar-SA"/>
                      <w:highlight w:val="none"/>
                    </w:rPr>
                    <w:t>项目情况</w:t>
                  </w:r>
                </w:p>
              </w:tc>
              <w:tc>
                <w:tcPr>
                  <w:tcW w:w="86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napToGrid/>
                    <w:spacing w:line="240" w:lineRule="auto"/>
                    <w:ind w:firstLine="0"/>
                    <w:jc w:val="center"/>
                    <w:rPr>
                      <w:rFonts w:ascii="Times New Roman" w:eastAsia="宋体" w:cs="Times New Roman" w:hAnsi="Times New Roman"/>
                      <w:b/>
                      <w:bCs/>
                      <w:color w:val="auto"/>
                      <w:kern w:val="2"/>
                      <w:sz w:val="21"/>
                      <w:szCs w:val="21"/>
                      <w:lang w:val="en-US" w:eastAsia="zh-CN" w:bidi="ar-SA"/>
                      <w:highlight w:val="none"/>
                    </w:rPr>
                  </w:pPr>
                  <w:r>
                    <w:rPr>
                      <w:rFonts w:ascii="Times New Roman" w:eastAsia="宋体" w:cs="Times New Roman" w:hAnsi="Times New Roman" w:hint="eastAsia"/>
                      <w:b/>
                      <w:bCs/>
                      <w:color w:val="auto"/>
                      <w:kern w:val="2"/>
                      <w:sz w:val="21"/>
                      <w:szCs w:val="21"/>
                      <w:lang w:val="en-US" w:eastAsia="zh-CN" w:bidi="ar-SA"/>
                      <w:highlight w:val="none"/>
                    </w:rPr>
                    <w:t>符合性</w:t>
                  </w:r>
                </w:p>
              </w:tc>
            </w:tr>
            <w:tr>
              <w:trPr>
                <w:trHeight w:val="397"/>
              </w:trPr>
              <w:tc>
                <w:tcPr>
                  <w:tcW w:w="734" w:type="dxa"/>
                  <w:tcBorders>
                    <w:tl2br w:val="nil"/>
                    <w:tr2bl w:val="nil"/>
                  </w:tcBorders>
                  <w:vAlign w:val="center"/>
                </w:tcPr>
                <w:p>
                  <w:pPr>
                    <w:keepNext w:val="0"/>
                    <w:keepLines w:val="0"/>
                    <w:pageBreakBefore w:val="0"/>
                    <w:kinsoku/>
                    <w:wordWrap/>
                    <w:overflowPunct/>
                    <w:topLinePunct w:val="0"/>
                    <w:autoSpaceDE/>
                    <w:autoSpaceDN/>
                    <w:bidi w:val="0"/>
                    <w:snapToGrid/>
                    <w:spacing w:line="240" w:lineRule="auto"/>
                    <w:jc w:val="center"/>
                    <w:rPr>
                      <w:rFonts w:ascii="Times New Roman" w:eastAsia="宋体" w:cs="Times New Roman" w:hAnsi="Times New Roman" w:hint="eastAsia"/>
                      <w:color w:val="auto"/>
                      <w:sz w:val="21"/>
                      <w:szCs w:val="21"/>
                      <w:lang w:val="en-US" w:eastAsia="zh-CN"/>
                      <w:highlight w:val="none"/>
                    </w:rPr>
                  </w:pPr>
                  <w:r>
                    <w:rPr>
                      <w:rFonts w:ascii="Times New Roman" w:eastAsia="宋体" w:cs="Times New Roman" w:hAnsi="Times New Roman" w:hint="eastAsia"/>
                      <w:color w:val="auto"/>
                      <w:sz w:val="21"/>
                      <w:szCs w:val="21"/>
                      <w:lang w:val="en-US" w:eastAsia="zh-CN"/>
                      <w:highlight w:val="none"/>
                    </w:rPr>
                    <w:t>1</w:t>
                  </w:r>
                </w:p>
              </w:tc>
              <w:tc>
                <w:tcPr>
                  <w:tcW w:w="311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napToGrid/>
                    <w:spacing w:line="240" w:lineRule="auto"/>
                    <w:ind w:firstLine="0"/>
                    <w:jc w:val="both"/>
                    <w:rPr>
                      <w:rFonts w:ascii="Times New Roman" w:eastAsia="宋体" w:cs="Times New Roman" w:hAnsi="Times New Roman"/>
                      <w:color w:val="auto"/>
                      <w:kern w:val="2"/>
                      <w:sz w:val="21"/>
                      <w:szCs w:val="21"/>
                      <w:lang w:val="en-US" w:eastAsia="zh-CN" w:bidi="ar-SA"/>
                      <w:highlight w:val="none"/>
                    </w:rPr>
                  </w:pPr>
                  <w:r>
                    <w:rPr>
                      <w:rFonts w:ascii="Times New Roman" w:eastAsia="宋体" w:cs="Times New Roman" w:hAnsi="Times New Roman" w:hint="eastAsia"/>
                      <w:color w:val="auto"/>
                      <w:kern w:val="2"/>
                      <w:sz w:val="21"/>
                      <w:szCs w:val="21"/>
                      <w:lang w:val="en-US" w:eastAsia="zh-CN" w:bidi="ar-SA"/>
                      <w:highlight w:val="none"/>
                    </w:rPr>
                    <w:t>规划分析结论：阐述了规划期限、范围、园区性质、产业定位。</w:t>
                  </w:r>
                </w:p>
              </w:tc>
              <w:tc>
                <w:tcPr>
                  <w:tcW w:w="2880" w:type="dxa"/>
                  <w:vMerge w:val="restart"/>
                  <w:tcBorders>
                    <w:tl2br w:val="nil"/>
                    <w:tr2bl w:val="nil"/>
                  </w:tcBorders>
                  <w:vAlign w:val="center"/>
                </w:tcPr>
                <w:p>
                  <w:pPr>
                    <w:pStyle w:val="56"/>
                    <w:keepNext w:val="0"/>
                    <w:keepLines w:val="0"/>
                    <w:pageBreakBefore w:val="0"/>
                    <w:kinsoku/>
                    <w:wordWrap/>
                    <w:overflowPunct/>
                    <w:topLinePunct w:val="0"/>
                    <w:autoSpaceDE/>
                    <w:autoSpaceDN/>
                    <w:bidi w:val="0"/>
                    <w:adjustRightInd w:val="0"/>
                    <w:snapToGrid/>
                    <w:spacing w:line="240" w:lineRule="auto"/>
                    <w:ind w:left="0" w:firstLineChars="0" w:firstLine="0"/>
                    <w:rPr>
                      <w:rFonts w:ascii="Times New Roman" w:eastAsia="宋体" w:cs="Times New Roman" w:hAnsi="Times New Roman"/>
                      <w:color w:val="auto"/>
                      <w:kern w:val="2"/>
                      <w:sz w:val="21"/>
                      <w:szCs w:val="21"/>
                      <w:lang w:val="en-US" w:eastAsia="zh-CN" w:bidi="ar-SA"/>
                      <w:highlight w:val="none"/>
                    </w:rPr>
                  </w:pPr>
                  <w:r>
                    <w:rPr>
                      <w:rFonts w:ascii="Times New Roman" w:eastAsia="宋体" w:cs="Times New Roman" w:hAnsi="Times New Roman"/>
                      <w:color w:val="auto"/>
                      <w:kern w:val="2"/>
                      <w:sz w:val="21"/>
                      <w:szCs w:val="21"/>
                      <w:lang w:val="en-US" w:eastAsia="zh-CN" w:bidi="ar-SA"/>
                      <w:highlight w:val="none"/>
                    </w:rPr>
                    <w:t>项目位于</w:t>
                  </w:r>
                  <w:r>
                    <w:rPr>
                      <w:rFonts w:cs="Times New Roman" w:hint="eastAsia"/>
                      <w:color w:val="auto"/>
                      <w:kern w:val="2"/>
                      <w:sz w:val="21"/>
                      <w:szCs w:val="21"/>
                      <w:lang w:val="en-US" w:eastAsia="zh-CN" w:bidi="ar-SA"/>
                      <w:highlight w:val="none"/>
                    </w:rPr>
                    <w:t>石家庄市栾城区装备制造基地楼底镇段家营村裕翔街168号103厂房（南）</w:t>
                  </w:r>
                  <w:r>
                    <w:rPr>
                      <w:rFonts w:ascii="Times New Roman" w:eastAsia="宋体" w:cs="Times New Roman" w:hAnsi="Times New Roman"/>
                      <w:color w:val="auto"/>
                      <w:kern w:val="2"/>
                      <w:sz w:val="21"/>
                      <w:szCs w:val="21"/>
                      <w:lang w:val="en-US" w:eastAsia="zh-CN" w:bidi="ar-SA"/>
                      <w:highlight w:val="none"/>
                    </w:rPr>
                    <w:t>，</w:t>
                  </w:r>
                  <w:r>
                    <w:rPr>
                      <w:rFonts w:cs="Times New Roman" w:hint="eastAsia"/>
                      <w:color w:val="auto"/>
                      <w:sz w:val="21"/>
                      <w:szCs w:val="21"/>
                      <w:lang w:val="en-US" w:eastAsia="zh-CN"/>
                      <w:highlight w:val="none"/>
                    </w:rPr>
                    <w:t>位于</w:t>
                  </w:r>
                  <w:r>
                    <w:rPr>
                      <w:rFonts w:ascii="Times New Roman" w:cs="Times New Roman" w:hAnsi="Times New Roman" w:hint="eastAsia"/>
                      <w:color w:val="auto"/>
                      <w:sz w:val="21"/>
                      <w:szCs w:val="21"/>
                      <w:lang w:val="en-US" w:eastAsia="zh-CN"/>
                      <w:highlight w:val="none"/>
                    </w:rPr>
                    <w:t>装备制造产业园区</w:t>
                  </w:r>
                  <w:r>
                    <w:rPr>
                      <w:rFonts w:cs="Times New Roman" w:hint="eastAsia"/>
                      <w:color w:val="auto"/>
                      <w:sz w:val="21"/>
                      <w:szCs w:val="21"/>
                      <w:lang w:val="en-US" w:eastAsia="zh-CN"/>
                      <w:highlight w:val="none"/>
                    </w:rPr>
                    <w:t>，涉</w:t>
                  </w:r>
                  <w:r>
                    <w:rPr>
                      <w:rFonts w:ascii="Times New Roman" w:cs="Times New Roman" w:hAnsi="Times New Roman" w:hint="eastAsia"/>
                      <w:color w:val="auto"/>
                      <w:sz w:val="21"/>
                      <w:szCs w:val="21"/>
                      <w:lang w:val="en-US" w:eastAsia="zh-CN"/>
                      <w:highlight w:val="none"/>
                    </w:rPr>
                    <w:t>及行业为生态保护和环境治理业</w:t>
                  </w:r>
                  <w:r>
                    <w:rPr>
                      <w:rFonts w:cs="Times New Roman" w:hint="eastAsia"/>
                      <w:color w:val="auto"/>
                      <w:sz w:val="21"/>
                      <w:szCs w:val="21"/>
                      <w:lang w:val="en-US" w:eastAsia="zh-CN"/>
                      <w:highlight w:val="none"/>
                    </w:rPr>
                    <w:t>、</w:t>
                  </w:r>
                  <w:r>
                    <w:rPr>
                      <w:rFonts w:ascii="Times New Roman" w:cs="Times New Roman" w:hAnsi="Times New Roman" w:hint="eastAsia"/>
                      <w:color w:val="auto"/>
                      <w:sz w:val="21"/>
                      <w:szCs w:val="21"/>
                      <w:lang w:val="en-US" w:eastAsia="zh-CN"/>
                      <w:highlight w:val="none"/>
                    </w:rPr>
                    <w:t>仓储业</w:t>
                  </w:r>
                  <w:r>
                    <w:rPr>
                      <w:rFonts w:ascii="Times New Roman" w:eastAsia="宋体" w:cs="Times New Roman" w:hAnsi="Times New Roman" w:hint="eastAsia"/>
                      <w:color w:val="auto"/>
                      <w:spacing w:val="-6"/>
                      <w:sz w:val="21"/>
                      <w:szCs w:val="21"/>
                      <w:lang w:eastAsia="zh-CN"/>
                      <w:highlight w:val="none"/>
                    </w:rPr>
                    <w:t>，</w:t>
                  </w:r>
                  <w:r>
                    <w:rPr>
                      <w:rFonts w:cs="Times New Roman" w:hint="eastAsia"/>
                      <w:color w:val="auto"/>
                      <w:spacing w:val="-6"/>
                      <w:sz w:val="21"/>
                      <w:szCs w:val="21"/>
                      <w:lang w:eastAsia="zh-CN"/>
                      <w:highlight w:val="none"/>
                    </w:rPr>
                    <w:t>属于园区</w:t>
                  </w:r>
                  <w:r>
                    <w:rPr>
                      <w:rFonts w:ascii="Times New Roman" w:cs="Times New Roman" w:hAnsi="Times New Roman"/>
                      <w:color w:val="auto"/>
                      <w:sz w:val="21"/>
                      <w:szCs w:val="21"/>
                      <w:highlight w:val="none"/>
                    </w:rPr>
                    <w:t>配套服务产业</w:t>
                  </w:r>
                  <w:r>
                    <w:rPr>
                      <w:rFonts w:cs="Times New Roman" w:hint="eastAsia"/>
                      <w:color w:val="auto"/>
                      <w:sz w:val="21"/>
                      <w:szCs w:val="21"/>
                      <w:lang w:val="en-US" w:eastAsia="zh-CN"/>
                      <w:highlight w:val="none"/>
                    </w:rPr>
                    <w:t>。</w:t>
                  </w:r>
                  <w:r>
                    <w:rPr>
                      <w:rFonts w:ascii="Times New Roman" w:eastAsia="宋体" w:cs="Times New Roman" w:hAnsi="Times New Roman" w:hint="eastAsia"/>
                      <w:color w:val="auto"/>
                      <w:sz w:val="21"/>
                      <w:szCs w:val="21"/>
                      <w:lang w:val="en-US" w:eastAsia="zh-CN"/>
                      <w:highlight w:val="none"/>
                    </w:rPr>
                    <w:t>项目租赁河北泽豪环保新材料科技有限公司闲置库房和两间办公室，</w:t>
                  </w:r>
                  <w:r>
                    <w:rPr>
                      <w:rFonts w:cs="Times New Roman" w:hint="eastAsia"/>
                      <w:color w:val="auto"/>
                      <w:sz w:val="21"/>
                      <w:szCs w:val="21"/>
                      <w:lang w:val="en-US" w:eastAsia="zh-CN"/>
                      <w:highlight w:val="none"/>
                    </w:rPr>
                    <w:t>根据中华人民共和国不动产权证书（冀（2016）栾城区不动产权第0000959号），占地为</w:t>
                  </w:r>
                  <w:r>
                    <w:rPr>
                      <w:rFonts w:ascii="Times New Roman" w:cs="Times New Roman" w:hAnsi="Times New Roman"/>
                      <w:color w:val="auto"/>
                      <w:sz w:val="21"/>
                      <w:szCs w:val="21"/>
                      <w:highlight w:val="none"/>
                    </w:rPr>
                    <w:t>工业用地，符合用地规划</w:t>
                  </w:r>
                  <w:r>
                    <w:rPr>
                      <w:rFonts w:ascii="Times New Roman" w:eastAsia="宋体" w:cs="Times New Roman" w:hAnsi="Times New Roman"/>
                      <w:color w:val="auto"/>
                      <w:kern w:val="2"/>
                      <w:sz w:val="21"/>
                      <w:szCs w:val="21"/>
                      <w:lang w:val="en-US" w:eastAsia="zh-CN" w:bidi="ar-SA"/>
                      <w:highlight w:val="none"/>
                    </w:rPr>
                    <w:t>。</w:t>
                  </w:r>
                </w:p>
              </w:tc>
              <w:tc>
                <w:tcPr>
                  <w:tcW w:w="864" w:type="dxa"/>
                  <w:tcBorders>
                    <w:tl2br w:val="nil"/>
                    <w:tr2bl w:val="nil"/>
                  </w:tcBorders>
                  <w:vAlign w:val="center"/>
                </w:tcPr>
                <w:p>
                  <w:pPr>
                    <w:keepNext w:val="0"/>
                    <w:keepLines w:val="0"/>
                    <w:pageBreakBefore w:val="0"/>
                    <w:widowControl w:val="0"/>
                    <w:kinsoku/>
                    <w:wordWrap/>
                    <w:overflowPunct/>
                    <w:topLinePunct w:val="0"/>
                    <w:autoSpaceDE/>
                    <w:autoSpaceDN/>
                    <w:bidi w:val="0"/>
                    <w:snapToGrid/>
                    <w:spacing w:line="240" w:lineRule="auto"/>
                    <w:jc w:val="center"/>
                    <w:rPr>
                      <w:rFonts w:ascii="Times New Roman" w:eastAsia="宋体" w:cs="Times New Roman" w:hAnsi="Times New Roman"/>
                      <w:color w:val="auto"/>
                      <w:kern w:val="2"/>
                      <w:sz w:val="21"/>
                      <w:szCs w:val="21"/>
                      <w:lang w:val="en-US" w:eastAsia="zh-CN" w:bidi="ar-SA"/>
                      <w:highlight w:val="none"/>
                    </w:rPr>
                  </w:pPr>
                  <w:r>
                    <w:rPr>
                      <w:rFonts w:ascii="Times New Roman" w:eastAsia="宋体" w:cs="Times New Roman" w:hAnsi="Times New Roman" w:hint="eastAsia"/>
                      <w:color w:val="auto"/>
                      <w:kern w:val="2"/>
                      <w:sz w:val="21"/>
                      <w:szCs w:val="21"/>
                      <w:lang w:val="en-US" w:eastAsia="zh-CN" w:bidi="ar-SA"/>
                      <w:highlight w:val="none"/>
                    </w:rPr>
                    <w:t>符合</w:t>
                  </w:r>
                </w:p>
              </w:tc>
            </w:tr>
            <w:tr>
              <w:trPr>
                <w:trHeight w:val="397"/>
              </w:trPr>
              <w:tc>
                <w:tcPr>
                  <w:tcW w:w="734" w:type="dxa"/>
                  <w:tcBorders>
                    <w:tl2br w:val="nil"/>
                    <w:tr2bl w:val="nil"/>
                  </w:tcBorders>
                  <w:vAlign w:val="center"/>
                </w:tcPr>
                <w:p>
                  <w:pPr>
                    <w:keepNext w:val="0"/>
                    <w:keepLines w:val="0"/>
                    <w:pageBreakBefore w:val="0"/>
                    <w:kinsoku/>
                    <w:wordWrap/>
                    <w:overflowPunct/>
                    <w:topLinePunct w:val="0"/>
                    <w:autoSpaceDE/>
                    <w:autoSpaceDN/>
                    <w:bidi w:val="0"/>
                    <w:snapToGrid/>
                    <w:spacing w:line="240" w:lineRule="auto"/>
                    <w:jc w:val="center"/>
                    <w:rPr>
                      <w:rFonts w:ascii="Times New Roman" w:eastAsia="宋体" w:cs="Times New Roman" w:hAnsi="Times New Roman" w:hint="eastAsia"/>
                      <w:color w:val="auto"/>
                      <w:sz w:val="21"/>
                      <w:szCs w:val="21"/>
                      <w:lang w:val="en-US" w:eastAsia="zh-CN"/>
                      <w:highlight w:val="none"/>
                    </w:rPr>
                  </w:pPr>
                  <w:r>
                    <w:rPr>
                      <w:rFonts w:ascii="Times New Roman" w:eastAsia="宋体" w:cs="Times New Roman" w:hAnsi="Times New Roman" w:hint="eastAsia"/>
                      <w:color w:val="auto"/>
                      <w:sz w:val="21"/>
                      <w:szCs w:val="21"/>
                      <w:lang w:val="en-US" w:eastAsia="zh-CN"/>
                      <w:highlight w:val="none"/>
                    </w:rPr>
                    <w:t>2</w:t>
                  </w:r>
                </w:p>
              </w:tc>
              <w:tc>
                <w:tcPr>
                  <w:tcW w:w="311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napToGrid/>
                    <w:spacing w:line="240" w:lineRule="auto"/>
                    <w:ind w:firstLine="0"/>
                    <w:jc w:val="both"/>
                    <w:rPr>
                      <w:rFonts w:ascii="Times New Roman" w:eastAsia="宋体" w:cs="Times New Roman" w:hAnsi="Times New Roman"/>
                      <w:color w:val="auto"/>
                      <w:kern w:val="2"/>
                      <w:sz w:val="21"/>
                      <w:szCs w:val="21"/>
                      <w:lang w:val="en-US" w:eastAsia="zh-CN" w:bidi="ar-SA"/>
                      <w:highlight w:val="none"/>
                    </w:rPr>
                  </w:pPr>
                  <w:r>
                    <w:rPr>
                      <w:rFonts w:ascii="Times New Roman" w:eastAsia="宋体" w:cs="Times New Roman" w:hAnsi="Times New Roman" w:hint="eastAsia"/>
                      <w:color w:val="auto"/>
                      <w:kern w:val="2"/>
                      <w:sz w:val="21"/>
                      <w:szCs w:val="21"/>
                      <w:lang w:val="en-US" w:eastAsia="zh-CN" w:bidi="ar-SA"/>
                      <w:highlight w:val="none"/>
                    </w:rPr>
                    <w:t>规划的协调性分析结论：通过与国家、省、市有关规划的分析，规划与国民经济发展规划、环保规划、行业规划等相关规划的要求基本一致。规划发展的产业定位与相关的产业政策和规划要求也一致或不冲突。</w:t>
                  </w:r>
                </w:p>
              </w:tc>
              <w:tc>
                <w:tcPr>
                  <w:tcW w:w="2880" w:type="dxa"/>
                  <w:vMerge/>
                  <w:tcBorders>
                    <w:tl2br w:val="nil"/>
                    <w:tr2bl w:val="nil"/>
                  </w:tcBorders>
                  <w:vAlign w:val="center"/>
                </w:tcPr>
                <w:p/>
              </w:tc>
              <w:tc>
                <w:tcPr>
                  <w:tcW w:w="864" w:type="dxa"/>
                  <w:tcBorders>
                    <w:tl2br w:val="nil"/>
                    <w:tr2bl w:val="nil"/>
                  </w:tcBorders>
                  <w:vAlign w:val="center"/>
                </w:tcPr>
                <w:p>
                  <w:pPr>
                    <w:keepNext w:val="0"/>
                    <w:keepLines w:val="0"/>
                    <w:pageBreakBefore w:val="0"/>
                    <w:kinsoku/>
                    <w:wordWrap/>
                    <w:overflowPunct/>
                    <w:topLinePunct w:val="0"/>
                    <w:autoSpaceDE/>
                    <w:autoSpaceDN/>
                    <w:bidi w:val="0"/>
                    <w:snapToGrid/>
                    <w:spacing w:line="240" w:lineRule="auto"/>
                    <w:jc w:val="center"/>
                    <w:rPr>
                      <w:rFonts w:ascii="Times New Roman" w:eastAsia="宋体" w:cs="Times New Roman" w:hAnsi="Times New Roman"/>
                      <w:color w:val="auto"/>
                      <w:kern w:val="2"/>
                      <w:sz w:val="21"/>
                      <w:szCs w:val="21"/>
                      <w:lang w:val="en-US" w:eastAsia="zh-CN" w:bidi="ar-SA"/>
                      <w:highlight w:val="none"/>
                    </w:rPr>
                  </w:pPr>
                  <w:r>
                    <w:rPr>
                      <w:rFonts w:ascii="Times New Roman" w:eastAsia="宋体" w:cs="Times New Roman" w:hAnsi="Times New Roman" w:hint="eastAsia"/>
                      <w:color w:val="auto"/>
                      <w:kern w:val="2"/>
                      <w:sz w:val="21"/>
                      <w:szCs w:val="21"/>
                      <w:lang w:val="en-US" w:eastAsia="zh-CN" w:bidi="ar-SA"/>
                      <w:highlight w:val="none"/>
                    </w:rPr>
                    <w:t>符合</w:t>
                  </w:r>
                </w:p>
              </w:tc>
            </w:tr>
            <w:tr>
              <w:trPr>
                <w:trHeight w:val="397"/>
              </w:trPr>
              <w:tc>
                <w:tcPr>
                  <w:tcW w:w="734" w:type="dxa"/>
                  <w:tcBorders>
                    <w:tl2br w:val="nil"/>
                    <w:tr2bl w:val="nil"/>
                  </w:tcBorders>
                  <w:vAlign w:val="center"/>
                </w:tcPr>
                <w:p>
                  <w:pPr>
                    <w:pStyle w:val="56"/>
                    <w:keepNext w:val="0"/>
                    <w:keepLines w:val="0"/>
                    <w:pageBreakBefore w:val="0"/>
                    <w:kinsoku/>
                    <w:wordWrap/>
                    <w:overflowPunct/>
                    <w:topLinePunct w:val="0"/>
                    <w:autoSpaceDE/>
                    <w:autoSpaceDN/>
                    <w:bidi w:val="0"/>
                    <w:adjustRightInd w:val="0"/>
                    <w:snapToGrid/>
                    <w:spacing w:line="240" w:lineRule="auto"/>
                    <w:ind w:firstLineChars="0" w:firstLine="0"/>
                    <w:jc w:val="center"/>
                    <w:rPr>
                      <w:rFonts w:ascii="Times New Roman" w:eastAsia="宋体" w:cs="Times New Roman" w:hAnsi="Times New Roman" w:hint="eastAsia"/>
                      <w:color w:val="auto"/>
                      <w:kern w:val="2"/>
                      <w:sz w:val="21"/>
                      <w:szCs w:val="21"/>
                      <w:lang w:val="en-US" w:eastAsia="zh-CN" w:bidi="ar-SA"/>
                      <w:highlight w:val="none"/>
                    </w:rPr>
                  </w:pPr>
                  <w:r>
                    <w:rPr>
                      <w:rFonts w:ascii="Times New Roman" w:eastAsia="宋体" w:cs="Times New Roman" w:hAnsi="Times New Roman" w:hint="eastAsia"/>
                      <w:color w:val="auto"/>
                      <w:kern w:val="2"/>
                      <w:sz w:val="21"/>
                      <w:szCs w:val="21"/>
                      <w:lang w:val="en-US" w:eastAsia="zh-CN" w:bidi="ar-SA"/>
                      <w:highlight w:val="none"/>
                    </w:rPr>
                    <w:t>3</w:t>
                  </w:r>
                </w:p>
              </w:tc>
              <w:tc>
                <w:tcPr>
                  <w:tcW w:w="311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napToGrid/>
                    <w:spacing w:line="240" w:lineRule="auto"/>
                    <w:ind w:firstLine="0"/>
                    <w:jc w:val="both"/>
                    <w:rPr>
                      <w:rFonts w:ascii="Times New Roman" w:eastAsia="宋体" w:cs="Times New Roman" w:hAnsi="Times New Roman"/>
                      <w:color w:val="auto"/>
                      <w:kern w:val="2"/>
                      <w:sz w:val="21"/>
                      <w:szCs w:val="21"/>
                      <w:lang w:val="en-US" w:eastAsia="zh-CN" w:bidi="ar-SA"/>
                      <w:highlight w:val="none"/>
                    </w:rPr>
                  </w:pPr>
                  <w:r>
                    <w:rPr>
                      <w:rFonts w:ascii="Times New Roman" w:eastAsia="宋体" w:cs="Times New Roman" w:hAnsi="Times New Roman" w:hint="eastAsia"/>
                      <w:color w:val="auto"/>
                      <w:kern w:val="2"/>
                      <w:sz w:val="21"/>
                      <w:szCs w:val="21"/>
                      <w:lang w:val="en-US" w:eastAsia="zh-CN" w:bidi="ar-SA"/>
                      <w:highlight w:val="none"/>
                    </w:rPr>
                    <w:t>环境质量现状分析结论</w:t>
                  </w:r>
                  <w:r>
                    <w:rPr>
                      <w:rFonts w:cs="Times New Roman" w:hint="eastAsia"/>
                      <w:color w:val="auto"/>
                      <w:kern w:val="2"/>
                      <w:sz w:val="21"/>
                      <w:szCs w:val="21"/>
                      <w:lang w:val="en-US" w:eastAsia="zh-CN" w:bidi="ar-SA"/>
                      <w:highlight w:val="none"/>
                    </w:rPr>
                    <w:t>：</w:t>
                  </w:r>
                  <w:r>
                    <w:rPr>
                      <w:rFonts w:ascii="Times New Roman" w:eastAsia="宋体" w:cs="Times New Roman" w:hAnsi="Times New Roman" w:hint="eastAsia"/>
                      <w:color w:val="auto"/>
                      <w:kern w:val="2"/>
                      <w:sz w:val="21"/>
                      <w:szCs w:val="21"/>
                      <w:lang w:val="en-US" w:eastAsia="zh-CN" w:bidi="ar-SA"/>
                      <w:highlight w:val="none"/>
                    </w:rPr>
                    <w:t>大气环境中PM</w:t>
                  </w:r>
                  <w:r>
                    <w:rPr>
                      <w:rFonts w:ascii="Times New Roman" w:eastAsia="宋体" w:cs="Times New Roman" w:hAnsi="Times New Roman" w:hint="eastAsia"/>
                      <w:color w:val="auto"/>
                      <w:kern w:val="2"/>
                      <w:sz w:val="21"/>
                      <w:szCs w:val="21"/>
                      <w:vertAlign w:val="subscript"/>
                      <w:lang w:val="en-US" w:eastAsia="zh-CN" w:bidi="ar-SA"/>
                      <w:highlight w:val="none"/>
                    </w:rPr>
                    <w:t>10</w:t>
                  </w:r>
                  <w:r>
                    <w:rPr>
                      <w:rFonts w:ascii="Times New Roman" w:eastAsia="宋体" w:cs="Times New Roman" w:hAnsi="Times New Roman" w:hint="eastAsia"/>
                      <w:color w:val="auto"/>
                      <w:kern w:val="2"/>
                      <w:sz w:val="21"/>
                      <w:szCs w:val="21"/>
                      <w:lang w:val="en-US" w:eastAsia="zh-CN" w:bidi="ar-SA"/>
                      <w:highlight w:val="none"/>
                    </w:rPr>
                    <w:t>、PM</w:t>
                  </w:r>
                  <w:r>
                    <w:rPr>
                      <w:rFonts w:cs="Times New Roman" w:hint="eastAsia"/>
                      <w:color w:val="auto"/>
                      <w:kern w:val="2"/>
                      <w:sz w:val="21"/>
                      <w:szCs w:val="21"/>
                      <w:vertAlign w:val="subscript"/>
                      <w:lang w:val="en-US" w:eastAsia="zh-CN" w:bidi="ar-SA"/>
                      <w:highlight w:val="none"/>
                    </w:rPr>
                    <w:t>2.5</w:t>
                  </w:r>
                  <w:r>
                    <w:rPr>
                      <w:rFonts w:ascii="Times New Roman" w:eastAsia="宋体" w:cs="Times New Roman" w:hAnsi="Times New Roman" w:hint="eastAsia"/>
                      <w:color w:val="auto"/>
                      <w:kern w:val="2"/>
                      <w:sz w:val="21"/>
                      <w:szCs w:val="21"/>
                      <w:lang w:val="en-US" w:eastAsia="zh-CN" w:bidi="ar-SA"/>
                      <w:highlight w:val="none"/>
                    </w:rPr>
                    <w:t>、</w:t>
                  </w:r>
                  <w:r>
                    <w:rPr>
                      <w:rFonts w:cs="Times New Roman" w:hint="eastAsia"/>
                      <w:color w:val="auto"/>
                      <w:kern w:val="2"/>
                      <w:sz w:val="21"/>
                      <w:szCs w:val="21"/>
                      <w:lang w:val="en-US" w:eastAsia="zh-CN" w:bidi="ar-SA"/>
                      <w:highlight w:val="none"/>
                    </w:rPr>
                    <w:t>O</w:t>
                  </w:r>
                  <w:r>
                    <w:rPr>
                      <w:rFonts w:ascii="Times New Roman" w:eastAsia="宋体" w:cs="Times New Roman" w:hAnsi="Times New Roman" w:hint="eastAsia"/>
                      <w:color w:val="auto"/>
                      <w:kern w:val="2"/>
                      <w:sz w:val="21"/>
                      <w:szCs w:val="21"/>
                      <w:vertAlign w:val="subscript"/>
                      <w:lang w:val="en-US" w:eastAsia="zh-CN" w:bidi="ar-SA"/>
                      <w:highlight w:val="none"/>
                    </w:rPr>
                    <w:t>3</w:t>
                  </w:r>
                  <w:r>
                    <w:rPr>
                      <w:rFonts w:ascii="Times New Roman" w:eastAsia="宋体" w:cs="Times New Roman" w:hAnsi="Times New Roman" w:hint="eastAsia"/>
                      <w:color w:val="auto"/>
                      <w:kern w:val="2"/>
                      <w:sz w:val="21"/>
                      <w:szCs w:val="21"/>
                      <w:lang w:val="en-US" w:eastAsia="zh-CN" w:bidi="ar-SA"/>
                      <w:highlight w:val="none"/>
                    </w:rPr>
                    <w:t>污染物年评价指标及部分监测点中补充监测TSP24小时平均浓度不满足，其他因子均符合相关空气质量标准</w:t>
                  </w:r>
                  <w:r>
                    <w:rPr>
                      <w:rFonts w:cs="Times New Roman" w:hint="eastAsia"/>
                      <w:color w:val="auto"/>
                      <w:kern w:val="2"/>
                      <w:sz w:val="21"/>
                      <w:szCs w:val="21"/>
                      <w:lang w:val="en-US" w:eastAsia="zh-CN" w:bidi="ar-SA"/>
                      <w:highlight w:val="none"/>
                    </w:rPr>
                    <w:t>；</w:t>
                  </w:r>
                  <w:r>
                    <w:rPr>
                      <w:rFonts w:ascii="Times New Roman" w:eastAsia="宋体" w:cs="Times New Roman" w:hAnsi="Times New Roman" w:hint="eastAsia"/>
                      <w:color w:val="auto"/>
                      <w:kern w:val="2"/>
                      <w:sz w:val="21"/>
                      <w:szCs w:val="21"/>
                      <w:lang w:val="en-US" w:eastAsia="zh-CN" w:bidi="ar-SA"/>
                      <w:highlight w:val="none"/>
                    </w:rPr>
                    <w:t>地表水环境中洨河、石家庄总退水渠、北沙河、槐河中总氮超标外其他因子均符合相关地表水质量标准</w:t>
                  </w:r>
                  <w:r>
                    <w:rPr>
                      <w:rFonts w:cs="Times New Roman" w:hint="eastAsia"/>
                      <w:color w:val="auto"/>
                      <w:kern w:val="2"/>
                      <w:sz w:val="21"/>
                      <w:szCs w:val="21"/>
                      <w:lang w:val="en-US" w:eastAsia="zh-CN" w:bidi="ar-SA"/>
                      <w:highlight w:val="none"/>
                    </w:rPr>
                    <w:t>；</w:t>
                  </w:r>
                  <w:r>
                    <w:rPr>
                      <w:rFonts w:ascii="Times New Roman" w:eastAsia="宋体" w:cs="Times New Roman" w:hAnsi="Times New Roman" w:hint="eastAsia"/>
                      <w:color w:val="auto"/>
                      <w:kern w:val="2"/>
                      <w:sz w:val="21"/>
                      <w:szCs w:val="21"/>
                      <w:lang w:val="en-US" w:eastAsia="zh-CN" w:bidi="ar-SA"/>
                      <w:highlight w:val="none"/>
                    </w:rPr>
                    <w:t>地下水环境中除总硬度</w:t>
                  </w:r>
                  <w:r>
                    <w:rPr>
                      <w:rFonts w:cs="Times New Roman" w:hint="eastAsia"/>
                      <w:color w:val="auto"/>
                      <w:kern w:val="2"/>
                      <w:sz w:val="21"/>
                      <w:szCs w:val="21"/>
                      <w:lang w:val="en-US" w:eastAsia="zh-CN" w:bidi="ar-SA"/>
                      <w:highlight w:val="none"/>
                    </w:rPr>
                    <w:t>和溶解性总固体</w:t>
                  </w:r>
                  <w:r>
                    <w:rPr>
                      <w:rFonts w:ascii="Times New Roman" w:eastAsia="宋体" w:cs="Times New Roman" w:hAnsi="Times New Roman" w:hint="eastAsia"/>
                      <w:color w:val="auto"/>
                      <w:kern w:val="2"/>
                      <w:sz w:val="21"/>
                      <w:szCs w:val="21"/>
                      <w:lang w:val="en-US" w:eastAsia="zh-CN" w:bidi="ar-SA"/>
                      <w:highlight w:val="none"/>
                    </w:rPr>
                    <w:t>外，其他因子均符合相关地下水质量标准</w:t>
                  </w:r>
                  <w:r>
                    <w:rPr>
                      <w:rFonts w:cs="Times New Roman" w:hint="eastAsia"/>
                      <w:color w:val="auto"/>
                      <w:kern w:val="2"/>
                      <w:sz w:val="21"/>
                      <w:szCs w:val="21"/>
                      <w:lang w:val="en-US" w:eastAsia="zh-CN" w:bidi="ar-SA"/>
                      <w:highlight w:val="none"/>
                    </w:rPr>
                    <w:t>；</w:t>
                  </w:r>
                  <w:r>
                    <w:rPr>
                      <w:rFonts w:ascii="Times New Roman" w:eastAsia="宋体" w:cs="Times New Roman" w:hAnsi="Times New Roman" w:hint="eastAsia"/>
                      <w:color w:val="auto"/>
                      <w:kern w:val="2"/>
                      <w:sz w:val="21"/>
                      <w:szCs w:val="21"/>
                      <w:lang w:val="en-US" w:eastAsia="zh-CN" w:bidi="ar-SA"/>
                      <w:highlight w:val="none"/>
                    </w:rPr>
                    <w:t>区域声环境八里庄村北侧衡井公路道路交通声环境、马家庄村西侧石栾大街道路交通声环境夜间不能满足《声环境质量标准》</w:t>
                  </w:r>
                  <w:r>
                    <w:rPr>
                      <w:rFonts w:cs="Times New Roman" w:hint="eastAsia"/>
                      <w:color w:val="auto"/>
                      <w:kern w:val="2"/>
                      <w:sz w:val="21"/>
                      <w:szCs w:val="21"/>
                      <w:lang w:val="en-US" w:eastAsia="zh-CN" w:bidi="ar-SA"/>
                      <w:highlight w:val="none"/>
                    </w:rPr>
                    <w:t>（</w:t>
                  </w:r>
                  <w:r>
                    <w:rPr>
                      <w:rFonts w:ascii="Times New Roman" w:eastAsia="宋体" w:cs="Times New Roman" w:hAnsi="Times New Roman" w:hint="eastAsia"/>
                      <w:color w:val="auto"/>
                      <w:kern w:val="2"/>
                      <w:sz w:val="21"/>
                      <w:szCs w:val="21"/>
                      <w:lang w:val="en-US" w:eastAsia="zh-CN" w:bidi="ar-SA"/>
                      <w:highlight w:val="none"/>
                    </w:rPr>
                    <w:t>GB3096-2008</w:t>
                  </w:r>
                  <w:r>
                    <w:rPr>
                      <w:rFonts w:cs="Times New Roman" w:hint="eastAsia"/>
                      <w:color w:val="auto"/>
                      <w:kern w:val="2"/>
                      <w:sz w:val="21"/>
                      <w:szCs w:val="21"/>
                      <w:lang w:val="en-US" w:eastAsia="zh-CN" w:bidi="ar-SA"/>
                      <w:highlight w:val="none"/>
                    </w:rPr>
                    <w:t>）</w:t>
                  </w:r>
                  <w:r>
                    <w:rPr>
                      <w:rFonts w:ascii="Times New Roman" w:eastAsia="宋体" w:cs="Times New Roman" w:hAnsi="Times New Roman" w:hint="eastAsia"/>
                      <w:color w:val="auto"/>
                      <w:kern w:val="2"/>
                      <w:sz w:val="21"/>
                      <w:szCs w:val="21"/>
                      <w:lang w:val="en-US" w:eastAsia="zh-CN" w:bidi="ar-SA"/>
                      <w:highlight w:val="none"/>
                    </w:rPr>
                    <w:t>4a类声环境功能区限值要求、内营村距离石栾大街较近，夜间出现不能满足《声环境质量标准》</w:t>
                  </w:r>
                  <w:r>
                    <w:rPr>
                      <w:rFonts w:cs="Times New Roman" w:hint="eastAsia"/>
                      <w:color w:val="auto"/>
                      <w:kern w:val="2"/>
                      <w:sz w:val="21"/>
                      <w:szCs w:val="21"/>
                      <w:lang w:val="en-US" w:eastAsia="zh-CN" w:bidi="ar-SA"/>
                      <w:highlight w:val="none"/>
                    </w:rPr>
                    <w:t>（</w:t>
                  </w:r>
                  <w:r>
                    <w:rPr>
                      <w:rFonts w:ascii="Times New Roman" w:eastAsia="宋体" w:cs="Times New Roman" w:hAnsi="Times New Roman" w:hint="eastAsia"/>
                      <w:color w:val="auto"/>
                      <w:kern w:val="2"/>
                      <w:sz w:val="21"/>
                      <w:szCs w:val="21"/>
                      <w:lang w:val="en-US" w:eastAsia="zh-CN" w:bidi="ar-SA"/>
                      <w:highlight w:val="none"/>
                    </w:rPr>
                    <w:t>GB3096-2008</w:t>
                  </w:r>
                  <w:r>
                    <w:rPr>
                      <w:rFonts w:cs="Times New Roman" w:hint="eastAsia"/>
                      <w:color w:val="auto"/>
                      <w:kern w:val="2"/>
                      <w:sz w:val="21"/>
                      <w:szCs w:val="21"/>
                      <w:lang w:val="en-US" w:eastAsia="zh-CN" w:bidi="ar-SA"/>
                      <w:highlight w:val="none"/>
                    </w:rPr>
                    <w:t>）</w:t>
                  </w:r>
                  <w:r>
                    <w:rPr>
                      <w:rFonts w:ascii="Times New Roman" w:eastAsia="宋体" w:cs="Times New Roman" w:hAnsi="Times New Roman" w:hint="eastAsia"/>
                      <w:color w:val="auto"/>
                      <w:kern w:val="2"/>
                      <w:sz w:val="21"/>
                      <w:szCs w:val="21"/>
                      <w:lang w:val="en-US" w:eastAsia="zh-CN" w:bidi="ar-SA"/>
                      <w:highlight w:val="none"/>
                    </w:rPr>
                    <w:t>2类声环境功能区限值要求。其余监测点位满足相应功能区划要求</w:t>
                  </w:r>
                  <w:r>
                    <w:rPr>
                      <w:rFonts w:cs="Times New Roman" w:hint="eastAsia"/>
                      <w:color w:val="auto"/>
                      <w:kern w:val="2"/>
                      <w:sz w:val="21"/>
                      <w:szCs w:val="21"/>
                      <w:lang w:val="en-US" w:eastAsia="zh-CN" w:bidi="ar-SA"/>
                      <w:highlight w:val="none"/>
                    </w:rPr>
                    <w:t>；</w:t>
                  </w:r>
                  <w:r>
                    <w:rPr>
                      <w:rFonts w:ascii="Times New Roman" w:eastAsia="宋体" w:cs="Times New Roman" w:hAnsi="Times New Roman" w:hint="eastAsia"/>
                      <w:color w:val="auto"/>
                      <w:kern w:val="2"/>
                      <w:sz w:val="21"/>
                      <w:szCs w:val="21"/>
                      <w:lang w:val="en-US" w:eastAsia="zh-CN" w:bidi="ar-SA"/>
                      <w:highlight w:val="none"/>
                    </w:rPr>
                    <w:t>园区土壤环境中各监测点位监测因子均满足《土壤环境质量 建设用地土壤污染风险管控标准</w:t>
                  </w:r>
                  <w:r>
                    <w:rPr>
                      <w:rFonts w:cs="Times New Roman" w:hint="eastAsia"/>
                      <w:color w:val="auto"/>
                      <w:kern w:val="2"/>
                      <w:sz w:val="21"/>
                      <w:szCs w:val="21"/>
                      <w:lang w:val="en-US" w:eastAsia="zh-CN" w:bidi="ar-SA"/>
                      <w:highlight w:val="none"/>
                    </w:rPr>
                    <w:t>（</w:t>
                  </w:r>
                  <w:r>
                    <w:rPr>
                      <w:rFonts w:ascii="Times New Roman" w:eastAsia="宋体" w:cs="Times New Roman" w:hAnsi="Times New Roman" w:hint="eastAsia"/>
                      <w:color w:val="auto"/>
                      <w:kern w:val="2"/>
                      <w:sz w:val="21"/>
                      <w:szCs w:val="21"/>
                      <w:lang w:val="en-US" w:eastAsia="zh-CN" w:bidi="ar-SA"/>
                      <w:highlight w:val="none"/>
                    </w:rPr>
                    <w:t>试行</w:t>
                  </w:r>
                  <w:r>
                    <w:rPr>
                      <w:rFonts w:cs="Times New Roman" w:hint="eastAsia"/>
                      <w:color w:val="auto"/>
                      <w:kern w:val="2"/>
                      <w:sz w:val="21"/>
                      <w:szCs w:val="21"/>
                      <w:lang w:val="en-US" w:eastAsia="zh-CN" w:bidi="ar-SA"/>
                      <w:highlight w:val="none"/>
                    </w:rPr>
                    <w:t>）</w:t>
                  </w:r>
                  <w:r>
                    <w:rPr>
                      <w:rFonts w:ascii="Times New Roman" w:eastAsia="宋体" w:cs="Times New Roman" w:hAnsi="Times New Roman" w:hint="eastAsia"/>
                      <w:color w:val="auto"/>
                      <w:kern w:val="2"/>
                      <w:sz w:val="21"/>
                      <w:szCs w:val="21"/>
                      <w:lang w:val="en-US" w:eastAsia="zh-CN" w:bidi="ar-SA"/>
                      <w:highlight w:val="none"/>
                    </w:rPr>
                    <w:t>》</w:t>
                  </w:r>
                  <w:r>
                    <w:rPr>
                      <w:rFonts w:cs="Times New Roman" w:hint="eastAsia"/>
                      <w:color w:val="auto"/>
                      <w:kern w:val="2"/>
                      <w:sz w:val="21"/>
                      <w:szCs w:val="21"/>
                      <w:lang w:val="en-US" w:eastAsia="zh-CN" w:bidi="ar-SA"/>
                      <w:highlight w:val="none"/>
                    </w:rPr>
                    <w:t>（</w:t>
                  </w:r>
                  <w:r>
                    <w:rPr>
                      <w:rFonts w:ascii="Times New Roman" w:eastAsia="宋体" w:cs="Times New Roman" w:hAnsi="Times New Roman" w:hint="eastAsia"/>
                      <w:color w:val="auto"/>
                      <w:kern w:val="2"/>
                      <w:sz w:val="21"/>
                      <w:szCs w:val="21"/>
                      <w:lang w:val="en-US" w:eastAsia="zh-CN" w:bidi="ar-SA"/>
                      <w:highlight w:val="none"/>
                    </w:rPr>
                    <w:t>GB36600-2018</w:t>
                  </w:r>
                  <w:r>
                    <w:rPr>
                      <w:rFonts w:cs="Times New Roman" w:hint="eastAsia"/>
                      <w:color w:val="auto"/>
                      <w:kern w:val="2"/>
                      <w:sz w:val="21"/>
                      <w:szCs w:val="21"/>
                      <w:lang w:val="en-US" w:eastAsia="zh-CN" w:bidi="ar-SA"/>
                      <w:highlight w:val="none"/>
                    </w:rPr>
                    <w:t>）</w:t>
                  </w:r>
                  <w:r>
                    <w:rPr>
                      <w:rFonts w:ascii="Times New Roman" w:eastAsia="宋体" w:cs="Times New Roman" w:hAnsi="Times New Roman" w:hint="eastAsia"/>
                      <w:color w:val="auto"/>
                      <w:kern w:val="2"/>
                      <w:sz w:val="21"/>
                      <w:szCs w:val="21"/>
                      <w:lang w:val="en-US" w:eastAsia="zh-CN" w:bidi="ar-SA"/>
                      <w:highlight w:val="none"/>
                    </w:rPr>
                    <w:t>、《建设用地土壤污染风险筛选</w:t>
                  </w:r>
                  <w:r>
                    <w:rPr>
                      <w:rFonts w:cs="Times New Roman" w:hint="eastAsia"/>
                      <w:color w:val="auto"/>
                      <w:kern w:val="2"/>
                      <w:sz w:val="21"/>
                      <w:szCs w:val="21"/>
                      <w:lang w:val="en-US" w:eastAsia="zh-CN" w:bidi="ar-SA"/>
                      <w:highlight w:val="none"/>
                    </w:rPr>
                    <w:t>（</w:t>
                  </w:r>
                  <w:r>
                    <w:rPr>
                      <w:rFonts w:ascii="Times New Roman" w:eastAsia="宋体" w:cs="Times New Roman" w:hAnsi="Times New Roman" w:hint="eastAsia"/>
                      <w:color w:val="auto"/>
                      <w:kern w:val="2"/>
                      <w:sz w:val="21"/>
                      <w:szCs w:val="21"/>
                      <w:lang w:val="en-US" w:eastAsia="zh-CN" w:bidi="ar-SA"/>
                      <w:highlight w:val="none"/>
                    </w:rPr>
                    <w:t>DB13/T5216-2022</w:t>
                  </w:r>
                  <w:r>
                    <w:rPr>
                      <w:rFonts w:cs="Times New Roman" w:hint="eastAsia"/>
                      <w:color w:val="auto"/>
                      <w:kern w:val="2"/>
                      <w:sz w:val="21"/>
                      <w:szCs w:val="21"/>
                      <w:lang w:val="en-US" w:eastAsia="zh-CN" w:bidi="ar-SA"/>
                      <w:highlight w:val="none"/>
                    </w:rPr>
                    <w:t>）</w:t>
                  </w:r>
                  <w:r>
                    <w:rPr>
                      <w:rFonts w:ascii="Times New Roman" w:eastAsia="宋体" w:cs="Times New Roman" w:hAnsi="Times New Roman" w:hint="eastAsia"/>
                      <w:color w:val="auto"/>
                      <w:kern w:val="2"/>
                      <w:sz w:val="21"/>
                      <w:szCs w:val="21"/>
                      <w:lang w:val="en-US" w:eastAsia="zh-CN" w:bidi="ar-SA"/>
                      <w:highlight w:val="none"/>
                    </w:rPr>
                    <w:t>、《土壤环境质量 农用地土壤值》污染风险管控标准</w:t>
                  </w:r>
                  <w:r>
                    <w:rPr>
                      <w:rFonts w:cs="Times New Roman" w:hint="eastAsia"/>
                      <w:color w:val="auto"/>
                      <w:kern w:val="2"/>
                      <w:sz w:val="21"/>
                      <w:szCs w:val="21"/>
                      <w:lang w:val="en-US" w:eastAsia="zh-CN" w:bidi="ar-SA"/>
                      <w:highlight w:val="none"/>
                    </w:rPr>
                    <w:t>（</w:t>
                  </w:r>
                  <w:r>
                    <w:rPr>
                      <w:rFonts w:ascii="Times New Roman" w:eastAsia="宋体" w:cs="Times New Roman" w:hAnsi="Times New Roman" w:hint="eastAsia"/>
                      <w:color w:val="auto"/>
                      <w:kern w:val="2"/>
                      <w:sz w:val="21"/>
                      <w:szCs w:val="21"/>
                      <w:lang w:val="en-US" w:eastAsia="zh-CN" w:bidi="ar-SA"/>
                      <w:highlight w:val="none"/>
                    </w:rPr>
                    <w:t>试行</w:t>
                  </w:r>
                  <w:r>
                    <w:rPr>
                      <w:rFonts w:cs="Times New Roman" w:hint="eastAsia"/>
                      <w:color w:val="auto"/>
                      <w:kern w:val="2"/>
                      <w:sz w:val="21"/>
                      <w:szCs w:val="21"/>
                      <w:lang w:val="en-US" w:eastAsia="zh-CN" w:bidi="ar-SA"/>
                      <w:highlight w:val="none"/>
                    </w:rPr>
                    <w:t>）</w:t>
                  </w:r>
                  <w:r>
                    <w:rPr>
                      <w:rFonts w:ascii="Times New Roman" w:eastAsia="宋体" w:cs="Times New Roman" w:hAnsi="Times New Roman" w:hint="eastAsia"/>
                      <w:color w:val="auto"/>
                      <w:kern w:val="2"/>
                      <w:sz w:val="21"/>
                      <w:szCs w:val="21"/>
                      <w:lang w:val="en-US" w:eastAsia="zh-CN" w:bidi="ar-SA"/>
                      <w:highlight w:val="none"/>
                    </w:rPr>
                    <w:t>》</w:t>
                  </w:r>
                  <w:r>
                    <w:rPr>
                      <w:rFonts w:cs="Times New Roman" w:hint="eastAsia"/>
                      <w:color w:val="auto"/>
                      <w:kern w:val="2"/>
                      <w:sz w:val="21"/>
                      <w:szCs w:val="21"/>
                      <w:lang w:val="en-US" w:eastAsia="zh-CN" w:bidi="ar-SA"/>
                      <w:highlight w:val="none"/>
                    </w:rPr>
                    <w:t>（</w:t>
                  </w:r>
                  <w:r>
                    <w:rPr>
                      <w:rFonts w:ascii="Times New Roman" w:eastAsia="宋体" w:cs="Times New Roman" w:hAnsi="Times New Roman" w:hint="eastAsia"/>
                      <w:color w:val="auto"/>
                      <w:kern w:val="2"/>
                      <w:sz w:val="21"/>
                      <w:szCs w:val="21"/>
                      <w:lang w:val="en-US" w:eastAsia="zh-CN" w:bidi="ar-SA"/>
                      <w:highlight w:val="none"/>
                    </w:rPr>
                    <w:t>GB15618-2018</w:t>
                  </w:r>
                  <w:r>
                    <w:rPr>
                      <w:rFonts w:cs="Times New Roman" w:hint="eastAsia"/>
                      <w:color w:val="auto"/>
                      <w:kern w:val="2"/>
                      <w:sz w:val="21"/>
                      <w:szCs w:val="21"/>
                      <w:lang w:val="en-US" w:eastAsia="zh-CN" w:bidi="ar-SA"/>
                      <w:highlight w:val="none"/>
                    </w:rPr>
                    <w:t>）</w:t>
                  </w:r>
                  <w:r>
                    <w:rPr>
                      <w:rFonts w:ascii="Times New Roman" w:eastAsia="宋体" w:cs="Times New Roman" w:hAnsi="Times New Roman" w:hint="eastAsia"/>
                      <w:color w:val="auto"/>
                      <w:kern w:val="2"/>
                      <w:sz w:val="21"/>
                      <w:szCs w:val="21"/>
                      <w:lang w:val="en-US" w:eastAsia="zh-CN" w:bidi="ar-SA"/>
                      <w:highlight w:val="none"/>
                    </w:rPr>
                    <w:t>要求。</w:t>
                  </w:r>
                </w:p>
              </w:tc>
              <w:tc>
                <w:tcPr>
                  <w:tcW w:w="2880" w:type="dxa"/>
                  <w:tcBorders>
                    <w:tl2br w:val="nil"/>
                    <w:tr2bl w:val="nil"/>
                  </w:tcBorders>
                  <w:vAlign w:val="center"/>
                </w:tcPr>
                <w:p>
                  <w:pPr>
                    <w:keepNext w:val="0"/>
                    <w:keepLines w:val="0"/>
                    <w:pageBreakBefore w:val="0"/>
                    <w:kinsoku/>
                    <w:wordWrap/>
                    <w:overflowPunct/>
                    <w:topLinePunct w:val="0"/>
                    <w:autoSpaceDE/>
                    <w:autoSpaceDN/>
                    <w:bidi w:val="0"/>
                    <w:adjustRightInd w:val="0"/>
                    <w:snapToGrid w:val="0"/>
                    <w:rPr>
                      <w:rFonts w:ascii="Times New Roman" w:eastAsia="宋体" w:cs="Times New Roman" w:hAnsi="Times New Roman" w:hint="eastAsia"/>
                      <w:color w:val="auto"/>
                      <w:sz w:val="21"/>
                      <w:szCs w:val="21"/>
                      <w:lang w:eastAsia="zh-CN"/>
                      <w:highlight w:val="none"/>
                    </w:rPr>
                  </w:pPr>
                  <w:r>
                    <w:rPr>
                      <w:rFonts w:ascii="Times New Roman" w:eastAsia="宋体" w:cs="Times New Roman" w:hAnsi="Times New Roman" w:hint="eastAsia"/>
                      <w:color w:val="auto"/>
                      <w:sz w:val="21"/>
                      <w:szCs w:val="21"/>
                      <w:highlight w:val="none"/>
                    </w:rPr>
                    <w:t>①环境空气：项目所在区域环境空气为二类功能区，执行《环境空气质量标准》（GB 3095-2026）</w:t>
                  </w:r>
                  <w:r>
                    <w:rPr>
                      <w:rFonts w:cs="Times New Roman" w:hint="eastAsia"/>
                      <w:color w:val="auto"/>
                      <w:sz w:val="21"/>
                      <w:szCs w:val="21"/>
                      <w:lang w:eastAsia="zh-CN"/>
                      <w:highlight w:val="none"/>
                    </w:rPr>
                    <w:t>中过渡阶段</w:t>
                  </w:r>
                  <w:r>
                    <w:rPr>
                      <w:rFonts w:ascii="Times New Roman" w:eastAsia="宋体" w:cs="Times New Roman" w:hAnsi="Times New Roman" w:hint="eastAsia"/>
                      <w:color w:val="auto"/>
                      <w:sz w:val="21"/>
                      <w:szCs w:val="21"/>
                      <w:highlight w:val="none"/>
                    </w:rPr>
                    <w:t>二级标准</w:t>
                  </w:r>
                  <w:r>
                    <w:rPr>
                      <w:rFonts w:cs="Times New Roman" w:hint="eastAsia"/>
                      <w:color w:val="auto"/>
                      <w:sz w:val="21"/>
                      <w:szCs w:val="21"/>
                      <w:lang w:eastAsia="zh-CN"/>
                      <w:highlight w:val="none"/>
                    </w:rPr>
                    <w:t>浓度限值要求</w:t>
                  </w:r>
                  <w:r>
                    <w:rPr>
                      <w:rFonts w:ascii="Times New Roman" w:eastAsia="宋体" w:cs="Times New Roman" w:hAnsi="Times New Roman" w:hint="eastAsia"/>
                      <w:color w:val="auto"/>
                      <w:sz w:val="21"/>
                      <w:szCs w:val="21"/>
                      <w:lang w:eastAsia="zh-CN"/>
                      <w:highlight w:val="none"/>
                    </w:rPr>
                    <w:t>。</w:t>
                  </w:r>
                </w:p>
                <w:p>
                  <w:pPr>
                    <w:keepNext w:val="0"/>
                    <w:keepLines w:val="0"/>
                    <w:pageBreakBefore w:val="0"/>
                    <w:kinsoku/>
                    <w:wordWrap/>
                    <w:overflowPunct/>
                    <w:topLinePunct w:val="0"/>
                    <w:autoSpaceDE/>
                    <w:autoSpaceDN/>
                    <w:bidi w:val="0"/>
                    <w:adjustRightInd w:val="0"/>
                    <w:snapToGrid w:val="0"/>
                    <w:rPr>
                      <w:rFonts w:ascii="Times New Roman" w:eastAsia="宋体" w:cs="Times New Roman" w:hAnsi="Times New Roman" w:hint="eastAsia"/>
                      <w:color w:val="auto"/>
                      <w:sz w:val="21"/>
                      <w:szCs w:val="21"/>
                      <w:highlight w:val="none"/>
                    </w:rPr>
                  </w:pPr>
                  <w:r>
                    <w:rPr>
                      <w:rFonts w:ascii="Times New Roman" w:eastAsia="宋体" w:cs="Times New Roman" w:hAnsi="Times New Roman" w:hint="eastAsia"/>
                      <w:color w:val="auto"/>
                      <w:sz w:val="21"/>
                      <w:szCs w:val="21"/>
                      <w:highlight w:val="none"/>
                    </w:rPr>
                    <w:t>②水环境：</w:t>
                  </w:r>
                  <w:r>
                    <w:rPr>
                      <w:rFonts w:hint="eastAsia"/>
                      <w:color w:val="auto"/>
                      <w:sz w:val="21"/>
                      <w:szCs w:val="21"/>
                      <w:highlight w:val="none"/>
                    </w:rPr>
                    <w:t>距离项目最近的水体为</w:t>
                  </w:r>
                  <w:r>
                    <w:rPr>
                      <w:rFonts w:hint="eastAsia"/>
                      <w:color w:val="auto"/>
                      <w:sz w:val="21"/>
                      <w:szCs w:val="21"/>
                      <w:lang w:val="en-US" w:eastAsia="zh-CN"/>
                      <w:highlight w:val="none"/>
                    </w:rPr>
                    <w:t>东侧370m的</w:t>
                  </w:r>
                  <w:r>
                    <w:rPr>
                      <w:rFonts w:hint="eastAsia"/>
                      <w:color w:val="auto"/>
                      <w:sz w:val="21"/>
                      <w:szCs w:val="21"/>
                      <w:lang w:eastAsia="zh-CN"/>
                      <w:highlight w:val="none"/>
                    </w:rPr>
                    <w:t>总退水渠</w:t>
                  </w:r>
                  <w:r>
                    <w:rPr>
                      <w:rFonts w:hint="eastAsia"/>
                      <w:color w:val="auto"/>
                      <w:sz w:val="21"/>
                      <w:szCs w:val="21"/>
                      <w:lang w:val="en-US" w:eastAsia="zh-CN"/>
                      <w:highlight w:val="none"/>
                    </w:rPr>
                    <w:t>及西南侧350m的</w:t>
                  </w:r>
                  <w:r>
                    <w:rPr>
                      <w:rFonts w:hint="eastAsia"/>
                      <w:color w:val="auto"/>
                      <w:sz w:val="21"/>
                      <w:szCs w:val="21"/>
                      <w:highlight w:val="none"/>
                    </w:rPr>
                    <w:t>洨河</w:t>
                  </w:r>
                  <w:r>
                    <w:rPr>
                      <w:rFonts w:ascii="Times New Roman" w:eastAsia="宋体" w:cs="Times New Roman" w:hAnsi="Times New Roman" w:hint="eastAsia"/>
                      <w:color w:val="auto"/>
                      <w:sz w:val="21"/>
                      <w:szCs w:val="21"/>
                      <w:highlight w:val="none"/>
                    </w:rPr>
                    <w:t>，根据石家庄市生态环境局202</w:t>
                  </w:r>
                  <w:r>
                    <w:rPr>
                      <w:rFonts w:ascii="Times New Roman" w:eastAsia="宋体" w:cs="Times New Roman" w:hAnsi="Times New Roman" w:hint="eastAsia"/>
                      <w:color w:val="auto"/>
                      <w:sz w:val="21"/>
                      <w:szCs w:val="21"/>
                      <w:lang w:val="en-US" w:eastAsia="zh-CN"/>
                      <w:highlight w:val="none"/>
                    </w:rPr>
                    <w:t>5</w:t>
                  </w:r>
                  <w:r>
                    <w:rPr>
                      <w:rFonts w:ascii="Times New Roman" w:eastAsia="宋体" w:cs="Times New Roman" w:hAnsi="Times New Roman" w:hint="eastAsia"/>
                      <w:color w:val="auto"/>
                      <w:sz w:val="21"/>
                      <w:szCs w:val="21"/>
                      <w:highlight w:val="none"/>
                    </w:rPr>
                    <w:t>年6月发布的《202</w:t>
                  </w:r>
                  <w:r>
                    <w:rPr>
                      <w:rFonts w:ascii="Times New Roman" w:eastAsia="宋体" w:cs="Times New Roman" w:hAnsi="Times New Roman" w:hint="eastAsia"/>
                      <w:color w:val="auto"/>
                      <w:sz w:val="21"/>
                      <w:szCs w:val="21"/>
                      <w:lang w:val="en-US" w:eastAsia="zh-CN"/>
                      <w:highlight w:val="none"/>
                    </w:rPr>
                    <w:t>4</w:t>
                  </w:r>
                  <w:r>
                    <w:rPr>
                      <w:rFonts w:ascii="Times New Roman" w:eastAsia="宋体" w:cs="Times New Roman" w:hAnsi="Times New Roman" w:hint="eastAsia"/>
                      <w:color w:val="auto"/>
                      <w:sz w:val="21"/>
                      <w:szCs w:val="21"/>
                      <w:highlight w:val="none"/>
                    </w:rPr>
                    <w:t>年石家庄市生态环境状况公报》洨河水质状况轻度污染。</w:t>
                  </w:r>
                  <w:r>
                    <w:rPr>
                      <w:rFonts w:ascii="Times New Roman" w:eastAsia="宋体" w:cs="Times New Roman" w:hAnsi="Times New Roman"/>
                      <w:color w:val="auto"/>
                      <w:sz w:val="21"/>
                      <w:szCs w:val="21"/>
                      <w:lang w:val="en-US" w:eastAsia="zh-CN"/>
                      <w:highlight w:val="none"/>
                    </w:rPr>
                    <w:t>项目</w:t>
                  </w:r>
                  <w:r>
                    <w:rPr>
                      <w:rFonts w:ascii="Times New Roman" w:eastAsia="宋体" w:cs="Times New Roman" w:hAnsi="Times New Roman" w:hint="eastAsia"/>
                      <w:color w:val="auto"/>
                      <w:sz w:val="21"/>
                      <w:szCs w:val="21"/>
                      <w:lang w:val="en-US" w:eastAsia="zh-CN"/>
                      <w:highlight w:val="none"/>
                    </w:rPr>
                    <w:t>废水主要为生活污水，</w:t>
                  </w:r>
                  <w:r>
                    <w:rPr>
                      <w:rFonts w:ascii="Times New Roman" w:eastAsia="宋体" w:cs="Times New Roman" w:hAnsi="Times New Roman"/>
                      <w:color w:val="auto"/>
                      <w:kern w:val="2"/>
                      <w:sz w:val="21"/>
                      <w:szCs w:val="21"/>
                      <w:lang w:val="en-US" w:eastAsia="zh-CN" w:bidi="ar-SA"/>
                      <w:highlight w:val="none"/>
                    </w:rPr>
                    <w:t>依托河北泽豪环保新材料科技有限公司化粪池处理后，</w:t>
                  </w:r>
                  <w:r>
                    <w:rPr>
                      <w:rFonts w:cs="Times New Roman" w:hint="eastAsia"/>
                      <w:color w:val="auto"/>
                      <w:kern w:val="2"/>
                      <w:sz w:val="21"/>
                      <w:szCs w:val="21"/>
                      <w:lang w:val="en-US" w:eastAsia="zh-CN" w:bidi="ar-SA"/>
                      <w:highlight w:val="none"/>
                    </w:rPr>
                    <w:t>定期清掏，不外排</w:t>
                  </w:r>
                  <w:r>
                    <w:rPr>
                      <w:rFonts w:ascii="Times New Roman" w:eastAsia="宋体" w:cs="Times New Roman" w:hAnsi="Times New Roman"/>
                      <w:color w:val="auto"/>
                      <w:sz w:val="21"/>
                      <w:szCs w:val="21"/>
                      <w:lang w:val="en-US" w:eastAsia="zh-CN"/>
                      <w:highlight w:val="none"/>
                    </w:rPr>
                    <w:t>。</w:t>
                  </w:r>
                </w:p>
                <w:p>
                  <w:pPr>
                    <w:keepNext w:val="0"/>
                    <w:keepLines w:val="0"/>
                    <w:pageBreakBefore w:val="0"/>
                    <w:kinsoku/>
                    <w:wordWrap/>
                    <w:overflowPunct/>
                    <w:topLinePunct w:val="0"/>
                    <w:autoSpaceDE/>
                    <w:autoSpaceDN/>
                    <w:bidi w:val="0"/>
                    <w:adjustRightInd w:val="0"/>
                    <w:snapToGrid w:val="0"/>
                    <w:rPr>
                      <w:rFonts w:ascii="Times New Roman" w:eastAsia="宋体" w:cs="Times New Roman" w:hAnsi="Times New Roman" w:hint="eastAsia"/>
                      <w:color w:val="auto"/>
                      <w:sz w:val="21"/>
                      <w:szCs w:val="21"/>
                      <w:highlight w:val="none"/>
                    </w:rPr>
                  </w:pPr>
                  <w:r>
                    <w:rPr>
                      <w:rFonts w:ascii="Times New Roman" w:eastAsia="宋体" w:cs="Times New Roman" w:hAnsi="Times New Roman" w:hint="eastAsia"/>
                      <w:color w:val="auto"/>
                      <w:sz w:val="21"/>
                      <w:szCs w:val="21"/>
                      <w:highlight w:val="none"/>
                    </w:rPr>
                    <w:t>③声环境：项目所在区域为</w:t>
                  </w:r>
                  <w:r>
                    <w:rPr>
                      <w:rFonts w:ascii="Times New Roman" w:eastAsia="宋体" w:cs="Times New Roman" w:hAnsi="Times New Roman" w:hint="eastAsia"/>
                      <w:color w:val="auto"/>
                      <w:sz w:val="21"/>
                      <w:szCs w:val="21"/>
                      <w:lang w:val="en-US" w:eastAsia="zh-CN"/>
                      <w:highlight w:val="none"/>
                    </w:rPr>
                    <w:t>3</w:t>
                  </w:r>
                  <w:r>
                    <w:rPr>
                      <w:rFonts w:ascii="Times New Roman" w:eastAsia="宋体" w:cs="Times New Roman" w:hAnsi="Times New Roman" w:hint="eastAsia"/>
                      <w:color w:val="auto"/>
                      <w:sz w:val="21"/>
                      <w:szCs w:val="21"/>
                      <w:highlight w:val="none"/>
                    </w:rPr>
                    <w:t>类声环境功能区。声环境质量现状执行《声环境质量标准》（GB3096-2008）中相关标准要求。根据预测，项目噪声采取措施后，达标排放。</w:t>
                  </w:r>
                </w:p>
                <w:p>
                  <w:pPr>
                    <w:keepNext w:val="0"/>
                    <w:keepLines w:val="0"/>
                    <w:pageBreakBefore w:val="0"/>
                    <w:widowControl/>
                    <w:suppressLineNumbers w:val="0"/>
                    <w:kinsoku/>
                    <w:wordWrap/>
                    <w:overflowPunct/>
                    <w:topLinePunct w:val="0"/>
                    <w:autoSpaceDE/>
                    <w:autoSpaceDN/>
                    <w:bidi w:val="0"/>
                    <w:snapToGrid/>
                    <w:spacing w:line="240" w:lineRule="auto"/>
                    <w:jc w:val="both"/>
                    <w:rPr>
                      <w:rFonts w:ascii="Times New Roman" w:eastAsia="宋体" w:cs="Times New Roman" w:hAnsi="Times New Roman"/>
                      <w:color w:val="auto"/>
                      <w:sz w:val="21"/>
                      <w:szCs w:val="21"/>
                      <w:lang w:val="en-US" w:eastAsia="zh-CN"/>
                      <w:highlight w:val="none"/>
                    </w:rPr>
                  </w:pPr>
                  <w:r>
                    <w:rPr>
                      <w:rFonts w:ascii="Times New Roman" w:eastAsia="宋体" w:cs="Times New Roman" w:hAnsi="Times New Roman" w:hint="eastAsia"/>
                      <w:color w:val="auto"/>
                      <w:sz w:val="21"/>
                      <w:szCs w:val="21"/>
                      <w:highlight w:val="none"/>
                    </w:rPr>
                    <w:t>④土壤环境：项目</w:t>
                  </w:r>
                  <w:r>
                    <w:rPr>
                      <w:rFonts w:ascii="Times New Roman" w:eastAsia="宋体" w:cs="Times New Roman" w:hAnsi="Times New Roman" w:hint="eastAsia"/>
                      <w:color w:val="auto"/>
                      <w:sz w:val="21"/>
                      <w:szCs w:val="21"/>
                      <w:lang w:val="en-US" w:eastAsia="zh-CN"/>
                      <w:highlight w:val="none"/>
                    </w:rPr>
                    <w:t>租赁现有厂房进行生产</w:t>
                  </w:r>
                  <w:r>
                    <w:rPr>
                      <w:rFonts w:ascii="Times New Roman" w:eastAsia="宋体" w:cs="Times New Roman" w:hAnsi="Times New Roman" w:hint="eastAsia"/>
                      <w:color w:val="auto"/>
                      <w:sz w:val="21"/>
                      <w:szCs w:val="21"/>
                      <w:highlight w:val="none"/>
                    </w:rPr>
                    <w:t>，</w:t>
                  </w:r>
                  <w:r>
                    <w:rPr>
                      <w:rFonts w:ascii="Times New Roman" w:eastAsia="宋体" w:cs="Times New Roman" w:hAnsi="Times New Roman" w:hint="eastAsia"/>
                      <w:color w:val="auto"/>
                      <w:sz w:val="21"/>
                      <w:szCs w:val="21"/>
                      <w:lang w:val="en-US" w:eastAsia="zh-CN"/>
                      <w:highlight w:val="none"/>
                    </w:rPr>
                    <w:t>厂房</w:t>
                  </w:r>
                  <w:r>
                    <w:rPr>
                      <w:rFonts w:ascii="Times New Roman" w:eastAsia="宋体" w:cs="Times New Roman" w:hAnsi="Times New Roman" w:hint="eastAsia"/>
                      <w:color w:val="auto"/>
                      <w:sz w:val="21"/>
                      <w:szCs w:val="21"/>
                      <w:highlight w:val="none"/>
                    </w:rPr>
                    <w:t>采取分区防渗措施，不存在地表漫流和垂直入渗的污染途径。项目固废均得到合理处置，不会突破土壤环境质量底线。</w:t>
                  </w:r>
                </w:p>
              </w:tc>
              <w:tc>
                <w:tcPr>
                  <w:tcW w:w="864" w:type="dxa"/>
                  <w:tcBorders>
                    <w:tl2br w:val="nil"/>
                    <w:tr2bl w:val="nil"/>
                  </w:tcBorders>
                  <w:vAlign w:val="center"/>
                </w:tcPr>
                <w:p>
                  <w:pPr>
                    <w:pStyle w:val="56"/>
                    <w:keepNext w:val="0"/>
                    <w:keepLines w:val="0"/>
                    <w:pageBreakBefore w:val="0"/>
                    <w:kinsoku/>
                    <w:wordWrap/>
                    <w:overflowPunct/>
                    <w:topLinePunct w:val="0"/>
                    <w:autoSpaceDE/>
                    <w:autoSpaceDN/>
                    <w:bidi w:val="0"/>
                    <w:adjustRightInd w:val="0"/>
                    <w:snapToGrid/>
                    <w:spacing w:line="240" w:lineRule="auto"/>
                    <w:ind w:left="0" w:firstLineChars="0" w:firstLine="0"/>
                    <w:jc w:val="center"/>
                    <w:rPr>
                      <w:rFonts w:ascii="Times New Roman" w:cs="Times New Roman" w:hAnsi="Times New Roman"/>
                      <w:color w:val="auto"/>
                      <w:sz w:val="21"/>
                      <w:szCs w:val="21"/>
                      <w:vertAlign w:val="baseline"/>
                      <w:highlight w:val="none"/>
                    </w:rPr>
                  </w:pPr>
                  <w:r>
                    <w:rPr>
                      <w:rFonts w:ascii="Times New Roman" w:eastAsia="宋体" w:cs="Times New Roman" w:hAnsi="Times New Roman" w:hint="eastAsia"/>
                      <w:color w:val="auto"/>
                      <w:kern w:val="2"/>
                      <w:sz w:val="21"/>
                      <w:szCs w:val="21"/>
                      <w:lang w:val="en-US" w:eastAsia="zh-CN" w:bidi="ar-SA"/>
                      <w:highlight w:val="none"/>
                    </w:rPr>
                    <w:t>符合</w:t>
                  </w:r>
                </w:p>
              </w:tc>
            </w:tr>
            <w:tr>
              <w:trPr>
                <w:trHeight w:val="397"/>
              </w:trPr>
              <w:tc>
                <w:tcPr>
                  <w:tcW w:w="734" w:type="dxa"/>
                  <w:tcBorders>
                    <w:tl2br w:val="nil"/>
                    <w:tr2bl w:val="nil"/>
                  </w:tcBorders>
                  <w:vAlign w:val="center"/>
                </w:tcPr>
                <w:p>
                  <w:pPr>
                    <w:pStyle w:val="56"/>
                    <w:keepNext w:val="0"/>
                    <w:keepLines w:val="0"/>
                    <w:pageBreakBefore w:val="0"/>
                    <w:kinsoku/>
                    <w:wordWrap/>
                    <w:overflowPunct/>
                    <w:topLinePunct w:val="0"/>
                    <w:autoSpaceDE/>
                    <w:autoSpaceDN/>
                    <w:bidi w:val="0"/>
                    <w:adjustRightInd w:val="0"/>
                    <w:snapToGrid/>
                    <w:spacing w:line="240" w:lineRule="auto"/>
                    <w:ind w:firstLineChars="0" w:firstLine="0"/>
                    <w:jc w:val="center"/>
                    <w:rPr>
                      <w:rFonts w:ascii="Times New Roman" w:eastAsia="宋体" w:cs="Times New Roman" w:hAnsi="Times New Roman" w:hint="eastAsia"/>
                      <w:color w:val="auto"/>
                      <w:kern w:val="2"/>
                      <w:sz w:val="21"/>
                      <w:szCs w:val="21"/>
                      <w:lang w:val="en-US" w:eastAsia="zh-CN" w:bidi="ar-SA"/>
                      <w:highlight w:val="none"/>
                    </w:rPr>
                  </w:pPr>
                  <w:r>
                    <w:rPr>
                      <w:rFonts w:ascii="Times New Roman" w:eastAsia="宋体" w:cs="Times New Roman" w:hAnsi="Times New Roman" w:hint="eastAsia"/>
                      <w:color w:val="auto"/>
                      <w:kern w:val="2"/>
                      <w:sz w:val="21"/>
                      <w:szCs w:val="21"/>
                      <w:lang w:val="en-US" w:eastAsia="zh-CN" w:bidi="ar-SA"/>
                      <w:highlight w:val="none"/>
                    </w:rPr>
                    <w:t>4</w:t>
                  </w:r>
                </w:p>
              </w:tc>
              <w:tc>
                <w:tcPr>
                  <w:tcW w:w="311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napToGrid/>
                    <w:spacing w:line="240" w:lineRule="auto"/>
                    <w:ind w:firstLine="0"/>
                    <w:jc w:val="both"/>
                    <w:rPr>
                      <w:rFonts w:ascii="Times New Roman" w:eastAsia="宋体" w:cs="Times New Roman" w:hAnsi="Times New Roman"/>
                      <w:color w:val="auto"/>
                      <w:kern w:val="2"/>
                      <w:sz w:val="21"/>
                      <w:szCs w:val="21"/>
                      <w:lang w:val="en-US" w:eastAsia="zh-CN" w:bidi="ar-SA"/>
                      <w:highlight w:val="none"/>
                    </w:rPr>
                  </w:pPr>
                  <w:r>
                    <w:rPr>
                      <w:rFonts w:ascii="Times New Roman" w:eastAsia="宋体" w:cs="Times New Roman" w:hAnsi="Times New Roman" w:hint="eastAsia"/>
                      <w:color w:val="auto"/>
                      <w:kern w:val="2"/>
                      <w:sz w:val="21"/>
                      <w:szCs w:val="21"/>
                      <w:lang w:val="en-US" w:eastAsia="zh-CN" w:bidi="ar-SA"/>
                      <w:highlight w:val="none"/>
                    </w:rPr>
                    <w:t>环境影响分析预测结论</w:t>
                  </w:r>
                  <w:r>
                    <w:rPr>
                      <w:rFonts w:cs="Times New Roman" w:hint="eastAsia"/>
                      <w:color w:val="auto"/>
                      <w:kern w:val="2"/>
                      <w:sz w:val="21"/>
                      <w:szCs w:val="21"/>
                      <w:lang w:val="en-US" w:eastAsia="zh-CN" w:bidi="ar-SA"/>
                      <w:highlight w:val="none"/>
                    </w:rPr>
                    <w:t>：</w:t>
                  </w:r>
                  <w:r>
                    <w:rPr>
                      <w:rFonts w:ascii="Times New Roman" w:eastAsia="宋体" w:cs="Times New Roman" w:hAnsi="Times New Roman" w:hint="eastAsia"/>
                      <w:color w:val="auto"/>
                      <w:kern w:val="2"/>
                      <w:sz w:val="21"/>
                      <w:szCs w:val="21"/>
                      <w:lang w:val="en-US" w:eastAsia="zh-CN" w:bidi="ar-SA"/>
                      <w:highlight w:val="none"/>
                    </w:rPr>
                    <w:t>产业园区规划实施后，通过淘汰低效产能企业、提升现有企业环保措施、完善集中供热方案等措施，根据 PM</w:t>
                  </w:r>
                  <w:r>
                    <w:rPr>
                      <w:rFonts w:cs="Times New Roman" w:hint="eastAsia"/>
                      <w:color w:val="auto"/>
                      <w:kern w:val="2"/>
                      <w:sz w:val="21"/>
                      <w:szCs w:val="21"/>
                      <w:vertAlign w:val="subscript"/>
                      <w:lang w:val="en-US" w:eastAsia="zh-CN" w:bidi="ar-SA"/>
                      <w:highlight w:val="none"/>
                    </w:rPr>
                    <w:t>10</w:t>
                  </w:r>
                  <w:r>
                    <w:rPr>
                      <w:rFonts w:ascii="Times New Roman" w:eastAsia="宋体" w:cs="Times New Roman" w:hAnsi="Times New Roman" w:hint="eastAsia"/>
                      <w:color w:val="auto"/>
                      <w:kern w:val="2"/>
                      <w:sz w:val="21"/>
                      <w:szCs w:val="21"/>
                      <w:lang w:val="en-US" w:eastAsia="zh-CN" w:bidi="ar-SA"/>
                      <w:highlight w:val="none"/>
                    </w:rPr>
                    <w:t>、PM</w:t>
                  </w:r>
                  <w:r>
                    <w:rPr>
                      <w:rFonts w:ascii="Times New Roman" w:eastAsia="宋体" w:cs="Times New Roman" w:hAnsi="Times New Roman" w:hint="eastAsia"/>
                      <w:color w:val="auto"/>
                      <w:kern w:val="2"/>
                      <w:sz w:val="21"/>
                      <w:szCs w:val="21"/>
                      <w:vertAlign w:val="subscript"/>
                      <w:lang w:val="en-US" w:eastAsia="zh-CN" w:bidi="ar-SA"/>
                      <w:highlight w:val="none"/>
                    </w:rPr>
                    <w:t>2</w:t>
                  </w:r>
                  <w:r>
                    <w:rPr>
                      <w:rFonts w:cs="Times New Roman" w:hint="eastAsia"/>
                      <w:color w:val="auto"/>
                      <w:kern w:val="2"/>
                      <w:sz w:val="21"/>
                      <w:szCs w:val="21"/>
                      <w:vertAlign w:val="subscript"/>
                      <w:lang w:val="en-US" w:eastAsia="zh-CN" w:bidi="ar-SA"/>
                      <w:highlight w:val="none"/>
                    </w:rPr>
                    <w:t>.</w:t>
                  </w:r>
                  <w:r>
                    <w:rPr>
                      <w:rFonts w:ascii="Times New Roman" w:eastAsia="宋体" w:cs="Times New Roman" w:hAnsi="Times New Roman" w:hint="eastAsia"/>
                      <w:color w:val="auto"/>
                      <w:kern w:val="2"/>
                      <w:sz w:val="21"/>
                      <w:szCs w:val="21"/>
                      <w:vertAlign w:val="subscript"/>
                      <w:lang w:val="en-US" w:eastAsia="zh-CN" w:bidi="ar-SA"/>
                      <w:highlight w:val="none"/>
                    </w:rPr>
                    <w:t>5</w:t>
                  </w:r>
                  <w:r>
                    <w:rPr>
                      <w:rFonts w:ascii="Times New Roman" w:eastAsia="宋体" w:cs="Times New Roman" w:hAnsi="Times New Roman" w:hint="eastAsia"/>
                      <w:color w:val="auto"/>
                      <w:kern w:val="2"/>
                      <w:sz w:val="21"/>
                      <w:szCs w:val="21"/>
                      <w:lang w:val="en-US" w:eastAsia="zh-CN" w:bidi="ar-SA"/>
                      <w:highlight w:val="none"/>
                    </w:rPr>
                    <w:t>、SO</w:t>
                  </w:r>
                  <w:r>
                    <w:rPr>
                      <w:rFonts w:cs="Times New Roman" w:hint="eastAsia"/>
                      <w:color w:val="auto"/>
                      <w:kern w:val="2"/>
                      <w:sz w:val="21"/>
                      <w:szCs w:val="21"/>
                      <w:vertAlign w:val="subscript"/>
                      <w:lang w:val="en-US" w:eastAsia="zh-CN" w:bidi="ar-SA"/>
                      <w:highlight w:val="none"/>
                    </w:rPr>
                    <w:t>2</w:t>
                  </w:r>
                  <w:r>
                    <w:rPr>
                      <w:rFonts w:ascii="Times New Roman" w:eastAsia="宋体" w:cs="Times New Roman" w:hAnsi="Times New Roman" w:hint="eastAsia"/>
                      <w:color w:val="auto"/>
                      <w:kern w:val="2"/>
                      <w:sz w:val="21"/>
                      <w:szCs w:val="21"/>
                      <w:lang w:val="en-US" w:eastAsia="zh-CN" w:bidi="ar-SA"/>
                      <w:highlight w:val="none"/>
                    </w:rPr>
                    <w:t>及NO</w:t>
                  </w:r>
                  <w:r>
                    <w:rPr>
                      <w:rFonts w:cs="Times New Roman" w:hint="eastAsia"/>
                      <w:color w:val="auto"/>
                      <w:kern w:val="2"/>
                      <w:sz w:val="21"/>
                      <w:szCs w:val="21"/>
                      <w:vertAlign w:val="subscript"/>
                      <w:lang w:val="en-US" w:eastAsia="zh-CN" w:bidi="ar-SA"/>
                      <w:highlight w:val="none"/>
                    </w:rPr>
                    <w:t>2</w:t>
                  </w:r>
                  <w:r>
                    <w:rPr>
                      <w:rFonts w:ascii="Times New Roman" w:eastAsia="宋体" w:cs="Times New Roman" w:hAnsi="Times New Roman" w:hint="eastAsia"/>
                      <w:color w:val="auto"/>
                      <w:kern w:val="2"/>
                      <w:sz w:val="21"/>
                      <w:szCs w:val="21"/>
                      <w:lang w:val="en-US" w:eastAsia="zh-CN" w:bidi="ar-SA"/>
                      <w:highlight w:val="none"/>
                    </w:rPr>
                    <w:t>预测结果，区域PM</w:t>
                  </w:r>
                  <w:r>
                    <w:rPr>
                      <w:rFonts w:cs="Times New Roman" w:hint="eastAsia"/>
                      <w:color w:val="auto"/>
                      <w:kern w:val="2"/>
                      <w:sz w:val="21"/>
                      <w:szCs w:val="21"/>
                      <w:vertAlign w:val="subscript"/>
                      <w:lang w:val="en-US" w:eastAsia="zh-CN" w:bidi="ar-SA"/>
                      <w:highlight w:val="none"/>
                    </w:rPr>
                    <w:t>10</w:t>
                  </w:r>
                  <w:r>
                    <w:rPr>
                      <w:rFonts w:ascii="Times New Roman" w:eastAsia="宋体" w:cs="Times New Roman" w:hAnsi="Times New Roman" w:hint="eastAsia"/>
                      <w:color w:val="auto"/>
                      <w:kern w:val="2"/>
                      <w:sz w:val="21"/>
                      <w:szCs w:val="21"/>
                      <w:lang w:val="en-US" w:eastAsia="zh-CN" w:bidi="ar-SA"/>
                      <w:highlight w:val="none"/>
                    </w:rPr>
                    <w:t>、PM</w:t>
                  </w:r>
                  <w:r>
                    <w:rPr>
                      <w:rFonts w:ascii="Times New Roman" w:eastAsia="宋体" w:cs="Times New Roman" w:hAnsi="Times New Roman" w:hint="eastAsia"/>
                      <w:color w:val="auto"/>
                      <w:kern w:val="2"/>
                      <w:sz w:val="21"/>
                      <w:szCs w:val="21"/>
                      <w:vertAlign w:val="subscript"/>
                      <w:lang w:val="en-US" w:eastAsia="zh-CN" w:bidi="ar-SA"/>
                      <w:highlight w:val="none"/>
                    </w:rPr>
                    <w:t>2.5</w:t>
                  </w:r>
                  <w:r>
                    <w:rPr>
                      <w:rFonts w:ascii="Times New Roman" w:eastAsia="宋体" w:cs="Times New Roman" w:hAnsi="Times New Roman" w:hint="eastAsia"/>
                      <w:color w:val="auto"/>
                      <w:kern w:val="2"/>
                      <w:sz w:val="21"/>
                      <w:szCs w:val="21"/>
                      <w:lang w:val="en-US" w:eastAsia="zh-CN" w:bidi="ar-SA"/>
                      <w:highlight w:val="none"/>
                    </w:rPr>
                    <w:t>、SO</w:t>
                  </w:r>
                  <w:r>
                    <w:rPr>
                      <w:rFonts w:ascii="Times New Roman" w:eastAsia="宋体" w:cs="Times New Roman" w:hAnsi="Times New Roman" w:hint="eastAsia"/>
                      <w:color w:val="auto"/>
                      <w:kern w:val="2"/>
                      <w:sz w:val="21"/>
                      <w:szCs w:val="21"/>
                      <w:vertAlign w:val="subscript"/>
                      <w:lang w:val="en-US" w:eastAsia="zh-CN" w:bidi="ar-SA"/>
                      <w:highlight w:val="none"/>
                    </w:rPr>
                    <w:t>2</w:t>
                  </w:r>
                  <w:r>
                    <w:rPr>
                      <w:rFonts w:ascii="Times New Roman" w:eastAsia="宋体" w:cs="Times New Roman" w:hAnsi="Times New Roman" w:hint="eastAsia"/>
                      <w:color w:val="auto"/>
                      <w:kern w:val="2"/>
                      <w:sz w:val="21"/>
                      <w:szCs w:val="21"/>
                      <w:lang w:val="en-US" w:eastAsia="zh-CN" w:bidi="ar-SA"/>
                      <w:highlight w:val="none"/>
                    </w:rPr>
                    <w:t>及NO</w:t>
                  </w:r>
                  <w:r>
                    <w:rPr>
                      <w:rFonts w:cs="Times New Roman" w:hint="eastAsia"/>
                      <w:color w:val="auto"/>
                      <w:kern w:val="2"/>
                      <w:sz w:val="21"/>
                      <w:szCs w:val="21"/>
                      <w:vertAlign w:val="subscript"/>
                      <w:lang w:val="en-US" w:eastAsia="zh-CN" w:bidi="ar-SA"/>
                      <w:highlight w:val="none"/>
                    </w:rPr>
                    <w:t>2</w:t>
                  </w:r>
                  <w:r>
                    <w:rPr>
                      <w:rFonts w:ascii="Times New Roman" w:eastAsia="宋体" w:cs="Times New Roman" w:hAnsi="Times New Roman" w:hint="eastAsia"/>
                      <w:color w:val="auto"/>
                      <w:kern w:val="2"/>
                      <w:sz w:val="21"/>
                      <w:szCs w:val="21"/>
                      <w:lang w:val="en-US" w:eastAsia="zh-CN" w:bidi="ar-SA"/>
                      <w:highlight w:val="none"/>
                    </w:rPr>
                    <w:t>年平均浓度均为改善的，另外，结合产业园区及周边区域PM</w:t>
                  </w:r>
                  <w:r>
                    <w:rPr>
                      <w:rFonts w:ascii="Times New Roman" w:eastAsia="宋体" w:cs="Times New Roman" w:hAnsi="Times New Roman" w:hint="eastAsia"/>
                      <w:color w:val="auto"/>
                      <w:kern w:val="2"/>
                      <w:sz w:val="21"/>
                      <w:szCs w:val="21"/>
                      <w:vertAlign w:val="subscript"/>
                      <w:lang w:val="en-US" w:eastAsia="zh-CN" w:bidi="ar-SA"/>
                      <w:highlight w:val="none"/>
                    </w:rPr>
                    <w:t>2</w:t>
                  </w:r>
                  <w:r>
                    <w:rPr>
                      <w:rFonts w:cs="Times New Roman" w:hint="eastAsia"/>
                      <w:color w:val="auto"/>
                      <w:kern w:val="2"/>
                      <w:sz w:val="21"/>
                      <w:szCs w:val="21"/>
                      <w:vertAlign w:val="subscript"/>
                      <w:lang w:val="en-US" w:eastAsia="zh-CN" w:bidi="ar-SA"/>
                      <w:highlight w:val="none"/>
                    </w:rPr>
                    <w:t>.</w:t>
                  </w:r>
                  <w:r>
                    <w:rPr>
                      <w:rFonts w:ascii="Times New Roman" w:eastAsia="宋体" w:cs="Times New Roman" w:hAnsi="Times New Roman" w:hint="eastAsia"/>
                      <w:color w:val="auto"/>
                      <w:kern w:val="2"/>
                      <w:sz w:val="21"/>
                      <w:szCs w:val="21"/>
                      <w:vertAlign w:val="subscript"/>
                      <w:lang w:val="en-US" w:eastAsia="zh-CN" w:bidi="ar-SA"/>
                      <w:highlight w:val="none"/>
                    </w:rPr>
                    <w:t>5</w:t>
                  </w:r>
                  <w:r>
                    <w:rPr>
                      <w:rFonts w:ascii="Times New Roman" w:eastAsia="宋体" w:cs="Times New Roman" w:hAnsi="Times New Roman" w:hint="eastAsia"/>
                      <w:color w:val="auto"/>
                      <w:kern w:val="2"/>
                      <w:sz w:val="21"/>
                      <w:szCs w:val="21"/>
                      <w:lang w:val="en-US" w:eastAsia="zh-CN" w:bidi="ar-SA"/>
                      <w:highlight w:val="none"/>
                    </w:rPr>
                    <w:t>本底监测可知，在计算本规划削减源的改善作用后，近期产业园区区域PM</w:t>
                  </w:r>
                  <w:r>
                    <w:rPr>
                      <w:rFonts w:cs="Times New Roman" w:hint="eastAsia"/>
                      <w:color w:val="auto"/>
                      <w:kern w:val="2"/>
                      <w:sz w:val="21"/>
                      <w:szCs w:val="21"/>
                      <w:vertAlign w:val="subscript"/>
                      <w:lang w:val="en-US" w:eastAsia="zh-CN" w:bidi="ar-SA"/>
                      <w:highlight w:val="none"/>
                    </w:rPr>
                    <w:t>2.5</w:t>
                  </w:r>
                  <w:r>
                    <w:rPr>
                      <w:rFonts w:ascii="Times New Roman" w:eastAsia="宋体" w:cs="Times New Roman" w:hAnsi="Times New Roman" w:hint="eastAsia"/>
                      <w:color w:val="auto"/>
                      <w:kern w:val="2"/>
                      <w:sz w:val="21"/>
                      <w:szCs w:val="21"/>
                      <w:lang w:val="en-US" w:eastAsia="zh-CN" w:bidi="ar-SA"/>
                      <w:highlight w:val="none"/>
                    </w:rPr>
                    <w:t>可满足石家庄“十四五”环境保护规划中PM</w:t>
                  </w:r>
                  <w:r>
                    <w:rPr>
                      <w:rFonts w:cs="Times New Roman" w:hint="eastAsia"/>
                      <w:color w:val="auto"/>
                      <w:kern w:val="2"/>
                      <w:sz w:val="21"/>
                      <w:szCs w:val="21"/>
                      <w:vertAlign w:val="subscript"/>
                      <w:lang w:val="en-US" w:eastAsia="zh-CN" w:bidi="ar-SA"/>
                      <w:highlight w:val="none"/>
                    </w:rPr>
                    <w:t>2.5</w:t>
                  </w:r>
                  <w:r>
                    <w:rPr>
                      <w:rFonts w:ascii="Times New Roman" w:eastAsia="宋体" w:cs="Times New Roman" w:hAnsi="Times New Roman" w:hint="eastAsia"/>
                      <w:color w:val="auto"/>
                      <w:kern w:val="2"/>
                      <w:sz w:val="21"/>
                      <w:szCs w:val="21"/>
                      <w:lang w:val="en-US" w:eastAsia="zh-CN" w:bidi="ar-SA"/>
                      <w:highlight w:val="none"/>
                    </w:rPr>
                    <w:t>环境目标控制要求</w:t>
                  </w:r>
                  <w:r>
                    <w:rPr>
                      <w:rFonts w:cs="Times New Roman" w:hint="eastAsia"/>
                      <w:color w:val="auto"/>
                      <w:kern w:val="2"/>
                      <w:sz w:val="21"/>
                      <w:szCs w:val="21"/>
                      <w:lang w:val="en-US" w:eastAsia="zh-CN" w:bidi="ar-SA"/>
                      <w:highlight w:val="none"/>
                    </w:rPr>
                    <w:t>；</w:t>
                  </w:r>
                  <w:r>
                    <w:rPr>
                      <w:rFonts w:ascii="Times New Roman" w:eastAsia="宋体" w:cs="Times New Roman" w:hAnsi="Times New Roman" w:hint="eastAsia"/>
                      <w:color w:val="auto"/>
                      <w:kern w:val="2"/>
                      <w:sz w:val="21"/>
                      <w:szCs w:val="21"/>
                      <w:lang w:val="en-US" w:eastAsia="zh-CN" w:bidi="ar-SA"/>
                      <w:highlight w:val="none"/>
                    </w:rPr>
                    <w:t>通过加强污水处理厂和规划排水企业水污染控制措施</w:t>
                  </w:r>
                  <w:r>
                    <w:rPr>
                      <w:rFonts w:cs="Times New Roman" w:hint="eastAsia"/>
                      <w:color w:val="auto"/>
                      <w:kern w:val="2"/>
                      <w:sz w:val="21"/>
                      <w:szCs w:val="21"/>
                      <w:lang w:val="en-US" w:eastAsia="zh-CN" w:bidi="ar-SA"/>
                      <w:highlight w:val="none"/>
                    </w:rPr>
                    <w:t>，</w:t>
                  </w:r>
                  <w:r>
                    <w:rPr>
                      <w:rFonts w:ascii="Times New Roman" w:eastAsia="宋体" w:cs="Times New Roman" w:hAnsi="Times New Roman" w:hint="eastAsia"/>
                      <w:color w:val="auto"/>
                      <w:kern w:val="2"/>
                      <w:sz w:val="21"/>
                      <w:szCs w:val="21"/>
                      <w:lang w:val="en-US" w:eastAsia="zh-CN" w:bidi="ar-SA"/>
                      <w:highlight w:val="none"/>
                    </w:rPr>
                    <w:t>能够保证废水全部进入集中污水处理厂进行处理</w:t>
                  </w:r>
                  <w:r>
                    <w:rPr>
                      <w:rFonts w:cs="Times New Roman" w:hint="eastAsia"/>
                      <w:color w:val="auto"/>
                      <w:kern w:val="2"/>
                      <w:sz w:val="21"/>
                      <w:szCs w:val="21"/>
                      <w:lang w:val="en-US" w:eastAsia="zh-CN" w:bidi="ar-SA"/>
                      <w:highlight w:val="none"/>
                    </w:rPr>
                    <w:t>，</w:t>
                  </w:r>
                  <w:r>
                    <w:rPr>
                      <w:rFonts w:ascii="Times New Roman" w:eastAsia="宋体" w:cs="Times New Roman" w:hAnsi="Times New Roman" w:hint="eastAsia"/>
                      <w:color w:val="auto"/>
                      <w:kern w:val="2"/>
                      <w:sz w:val="21"/>
                      <w:szCs w:val="21"/>
                      <w:lang w:val="en-US" w:eastAsia="zh-CN" w:bidi="ar-SA"/>
                      <w:highlight w:val="none"/>
                    </w:rPr>
                    <w:t>污水处理厂处理能力、处理工艺能够满足规划产业废水处理要求，处理后的废水能够稳定达标排放。通过中水回用率的提高，可以减少水污染物对洨河、槐河的影响。本评价提出了入区企业和各污水处理厂事故状态下的防范措施，保证事故工况下不会对区域地表水产生污染影响</w:t>
                  </w:r>
                  <w:r>
                    <w:rPr>
                      <w:rFonts w:cs="Times New Roman" w:hint="eastAsia"/>
                      <w:color w:val="auto"/>
                      <w:kern w:val="2"/>
                      <w:sz w:val="21"/>
                      <w:szCs w:val="21"/>
                      <w:lang w:val="en-US" w:eastAsia="zh-CN" w:bidi="ar-SA"/>
                      <w:highlight w:val="none"/>
                    </w:rPr>
                    <w:t>；</w:t>
                  </w:r>
                  <w:r>
                    <w:rPr>
                      <w:rFonts w:ascii="Times New Roman" w:eastAsia="宋体" w:cs="Times New Roman" w:hAnsi="Times New Roman" w:hint="eastAsia"/>
                      <w:color w:val="auto"/>
                      <w:kern w:val="2"/>
                      <w:sz w:val="21"/>
                      <w:szCs w:val="21"/>
                      <w:lang w:val="en-US" w:eastAsia="zh-CN" w:bidi="ar-SA"/>
                      <w:highlight w:val="none"/>
                    </w:rPr>
                    <w:t>正常状况下的跑冒滴漏对地下水影响较小。此外，区域第四系孔隙水与岩溶水之间存在稳定的隔水层，污染物更不会透过隔水层对岩溶水水质造成影响。产业园区规划实施后，通过合理布局、源头控制、分区防渗应急响应、跟踪监测等措施，规划产业的发展不会加重区域水环境风险，不会对区域地下水环境产生明显污染影响</w:t>
                  </w:r>
                  <w:r>
                    <w:rPr>
                      <w:rFonts w:cs="Times New Roman" w:hint="eastAsia"/>
                      <w:color w:val="auto"/>
                      <w:kern w:val="2"/>
                      <w:sz w:val="21"/>
                      <w:szCs w:val="21"/>
                      <w:lang w:val="en-US" w:eastAsia="zh-CN" w:bidi="ar-SA"/>
                      <w:highlight w:val="none"/>
                    </w:rPr>
                    <w:t>；</w:t>
                  </w:r>
                  <w:r>
                    <w:rPr>
                      <w:rFonts w:ascii="Times New Roman" w:eastAsia="宋体" w:cs="Times New Roman" w:hAnsi="Times New Roman" w:hint="eastAsia"/>
                      <w:color w:val="auto"/>
                      <w:kern w:val="2"/>
                      <w:sz w:val="21"/>
                      <w:szCs w:val="21"/>
                      <w:lang w:val="en-US" w:eastAsia="zh-CN" w:bidi="ar-SA"/>
                      <w:highlight w:val="none"/>
                    </w:rPr>
                    <w:t>通过合理设计布局，采取完善的隔声降噪措施，产业园区的声环境质量可达到《声环境质量标准》</w:t>
                  </w:r>
                  <w:r>
                    <w:rPr>
                      <w:rFonts w:cs="Times New Roman" w:hint="eastAsia"/>
                      <w:color w:val="auto"/>
                      <w:kern w:val="2"/>
                      <w:sz w:val="21"/>
                      <w:szCs w:val="21"/>
                      <w:lang w:val="en-US" w:eastAsia="zh-CN" w:bidi="ar-SA"/>
                      <w:highlight w:val="none"/>
                    </w:rPr>
                    <w:t>（</w:t>
                  </w:r>
                  <w:r>
                    <w:rPr>
                      <w:rFonts w:ascii="Times New Roman" w:eastAsia="宋体" w:cs="Times New Roman" w:hAnsi="Times New Roman" w:hint="eastAsia"/>
                      <w:color w:val="auto"/>
                      <w:kern w:val="2"/>
                      <w:sz w:val="21"/>
                      <w:szCs w:val="21"/>
                      <w:lang w:val="en-US" w:eastAsia="zh-CN" w:bidi="ar-SA"/>
                      <w:highlight w:val="none"/>
                    </w:rPr>
                    <w:t>GB3096-2008</w:t>
                  </w:r>
                  <w:r>
                    <w:rPr>
                      <w:rFonts w:cs="Times New Roman" w:hint="eastAsia"/>
                      <w:color w:val="auto"/>
                      <w:kern w:val="2"/>
                      <w:sz w:val="21"/>
                      <w:szCs w:val="21"/>
                      <w:lang w:val="en-US" w:eastAsia="zh-CN" w:bidi="ar-SA"/>
                      <w:highlight w:val="none"/>
                    </w:rPr>
                    <w:t>）</w:t>
                  </w:r>
                  <w:r>
                    <w:rPr>
                      <w:rFonts w:ascii="Times New Roman" w:eastAsia="宋体" w:cs="Times New Roman" w:hAnsi="Times New Roman" w:hint="eastAsia"/>
                      <w:color w:val="auto"/>
                      <w:kern w:val="2"/>
                      <w:sz w:val="21"/>
                      <w:szCs w:val="21"/>
                      <w:lang w:val="en-US" w:eastAsia="zh-CN" w:bidi="ar-SA"/>
                      <w:highlight w:val="none"/>
                    </w:rPr>
                    <w:t>中</w:t>
                  </w:r>
                  <w:r>
                    <w:rPr>
                      <w:rFonts w:cs="Times New Roman" w:hint="eastAsia"/>
                      <w:color w:val="auto"/>
                      <w:kern w:val="2"/>
                      <w:sz w:val="21"/>
                      <w:szCs w:val="21"/>
                      <w:lang w:val="en-US" w:eastAsia="zh-CN" w:bidi="ar-SA"/>
                      <w:highlight w:val="none"/>
                    </w:rPr>
                    <w:t>各类</w:t>
                  </w:r>
                  <w:r>
                    <w:rPr>
                      <w:rFonts w:ascii="Times New Roman" w:eastAsia="宋体" w:cs="Times New Roman" w:hAnsi="Times New Roman" w:hint="eastAsia"/>
                      <w:color w:val="auto"/>
                      <w:kern w:val="2"/>
                      <w:sz w:val="21"/>
                      <w:szCs w:val="21"/>
                      <w:lang w:val="en-US" w:eastAsia="zh-CN" w:bidi="ar-SA"/>
                      <w:highlight w:val="none"/>
                    </w:rPr>
                    <w:t>功能区标准要求，规划的实施不会改变区域声环境功能，满足环境质量底线要求</w:t>
                  </w:r>
                  <w:r>
                    <w:rPr>
                      <w:rFonts w:cs="Times New Roman" w:hint="eastAsia"/>
                      <w:color w:val="auto"/>
                      <w:kern w:val="2"/>
                      <w:sz w:val="21"/>
                      <w:szCs w:val="21"/>
                      <w:lang w:val="en-US" w:eastAsia="zh-CN" w:bidi="ar-SA"/>
                      <w:highlight w:val="none"/>
                    </w:rPr>
                    <w:t>；</w:t>
                  </w:r>
                  <w:r>
                    <w:rPr>
                      <w:rFonts w:ascii="Times New Roman" w:eastAsia="宋体" w:cs="Times New Roman" w:hAnsi="Times New Roman" w:hint="eastAsia"/>
                      <w:color w:val="auto"/>
                      <w:kern w:val="2"/>
                      <w:sz w:val="21"/>
                      <w:szCs w:val="21"/>
                      <w:lang w:val="en-US" w:eastAsia="zh-CN" w:bidi="ar-SA"/>
                      <w:highlight w:val="none"/>
                    </w:rPr>
                    <w:t>在落实本评价提出的固体废物处置措施的情况下，产业园区产生的固体废物可全部综合利用或妥善处置，不会对区域环境产生明显不良影响</w:t>
                  </w:r>
                  <w:r>
                    <w:rPr>
                      <w:rFonts w:cs="Times New Roman" w:hint="eastAsia"/>
                      <w:color w:val="auto"/>
                      <w:kern w:val="2"/>
                      <w:sz w:val="21"/>
                      <w:szCs w:val="21"/>
                      <w:lang w:val="en-US" w:eastAsia="zh-CN" w:bidi="ar-SA"/>
                      <w:highlight w:val="none"/>
                    </w:rPr>
                    <w:t>；</w:t>
                  </w:r>
                  <w:r>
                    <w:rPr>
                      <w:rFonts w:ascii="Times New Roman" w:eastAsia="宋体" w:cs="Times New Roman" w:hAnsi="Times New Roman" w:hint="eastAsia"/>
                      <w:color w:val="auto"/>
                      <w:kern w:val="2"/>
                      <w:sz w:val="21"/>
                      <w:szCs w:val="21"/>
                      <w:lang w:val="en-US" w:eastAsia="zh-CN" w:bidi="ar-SA"/>
                      <w:highlight w:val="none"/>
                    </w:rPr>
                    <w:t>在严格按照土壤污染防护措施后，规划实施对区域土壤环境影响可接受</w:t>
                  </w:r>
                  <w:r>
                    <w:rPr>
                      <w:rFonts w:cs="Times New Roman" w:hint="eastAsia"/>
                      <w:color w:val="auto"/>
                      <w:kern w:val="2"/>
                      <w:sz w:val="21"/>
                      <w:szCs w:val="21"/>
                      <w:lang w:val="en-US" w:eastAsia="zh-CN" w:bidi="ar-SA"/>
                      <w:highlight w:val="none"/>
                    </w:rPr>
                    <w:t>；</w:t>
                  </w:r>
                  <w:r>
                    <w:rPr>
                      <w:rFonts w:ascii="Times New Roman" w:eastAsia="宋体" w:cs="Times New Roman" w:hAnsi="Times New Roman" w:hint="eastAsia"/>
                      <w:color w:val="auto"/>
                      <w:kern w:val="2"/>
                      <w:sz w:val="21"/>
                      <w:szCs w:val="21"/>
                      <w:lang w:val="en-US" w:eastAsia="zh-CN" w:bidi="ar-SA"/>
                      <w:highlight w:val="none"/>
                    </w:rPr>
                    <w:t>在产业园区基础设施和入区企业建设严格落实总体规划和本评价提出的预防措施的前提下，产业园区规划的实施对区域生态环境的影响是可以接受的</w:t>
                  </w:r>
                  <w:r>
                    <w:rPr>
                      <w:rFonts w:cs="Times New Roman" w:hint="eastAsia"/>
                      <w:color w:val="auto"/>
                      <w:kern w:val="2"/>
                      <w:sz w:val="21"/>
                      <w:szCs w:val="21"/>
                      <w:lang w:val="en-US" w:eastAsia="zh-CN" w:bidi="ar-SA"/>
                      <w:highlight w:val="none"/>
                    </w:rPr>
                    <w:t>；</w:t>
                  </w:r>
                  <w:r>
                    <w:rPr>
                      <w:rFonts w:ascii="Times New Roman" w:eastAsia="宋体" w:cs="Times New Roman" w:hAnsi="Times New Roman" w:hint="eastAsia"/>
                      <w:color w:val="auto"/>
                      <w:kern w:val="2"/>
                      <w:sz w:val="21"/>
                      <w:szCs w:val="21"/>
                      <w:lang w:val="en-US" w:eastAsia="zh-CN" w:bidi="ar-SA"/>
                      <w:highlight w:val="none"/>
                    </w:rPr>
                    <w:t>在采取完善的风险防范措施并且对风险源进行合理布局的条件下</w:t>
                  </w:r>
                  <w:r>
                    <w:rPr>
                      <w:rFonts w:cs="Times New Roman" w:hint="eastAsia"/>
                      <w:color w:val="auto"/>
                      <w:kern w:val="2"/>
                      <w:sz w:val="21"/>
                      <w:szCs w:val="21"/>
                      <w:lang w:val="en-US" w:eastAsia="zh-CN" w:bidi="ar-SA"/>
                      <w:highlight w:val="none"/>
                    </w:rPr>
                    <w:t>，</w:t>
                  </w:r>
                  <w:r>
                    <w:rPr>
                      <w:rFonts w:ascii="Times New Roman" w:eastAsia="宋体" w:cs="Times New Roman" w:hAnsi="Times New Roman" w:hint="eastAsia"/>
                      <w:color w:val="auto"/>
                      <w:kern w:val="2"/>
                      <w:sz w:val="21"/>
                      <w:szCs w:val="21"/>
                      <w:lang w:val="en-US" w:eastAsia="zh-CN" w:bidi="ar-SA"/>
                      <w:highlight w:val="none"/>
                    </w:rPr>
                    <w:t>环境风险可防控控制。同时，开发区通过采取项目准入控制措施、工程措施管理措施、监控措施、修复治理措施多项措施，可避免规划实施后对区域环境产生污染影响。</w:t>
                  </w:r>
                </w:p>
              </w:tc>
              <w:tc>
                <w:tcPr>
                  <w:tcW w:w="2880" w:type="dxa"/>
                  <w:tcBorders>
                    <w:tl2br w:val="nil"/>
                    <w:tr2bl w:val="nil"/>
                  </w:tcBorders>
                  <w:vAlign w:val="center"/>
                </w:tcPr>
                <w:p>
                  <w:pPr>
                    <w:pStyle w:val="56"/>
                    <w:keepNext w:val="0"/>
                    <w:keepLines w:val="0"/>
                    <w:pageBreakBefore w:val="0"/>
                    <w:kinsoku/>
                    <w:wordWrap/>
                    <w:overflowPunct/>
                    <w:topLinePunct w:val="0"/>
                    <w:autoSpaceDE/>
                    <w:autoSpaceDN/>
                    <w:bidi w:val="0"/>
                    <w:adjustRightInd w:val="0"/>
                    <w:snapToGrid/>
                    <w:spacing w:line="240" w:lineRule="auto"/>
                    <w:ind w:left="0" w:firstLineChars="0" w:firstLine="0"/>
                    <w:jc w:val="both"/>
                    <w:rPr>
                      <w:rFonts w:ascii="Times New Roman" w:cs="Times New Roman" w:hAnsi="Times New Roman"/>
                      <w:color w:val="auto"/>
                      <w:sz w:val="21"/>
                      <w:szCs w:val="21"/>
                      <w:vertAlign w:val="baseline"/>
                      <w:highlight w:val="none"/>
                    </w:rPr>
                  </w:pPr>
                  <w:r>
                    <w:rPr>
                      <w:rFonts w:ascii="Times New Roman" w:eastAsia="宋体" w:cs="Times New Roman" w:hAnsi="Times New Roman" w:hint="eastAsia"/>
                      <w:color w:val="auto"/>
                      <w:kern w:val="2"/>
                      <w:sz w:val="21"/>
                      <w:szCs w:val="21"/>
                      <w:lang w:val="en-US" w:eastAsia="zh-CN" w:bidi="ar-SA"/>
                      <w:highlight w:val="none"/>
                    </w:rPr>
                    <w:t>项目</w:t>
                  </w:r>
                  <w:r>
                    <w:rPr>
                      <w:rFonts w:cs="Times New Roman" w:hint="eastAsia"/>
                      <w:color w:val="auto"/>
                      <w:kern w:val="2"/>
                      <w:sz w:val="21"/>
                      <w:szCs w:val="21"/>
                      <w:lang w:val="en-US" w:eastAsia="zh-CN" w:bidi="ar-SA"/>
                      <w:highlight w:val="none"/>
                    </w:rPr>
                    <w:t>产生的废气主要为</w:t>
                  </w:r>
                  <w:r>
                    <w:rPr>
                      <w:rFonts w:cs="Times New Roman" w:hint="eastAsia"/>
                      <w:color w:val="auto"/>
                      <w:kern w:val="2"/>
                      <w:sz w:val="21"/>
                      <w:szCs w:val="21"/>
                      <w:lang w:val="en-US" w:bidi="ar-SA"/>
                      <w:highlight w:val="none"/>
                    </w:rPr>
                    <w:t>非正常工况下</w:t>
                  </w:r>
                  <w:r>
                    <w:rPr>
                      <w:rFonts w:cs="Times New Roman" w:hint="eastAsia"/>
                      <w:color w:val="auto"/>
                      <w:kern w:val="2"/>
                      <w:sz w:val="21"/>
                      <w:szCs w:val="21"/>
                      <w:lang w:val="en-US" w:eastAsia="zh-CN" w:bidi="ar-SA"/>
                      <w:highlight w:val="none"/>
                    </w:rPr>
                    <w:t>废电池破损产生的硫酸雾，采用</w:t>
                  </w:r>
                  <w:r>
                    <w:rPr>
                      <w:rFonts w:cs="Times New Roman" w:hint="eastAsia"/>
                      <w:color w:val="auto"/>
                      <w:kern w:val="2"/>
                      <w:sz w:val="21"/>
                      <w:szCs w:val="21"/>
                      <w:lang w:val="en-US" w:bidi="ar-SA"/>
                      <w:highlight w:val="none"/>
                    </w:rPr>
                    <w:t>碱喷淋应急装置进行处理</w:t>
                  </w:r>
                  <w:r>
                    <w:rPr>
                      <w:rFonts w:cs="Times New Roman"/>
                      <w:color w:val="auto"/>
                      <w:kern w:val="2"/>
                      <w:sz w:val="21"/>
                      <w:szCs w:val="21"/>
                      <w:lang w:bidi="ar-SA"/>
                      <w:highlight w:val="none"/>
                    </w:rPr>
                    <w:t>，</w:t>
                  </w:r>
                  <w:r>
                    <w:rPr>
                      <w:rFonts w:cs="Times New Roman" w:hint="eastAsia"/>
                      <w:color w:val="auto"/>
                      <w:kern w:val="2"/>
                      <w:sz w:val="21"/>
                      <w:szCs w:val="21"/>
                      <w:lang w:val="en-US" w:bidi="ar-SA"/>
                      <w:highlight w:val="none"/>
                    </w:rPr>
                    <w:t>处理后通过</w:t>
                  </w:r>
                  <w:r>
                    <w:rPr>
                      <w:rFonts w:cs="Times New Roman"/>
                      <w:color w:val="auto"/>
                      <w:kern w:val="2"/>
                      <w:sz w:val="21"/>
                      <w:szCs w:val="21"/>
                      <w:lang w:bidi="ar-SA"/>
                      <w:highlight w:val="none"/>
                    </w:rPr>
                    <w:t>15</w:t>
                  </w:r>
                  <w:r>
                    <w:rPr>
                      <w:rFonts w:cs="Times New Roman" w:hint="eastAsia"/>
                      <w:color w:val="auto"/>
                      <w:kern w:val="2"/>
                      <w:sz w:val="21"/>
                      <w:szCs w:val="21"/>
                      <w:lang w:val="en-US" w:bidi="ar-SA"/>
                      <w:highlight w:val="none"/>
                    </w:rPr>
                    <w:t>m高排气筒排放</w:t>
                  </w:r>
                  <w:r>
                    <w:rPr>
                      <w:rFonts w:ascii="Times New Roman" w:eastAsia="宋体" w:cs="Times New Roman" w:hAnsi="Times New Roman" w:hint="eastAsia"/>
                      <w:color w:val="auto"/>
                      <w:kern w:val="2"/>
                      <w:sz w:val="21"/>
                      <w:szCs w:val="21"/>
                      <w:lang w:val="en-US" w:eastAsia="zh-CN" w:bidi="ar-SA"/>
                      <w:highlight w:val="none"/>
                    </w:rPr>
                    <w:t>。</w:t>
                  </w:r>
                  <w:r>
                    <w:rPr>
                      <w:rFonts w:ascii="Times New Roman" w:eastAsia="Segoe UI" w:cs="Times New Roman" w:hAnsi="Times New Roman"/>
                      <w:bCs w:val="0"/>
                      <w:i w:val="0"/>
                      <w:iCs w:val="0"/>
                      <w:caps w:val="0"/>
                      <w:smallCaps w:val="0"/>
                      <w:color w:val="auto"/>
                      <w:spacing w:val="0"/>
                      <w:kern w:val="0"/>
                      <w:sz w:val="21"/>
                      <w:szCs w:val="21"/>
                      <w:shd w:val="clear" w:color="auto" w:fill="FFFFFF"/>
                      <w:lang w:val="en-US" w:eastAsia="zh-CN" w:bidi="ar-SA"/>
                      <w:highlight w:val="none"/>
                    </w:rPr>
                    <w:t>项</w:t>
                  </w:r>
                  <w:r>
                    <w:rPr>
                      <w:rFonts w:ascii="Times New Roman" w:eastAsia="宋体" w:cs="Times New Roman" w:hAnsi="Times New Roman"/>
                      <w:color w:val="auto"/>
                      <w:kern w:val="2"/>
                      <w:sz w:val="21"/>
                      <w:szCs w:val="21"/>
                      <w:lang w:val="en-US" w:eastAsia="zh-CN" w:bidi="ar-SA"/>
                      <w:highlight w:val="none"/>
                    </w:rPr>
                    <w:t>目</w:t>
                  </w:r>
                  <w:r>
                    <w:rPr>
                      <w:rFonts w:ascii="Times New Roman" w:eastAsia="宋体" w:cs="Times New Roman" w:hAnsi="Times New Roman" w:hint="eastAsia"/>
                      <w:color w:val="auto"/>
                      <w:kern w:val="2"/>
                      <w:sz w:val="21"/>
                      <w:szCs w:val="21"/>
                      <w:lang w:val="en-US" w:eastAsia="zh-CN" w:bidi="ar-SA"/>
                      <w:highlight w:val="none"/>
                    </w:rPr>
                    <w:t>废水主要为生活污水，</w:t>
                  </w:r>
                  <w:r>
                    <w:rPr>
                      <w:rFonts w:ascii="Times New Roman" w:eastAsia="宋体" w:cs="Times New Roman" w:hAnsi="Times New Roman"/>
                      <w:color w:val="auto"/>
                      <w:kern w:val="2"/>
                      <w:sz w:val="21"/>
                      <w:szCs w:val="21"/>
                      <w:lang w:val="en-US" w:eastAsia="zh-CN" w:bidi="ar-SA"/>
                      <w:highlight w:val="none"/>
                    </w:rPr>
                    <w:t>依托河北泽豪环保新材料科技有限公司化粪池处理后，</w:t>
                  </w:r>
                  <w:r>
                    <w:rPr>
                      <w:rFonts w:cs="Times New Roman" w:hint="eastAsia"/>
                      <w:color w:val="auto"/>
                      <w:kern w:val="2"/>
                      <w:sz w:val="21"/>
                      <w:szCs w:val="21"/>
                      <w:lang w:val="en-US" w:eastAsia="zh-CN" w:bidi="ar-SA"/>
                      <w:highlight w:val="none"/>
                    </w:rPr>
                    <w:t>定期清掏，不外排</w:t>
                  </w:r>
                  <w:r>
                    <w:rPr>
                      <w:rFonts w:eastAsia="Segoe UI" w:cs="Times New Roman" w:hint="eastAsia"/>
                      <w:i w:val="0"/>
                      <w:iCs w:val="0"/>
                      <w:caps w:val="0"/>
                      <w:smallCaps w:val="0"/>
                      <w:color w:val="auto"/>
                      <w:spacing w:val="0"/>
                      <w:sz w:val="21"/>
                      <w:szCs w:val="21"/>
                      <w:shd w:val="clear" w:color="auto" w:fill="FFFFFF"/>
                      <w:lang w:val="en-US" w:eastAsia="zh-CN"/>
                      <w:highlight w:val="none"/>
                    </w:rPr>
                    <w:t>。</w:t>
                  </w:r>
                  <w:r>
                    <w:rPr>
                      <w:rFonts w:ascii="Times New Roman" w:eastAsia="宋体" w:cs="Times New Roman" w:hAnsi="Times New Roman" w:hint="eastAsia"/>
                      <w:color w:val="auto"/>
                      <w:sz w:val="21"/>
                      <w:szCs w:val="21"/>
                      <w:lang w:val="en-US" w:eastAsia="zh-CN"/>
                      <w:highlight w:val="none"/>
                    </w:rPr>
                    <w:t>固体废物全部得到合理处置；项目选用低噪音设备，采取基础减振、厂房隔声等措施，经预测分析，可保证厂界噪声达标；项目无土壤污染因子和污染途径。项目利用现有闲置厂房进行建设，不会对生态环境造成影响；项目涉及的风险物质经采取相应防范措施，环境风险可控。综上分析，项目的实施不会对区域环境质量造成明显影响。</w:t>
                  </w:r>
                </w:p>
              </w:tc>
              <w:tc>
                <w:tcPr>
                  <w:tcW w:w="864" w:type="dxa"/>
                  <w:tcBorders>
                    <w:tl2br w:val="nil"/>
                    <w:tr2bl w:val="nil"/>
                  </w:tcBorders>
                  <w:vAlign w:val="center"/>
                </w:tcPr>
                <w:p>
                  <w:pPr>
                    <w:pStyle w:val="56"/>
                    <w:keepNext w:val="0"/>
                    <w:keepLines w:val="0"/>
                    <w:pageBreakBefore w:val="0"/>
                    <w:kinsoku/>
                    <w:wordWrap/>
                    <w:overflowPunct/>
                    <w:topLinePunct w:val="0"/>
                    <w:autoSpaceDE/>
                    <w:autoSpaceDN/>
                    <w:bidi w:val="0"/>
                    <w:adjustRightInd w:val="0"/>
                    <w:snapToGrid/>
                    <w:spacing w:line="240" w:lineRule="auto"/>
                    <w:ind w:left="0" w:firstLineChars="0" w:firstLine="0"/>
                    <w:jc w:val="center"/>
                    <w:rPr>
                      <w:rFonts w:ascii="Times New Roman" w:cs="Times New Roman" w:hAnsi="Times New Roman"/>
                      <w:color w:val="auto"/>
                      <w:sz w:val="21"/>
                      <w:szCs w:val="21"/>
                      <w:vertAlign w:val="baseline"/>
                      <w:highlight w:val="none"/>
                    </w:rPr>
                  </w:pPr>
                  <w:r>
                    <w:rPr>
                      <w:rFonts w:ascii="Times New Roman" w:eastAsia="宋体" w:cs="Times New Roman" w:hAnsi="Times New Roman" w:hint="eastAsia"/>
                      <w:color w:val="auto"/>
                      <w:kern w:val="2"/>
                      <w:sz w:val="21"/>
                      <w:szCs w:val="21"/>
                      <w:lang w:val="en-US" w:eastAsia="zh-CN" w:bidi="ar-SA"/>
                      <w:highlight w:val="none"/>
                    </w:rPr>
                    <w:t>符合</w:t>
                  </w:r>
                </w:p>
              </w:tc>
            </w:tr>
            <w:tr>
              <w:trPr>
                <w:trHeight w:val="397"/>
              </w:trPr>
              <w:tc>
                <w:tcPr>
                  <w:tcW w:w="734" w:type="dxa"/>
                  <w:tcBorders>
                    <w:tl2br w:val="nil"/>
                    <w:tr2bl w:val="nil"/>
                  </w:tcBorders>
                  <w:vAlign w:val="center"/>
                </w:tcPr>
                <w:p>
                  <w:pPr>
                    <w:pStyle w:val="56"/>
                    <w:keepNext w:val="0"/>
                    <w:keepLines w:val="0"/>
                    <w:pageBreakBefore w:val="0"/>
                    <w:kinsoku/>
                    <w:wordWrap/>
                    <w:overflowPunct/>
                    <w:topLinePunct w:val="0"/>
                    <w:autoSpaceDE/>
                    <w:autoSpaceDN/>
                    <w:bidi w:val="0"/>
                    <w:adjustRightInd w:val="0"/>
                    <w:snapToGrid/>
                    <w:spacing w:line="240" w:lineRule="auto"/>
                    <w:ind w:left="0" w:firstLineChars="0" w:firstLine="0"/>
                    <w:jc w:val="center"/>
                    <w:rPr>
                      <w:rFonts w:ascii="Times New Roman" w:eastAsia="宋体" w:cs="Times New Roman" w:hAnsi="Times New Roman"/>
                      <w:color w:val="auto"/>
                      <w:kern w:val="2"/>
                      <w:sz w:val="21"/>
                      <w:szCs w:val="21"/>
                      <w:lang w:val="en-US" w:eastAsia="zh-CN" w:bidi="ar-SA"/>
                      <w:highlight w:val="none"/>
                    </w:rPr>
                  </w:pPr>
                  <w:r>
                    <w:rPr>
                      <w:rFonts w:ascii="Times New Roman" w:eastAsia="宋体" w:cs="Times New Roman" w:hAnsi="Times New Roman" w:hint="eastAsia"/>
                      <w:color w:val="auto"/>
                      <w:kern w:val="2"/>
                      <w:sz w:val="21"/>
                      <w:szCs w:val="21"/>
                      <w:lang w:val="en-US" w:eastAsia="zh-CN" w:bidi="ar-SA"/>
                      <w:highlight w:val="none"/>
                    </w:rPr>
                    <w:t>5</w:t>
                  </w:r>
                </w:p>
              </w:tc>
              <w:tc>
                <w:tcPr>
                  <w:tcW w:w="311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napToGrid/>
                    <w:spacing w:line="240" w:lineRule="auto"/>
                    <w:ind w:firstLine="0"/>
                    <w:jc w:val="both"/>
                    <w:rPr>
                      <w:rFonts w:ascii="Times New Roman" w:eastAsia="宋体" w:cs="Times New Roman" w:hAnsi="Times New Roman"/>
                      <w:color w:val="auto"/>
                      <w:kern w:val="2"/>
                      <w:sz w:val="21"/>
                      <w:szCs w:val="21"/>
                      <w:lang w:val="en-US" w:eastAsia="zh-CN" w:bidi="ar-SA"/>
                      <w:highlight w:val="none"/>
                    </w:rPr>
                  </w:pPr>
                  <w:r>
                    <w:rPr>
                      <w:rFonts w:ascii="Times New Roman" w:eastAsia="宋体" w:cs="Times New Roman" w:hAnsi="Times New Roman" w:hint="eastAsia"/>
                      <w:color w:val="auto"/>
                      <w:kern w:val="2"/>
                      <w:sz w:val="21"/>
                      <w:szCs w:val="21"/>
                      <w:lang w:val="en-US" w:eastAsia="zh-CN" w:bidi="ar-SA"/>
                      <w:highlight w:val="none"/>
                    </w:rPr>
                    <w:t>资源与环境承载力分析结论</w:t>
                  </w:r>
                  <w:r>
                    <w:rPr>
                      <w:rFonts w:cs="Times New Roman" w:hint="eastAsia"/>
                      <w:color w:val="auto"/>
                      <w:kern w:val="2"/>
                      <w:sz w:val="21"/>
                      <w:szCs w:val="21"/>
                      <w:lang w:val="en-US" w:eastAsia="zh-CN" w:bidi="ar-SA"/>
                      <w:highlight w:val="none"/>
                    </w:rPr>
                    <w:t>：</w:t>
                  </w:r>
                  <w:r>
                    <w:rPr>
                      <w:rFonts w:ascii="Times New Roman" w:eastAsia="宋体" w:cs="Times New Roman" w:hAnsi="Times New Roman" w:hint="eastAsia"/>
                      <w:color w:val="auto"/>
                      <w:kern w:val="2"/>
                      <w:sz w:val="21"/>
                      <w:szCs w:val="21"/>
                      <w:lang w:val="en-US" w:eastAsia="zh-CN" w:bidi="ar-SA"/>
                      <w:highlight w:val="none"/>
                    </w:rPr>
                    <w:t>在充分利用回用水和南水北调地表水的前提下，区域水资源可承载规划的实施</w:t>
                  </w:r>
                  <w:r>
                    <w:rPr>
                      <w:rFonts w:cs="Times New Roman" w:hint="eastAsia"/>
                      <w:color w:val="auto"/>
                      <w:kern w:val="2"/>
                      <w:sz w:val="21"/>
                      <w:szCs w:val="21"/>
                      <w:lang w:val="en-US" w:eastAsia="zh-CN" w:bidi="ar-SA"/>
                      <w:highlight w:val="none"/>
                    </w:rPr>
                    <w:t>；</w:t>
                  </w:r>
                  <w:r>
                    <w:rPr>
                      <w:rFonts w:ascii="Times New Roman" w:eastAsia="宋体" w:cs="Times New Roman" w:hAnsi="Times New Roman" w:hint="eastAsia"/>
                      <w:color w:val="auto"/>
                      <w:kern w:val="2"/>
                      <w:sz w:val="21"/>
                      <w:szCs w:val="21"/>
                      <w:lang w:val="en-US" w:eastAsia="zh-CN" w:bidi="ar-SA"/>
                      <w:highlight w:val="none"/>
                    </w:rPr>
                    <w:t>产业园区划建设用地占用一部分一般农田</w:t>
                  </w:r>
                  <w:r>
                    <w:rPr>
                      <w:rFonts w:cs="Times New Roman" w:hint="eastAsia"/>
                      <w:color w:val="auto"/>
                      <w:kern w:val="2"/>
                      <w:sz w:val="21"/>
                      <w:szCs w:val="21"/>
                      <w:lang w:val="en-US" w:eastAsia="zh-CN" w:bidi="ar-SA"/>
                      <w:highlight w:val="none"/>
                    </w:rPr>
                    <w:t>，</w:t>
                  </w:r>
                  <w:r>
                    <w:rPr>
                      <w:rFonts w:ascii="Times New Roman" w:eastAsia="宋体" w:cs="Times New Roman" w:hAnsi="Times New Roman" w:hint="eastAsia"/>
                      <w:color w:val="auto"/>
                      <w:kern w:val="2"/>
                      <w:sz w:val="21"/>
                      <w:szCs w:val="21"/>
                      <w:lang w:val="en-US" w:eastAsia="zh-CN" w:bidi="ar-SA"/>
                      <w:highlight w:val="none"/>
                    </w:rPr>
                    <w:t>规划实施过程中应通过土地复垦、加大农用地整理和农村居民点用地整理力度、开发未利用地等措施，对土地资源进行开发整理。建议产业园区加大对未利用地的复垦、开发，增加后备耕地面积，实现耕地</w:t>
                  </w:r>
                  <w:r>
                    <w:rPr>
                      <w:rFonts w:cs="Times New Roman" w:hint="eastAsia"/>
                      <w:color w:val="auto"/>
                      <w:kern w:val="2"/>
                      <w:sz w:val="21"/>
                      <w:szCs w:val="21"/>
                      <w:lang w:val="en-US" w:eastAsia="zh-CN" w:bidi="ar-SA"/>
                      <w:highlight w:val="none"/>
                    </w:rPr>
                    <w:t>“</w:t>
                  </w:r>
                  <w:r>
                    <w:rPr>
                      <w:rFonts w:ascii="Times New Roman" w:eastAsia="宋体" w:cs="Times New Roman" w:hAnsi="Times New Roman" w:hint="eastAsia"/>
                      <w:color w:val="auto"/>
                      <w:kern w:val="2"/>
                      <w:sz w:val="21"/>
                      <w:szCs w:val="21"/>
                      <w:lang w:val="en-US" w:eastAsia="zh-CN" w:bidi="ar-SA"/>
                      <w:highlight w:val="none"/>
                    </w:rPr>
                    <w:t>先补后占、占补平衡</w:t>
                  </w:r>
                  <w:r>
                    <w:rPr>
                      <w:rFonts w:cs="Times New Roman" w:hint="eastAsia"/>
                      <w:color w:val="auto"/>
                      <w:kern w:val="2"/>
                      <w:sz w:val="21"/>
                      <w:szCs w:val="21"/>
                      <w:lang w:val="en-US" w:eastAsia="zh-CN" w:bidi="ar-SA"/>
                      <w:highlight w:val="none"/>
                    </w:rPr>
                    <w:t>”</w:t>
                  </w:r>
                  <w:r>
                    <w:rPr>
                      <w:rFonts w:ascii="Times New Roman" w:eastAsia="宋体" w:cs="Times New Roman" w:hAnsi="Times New Roman" w:hint="eastAsia"/>
                      <w:color w:val="auto"/>
                      <w:kern w:val="2"/>
                      <w:sz w:val="21"/>
                      <w:szCs w:val="21"/>
                      <w:lang w:val="en-US" w:eastAsia="zh-CN" w:bidi="ar-SA"/>
                      <w:highlight w:val="none"/>
                    </w:rPr>
                    <w:t>，确保耕地总量不减少，不突破土地资源利用上线</w:t>
                  </w:r>
                  <w:r>
                    <w:rPr>
                      <w:rFonts w:cs="Times New Roman" w:hint="eastAsia"/>
                      <w:color w:val="auto"/>
                      <w:kern w:val="2"/>
                      <w:sz w:val="21"/>
                      <w:szCs w:val="21"/>
                      <w:lang w:val="en-US" w:eastAsia="zh-CN" w:bidi="ar-SA"/>
                      <w:highlight w:val="none"/>
                    </w:rPr>
                    <w:t>；</w:t>
                  </w:r>
                  <w:r>
                    <w:rPr>
                      <w:rFonts w:ascii="Times New Roman" w:eastAsia="宋体" w:cs="Times New Roman" w:hAnsi="Times New Roman" w:hint="eastAsia"/>
                      <w:color w:val="auto"/>
                      <w:kern w:val="2"/>
                      <w:sz w:val="21"/>
                      <w:szCs w:val="21"/>
                      <w:lang w:val="en-US" w:eastAsia="zh-CN" w:bidi="ar-SA"/>
                      <w:highlight w:val="none"/>
                    </w:rPr>
                    <w:t>区域大气环境容量可承载规划的实施:规划通过配建再生水装置，提高再生水回用率，废水集中收集处理净化后回用，规划近期主要废水污染物COD和氨氨排放总量相对现状均有一定削减</w:t>
                  </w:r>
                  <w:r>
                    <w:rPr>
                      <w:rFonts w:cs="Times New Roman" w:hint="eastAsia"/>
                      <w:color w:val="auto"/>
                      <w:kern w:val="2"/>
                      <w:sz w:val="21"/>
                      <w:szCs w:val="21"/>
                      <w:lang w:val="en-US" w:eastAsia="zh-CN" w:bidi="ar-SA"/>
                      <w:highlight w:val="none"/>
                    </w:rPr>
                    <w:t>，</w:t>
                  </w:r>
                  <w:r>
                    <w:rPr>
                      <w:rFonts w:ascii="Times New Roman" w:eastAsia="宋体" w:cs="Times New Roman" w:hAnsi="Times New Roman" w:hint="eastAsia"/>
                      <w:color w:val="auto"/>
                      <w:kern w:val="2"/>
                      <w:sz w:val="21"/>
                      <w:szCs w:val="21"/>
                      <w:lang w:val="en-US" w:eastAsia="zh-CN" w:bidi="ar-SA"/>
                      <w:highlight w:val="none"/>
                    </w:rPr>
                    <w:t>有利于地表水体环境质量进一步改善。</w:t>
                  </w:r>
                </w:p>
              </w:tc>
              <w:tc>
                <w:tcPr>
                  <w:tcW w:w="2880" w:type="dxa"/>
                  <w:tcBorders>
                    <w:tl2br w:val="nil"/>
                    <w:tr2bl w:val="nil"/>
                  </w:tcBorders>
                  <w:vAlign w:val="center"/>
                </w:tcPr>
                <w:p>
                  <w:pPr>
                    <w:keepNext w:val="0"/>
                    <w:keepLines w:val="0"/>
                    <w:widowControl/>
                    <w:suppressLineNumbers w:val="0"/>
                    <w:jc w:val="both"/>
                    <w:rPr>
                      <w:rFonts w:ascii="Times New Roman" w:eastAsia="宋体" w:cs="Times New Roman" w:hAnsi="Times New Roman"/>
                      <w:color w:val="auto"/>
                      <w:kern w:val="2"/>
                      <w:sz w:val="21"/>
                      <w:szCs w:val="21"/>
                      <w:lang w:val="en-US" w:eastAsia="zh-CN" w:bidi="ar-SA"/>
                      <w:highlight w:val="none"/>
                    </w:rPr>
                  </w:pPr>
                  <w:r>
                    <w:rPr>
                      <w:rFonts w:ascii="宋体" w:eastAsia="宋体" w:cs="宋体" w:hAnsi="宋体" w:hint="eastAsia"/>
                      <w:color w:val="auto"/>
                      <w:kern w:val="0"/>
                      <w:sz w:val="21"/>
                      <w:szCs w:val="21"/>
                      <w:lang w:val="en-US" w:eastAsia="zh-CN"/>
                      <w:highlight w:val="none"/>
                    </w:rPr>
                    <w:t>项目由</w:t>
                  </w:r>
                  <w:r>
                    <w:rPr>
                      <w:rFonts w:ascii="宋体" w:cs="宋体" w:hAnsi="宋体" w:hint="eastAsia"/>
                      <w:color w:val="auto"/>
                      <w:kern w:val="0"/>
                      <w:sz w:val="21"/>
                      <w:szCs w:val="21"/>
                      <w:lang w:val="en-US" w:eastAsia="zh-CN"/>
                      <w:highlight w:val="none"/>
                    </w:rPr>
                    <w:t>园区</w:t>
                  </w:r>
                  <w:r>
                    <w:rPr>
                      <w:rFonts w:ascii="宋体" w:eastAsia="宋体" w:cs="宋体" w:hAnsi="宋体" w:hint="eastAsia"/>
                      <w:color w:val="auto"/>
                      <w:kern w:val="0"/>
                      <w:sz w:val="21"/>
                      <w:szCs w:val="21"/>
                      <w:lang w:val="en-US" w:eastAsia="zh-CN"/>
                      <w:highlight w:val="none"/>
                    </w:rPr>
                    <w:t>管网供水，</w:t>
                  </w:r>
                  <w:r>
                    <w:rPr>
                      <w:rFonts w:ascii="宋体" w:eastAsia="宋体" w:cs="宋体" w:hAnsi="宋体"/>
                      <w:color w:val="auto"/>
                      <w:kern w:val="0"/>
                      <w:sz w:val="21"/>
                      <w:szCs w:val="21"/>
                      <w:lang w:val="en-US" w:eastAsia="zh-CN"/>
                      <w:highlight w:val="none"/>
                    </w:rPr>
                    <w:t>租赁</w:t>
                  </w:r>
                  <w:r>
                    <w:rPr>
                      <w:rFonts w:ascii="宋体" w:eastAsia="宋体" w:cs="宋体" w:hAnsi="宋体" w:hint="eastAsia"/>
                      <w:color w:val="auto"/>
                      <w:kern w:val="0"/>
                      <w:sz w:val="21"/>
                      <w:szCs w:val="21"/>
                      <w:lang w:val="en-US" w:eastAsia="zh-CN"/>
                      <w:highlight w:val="none"/>
                    </w:rPr>
                    <w:t>河北泽豪环保新材料科技有限公司</w:t>
                  </w:r>
                  <w:r>
                    <w:rPr>
                      <w:rFonts w:ascii="宋体" w:eastAsia="宋体" w:cs="宋体" w:hAnsi="宋体"/>
                      <w:color w:val="auto"/>
                      <w:kern w:val="0"/>
                      <w:sz w:val="21"/>
                      <w:szCs w:val="21"/>
                      <w:lang w:val="en-US" w:eastAsia="zh-CN"/>
                      <w:highlight w:val="none"/>
                    </w:rPr>
                    <w:t>现有闲置</w:t>
                  </w:r>
                  <w:r>
                    <w:rPr>
                      <w:rFonts w:ascii="宋体" w:eastAsia="宋体" w:cs="宋体" w:hAnsi="宋体" w:hint="eastAsia"/>
                      <w:color w:val="auto"/>
                      <w:kern w:val="0"/>
                      <w:sz w:val="21"/>
                      <w:szCs w:val="21"/>
                      <w:lang w:val="en-US" w:eastAsia="zh-CN"/>
                      <w:highlight w:val="none"/>
                    </w:rPr>
                    <w:t>库房和办公室。项目不涉及二氧化硫、氮氧化物排放。</w:t>
                  </w:r>
                  <w:r>
                    <w:rPr>
                      <w:rFonts w:ascii="宋体" w:eastAsia="宋体" w:cs="宋体" w:hAnsi="宋体"/>
                      <w:color w:val="auto"/>
                      <w:kern w:val="0"/>
                      <w:sz w:val="21"/>
                      <w:szCs w:val="21"/>
                      <w:lang w:val="en-US" w:eastAsia="zh-CN"/>
                      <w:highlight w:val="none"/>
                    </w:rPr>
                    <w:t>项目</w:t>
                  </w:r>
                  <w:r>
                    <w:rPr>
                      <w:rFonts w:ascii="宋体" w:eastAsia="宋体" w:cs="宋体" w:hAnsi="宋体" w:hint="eastAsia"/>
                      <w:color w:val="auto"/>
                      <w:kern w:val="0"/>
                      <w:sz w:val="21"/>
                      <w:szCs w:val="21"/>
                      <w:lang w:val="en-US" w:eastAsia="zh-CN"/>
                      <w:highlight w:val="none"/>
                    </w:rPr>
                    <w:t>废水主要为生活污水，</w:t>
                  </w:r>
                  <w:r>
                    <w:rPr>
                      <w:rFonts w:ascii="Times New Roman" w:eastAsia="宋体" w:cs="Times New Roman" w:hAnsi="Times New Roman"/>
                      <w:color w:val="auto"/>
                      <w:kern w:val="2"/>
                      <w:sz w:val="21"/>
                      <w:szCs w:val="21"/>
                      <w:lang w:val="en-US" w:eastAsia="zh-CN" w:bidi="ar-SA"/>
                      <w:highlight w:val="none"/>
                    </w:rPr>
                    <w:t>依托河北泽豪环保新材料科技有限公司化粪池处理后，</w:t>
                  </w:r>
                  <w:r>
                    <w:rPr>
                      <w:rFonts w:cs="Times New Roman" w:hint="eastAsia"/>
                      <w:color w:val="auto"/>
                      <w:kern w:val="2"/>
                      <w:sz w:val="21"/>
                      <w:szCs w:val="21"/>
                      <w:lang w:val="en-US" w:eastAsia="zh-CN" w:bidi="ar-SA"/>
                      <w:highlight w:val="none"/>
                    </w:rPr>
                    <w:t>定期清掏，不外排</w:t>
                  </w:r>
                  <w:r>
                    <w:rPr>
                      <w:rFonts w:ascii="宋体" w:eastAsia="宋体" w:cs="宋体" w:hAnsi="宋体"/>
                      <w:color w:val="auto"/>
                      <w:kern w:val="0"/>
                      <w:sz w:val="21"/>
                      <w:szCs w:val="21"/>
                      <w:lang w:val="en-US" w:eastAsia="zh-CN"/>
                      <w:highlight w:val="none"/>
                    </w:rPr>
                    <w:t>。</w:t>
                  </w:r>
                </w:p>
              </w:tc>
              <w:tc>
                <w:tcPr>
                  <w:tcW w:w="864" w:type="dxa"/>
                  <w:tcBorders>
                    <w:tl2br w:val="nil"/>
                    <w:tr2bl w:val="nil"/>
                  </w:tcBorders>
                  <w:vAlign w:val="center"/>
                </w:tcPr>
                <w:p>
                  <w:pPr>
                    <w:keepNext w:val="0"/>
                    <w:keepLines w:val="0"/>
                    <w:pageBreakBefore w:val="0"/>
                    <w:kinsoku/>
                    <w:wordWrap/>
                    <w:overflowPunct/>
                    <w:topLinePunct w:val="0"/>
                    <w:autoSpaceDE/>
                    <w:autoSpaceDN/>
                    <w:bidi w:val="0"/>
                    <w:snapToGrid/>
                    <w:spacing w:line="240" w:lineRule="auto"/>
                    <w:ind w:left="0" w:firstLine="0"/>
                    <w:jc w:val="center"/>
                    <w:rPr>
                      <w:rFonts w:ascii="Times New Roman" w:eastAsia="宋体" w:cs="Times New Roman" w:hAnsi="Times New Roman"/>
                      <w:color w:val="auto"/>
                      <w:kern w:val="2"/>
                      <w:sz w:val="21"/>
                      <w:szCs w:val="21"/>
                      <w:lang w:val="en-US" w:eastAsia="zh-CN" w:bidi="ar-SA"/>
                      <w:highlight w:val="none"/>
                    </w:rPr>
                  </w:pPr>
                  <w:r>
                    <w:rPr>
                      <w:rFonts w:ascii="Times New Roman" w:eastAsia="宋体" w:cs="Times New Roman" w:hAnsi="Times New Roman" w:hint="eastAsia"/>
                      <w:color w:val="auto"/>
                      <w:kern w:val="2"/>
                      <w:sz w:val="21"/>
                      <w:szCs w:val="21"/>
                      <w:lang w:val="en-US" w:eastAsia="zh-CN" w:bidi="ar-SA"/>
                      <w:highlight w:val="none"/>
                    </w:rPr>
                    <w:t>符合</w:t>
                  </w:r>
                </w:p>
              </w:tc>
            </w:tr>
            <w:tr>
              <w:trPr>
                <w:trHeight w:val="397"/>
              </w:trPr>
              <w:tc>
                <w:tcPr>
                  <w:tcW w:w="734" w:type="dxa"/>
                  <w:tcBorders>
                    <w:tl2br w:val="nil"/>
                    <w:tr2bl w:val="nil"/>
                  </w:tcBorders>
                  <w:vAlign w:val="center"/>
                </w:tcPr>
                <w:p>
                  <w:pPr>
                    <w:pStyle w:val="56"/>
                    <w:keepNext w:val="0"/>
                    <w:keepLines w:val="0"/>
                    <w:pageBreakBefore w:val="0"/>
                    <w:kinsoku/>
                    <w:wordWrap/>
                    <w:overflowPunct/>
                    <w:topLinePunct w:val="0"/>
                    <w:autoSpaceDE/>
                    <w:autoSpaceDN/>
                    <w:bidi w:val="0"/>
                    <w:adjustRightInd w:val="0"/>
                    <w:snapToGrid/>
                    <w:spacing w:line="240" w:lineRule="auto"/>
                    <w:ind w:left="0" w:firstLineChars="0" w:firstLine="0"/>
                    <w:jc w:val="center"/>
                    <w:rPr>
                      <w:rFonts w:ascii="Times New Roman" w:eastAsia="宋体" w:cs="Times New Roman" w:hAnsi="Times New Roman"/>
                      <w:color w:val="auto"/>
                      <w:kern w:val="2"/>
                      <w:sz w:val="21"/>
                      <w:szCs w:val="21"/>
                      <w:lang w:val="en-US" w:eastAsia="zh-CN" w:bidi="ar-SA"/>
                      <w:highlight w:val="none"/>
                    </w:rPr>
                  </w:pPr>
                  <w:r>
                    <w:rPr>
                      <w:rFonts w:ascii="Times New Roman" w:eastAsia="宋体" w:cs="Times New Roman" w:hAnsi="Times New Roman" w:hint="eastAsia"/>
                      <w:color w:val="auto"/>
                      <w:kern w:val="2"/>
                      <w:sz w:val="21"/>
                      <w:szCs w:val="21"/>
                      <w:lang w:val="en-US" w:eastAsia="zh-CN" w:bidi="ar-SA"/>
                      <w:highlight w:val="none"/>
                    </w:rPr>
                    <w:t>6</w:t>
                  </w:r>
                </w:p>
              </w:tc>
              <w:tc>
                <w:tcPr>
                  <w:tcW w:w="311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napToGrid/>
                    <w:spacing w:line="240" w:lineRule="auto"/>
                    <w:ind w:firstLine="0"/>
                    <w:jc w:val="both"/>
                    <w:rPr>
                      <w:rFonts w:ascii="Times New Roman" w:eastAsia="宋体" w:cs="Times New Roman" w:hAnsi="Times New Roman"/>
                      <w:color w:val="auto"/>
                      <w:kern w:val="2"/>
                      <w:sz w:val="21"/>
                      <w:szCs w:val="21"/>
                      <w:lang w:val="en-US" w:eastAsia="zh-CN" w:bidi="ar-SA"/>
                      <w:highlight w:val="none"/>
                    </w:rPr>
                  </w:pPr>
                  <w:r>
                    <w:rPr>
                      <w:rFonts w:ascii="Times New Roman" w:eastAsia="宋体" w:cs="Times New Roman" w:hAnsi="Times New Roman" w:hint="eastAsia"/>
                      <w:color w:val="auto"/>
                      <w:kern w:val="2"/>
                      <w:sz w:val="21"/>
                      <w:szCs w:val="21"/>
                      <w:lang w:val="en-US" w:eastAsia="zh-CN" w:bidi="ar-SA"/>
                      <w:highlight w:val="none"/>
                    </w:rPr>
                    <w:t>规划实施制约因素及优化调整建议</w:t>
                  </w:r>
                  <w:r>
                    <w:rPr>
                      <w:rFonts w:cs="Times New Roman" w:hint="eastAsia"/>
                      <w:color w:val="auto"/>
                      <w:kern w:val="2"/>
                      <w:sz w:val="21"/>
                      <w:szCs w:val="21"/>
                      <w:lang w:val="en-US" w:eastAsia="zh-CN" w:bidi="ar-SA"/>
                      <w:highlight w:val="none"/>
                    </w:rPr>
                    <w:t>：</w:t>
                  </w:r>
                  <w:r>
                    <w:rPr>
                      <w:rFonts w:ascii="Times New Roman" w:eastAsia="宋体" w:cs="Times New Roman" w:hAnsi="Times New Roman" w:hint="eastAsia"/>
                      <w:color w:val="auto"/>
                      <w:kern w:val="2"/>
                      <w:sz w:val="21"/>
                      <w:szCs w:val="21"/>
                      <w:lang w:val="en-US" w:eastAsia="zh-CN" w:bidi="ar-SA"/>
                      <w:highlight w:val="none"/>
                    </w:rPr>
                    <w:t>开发区与国家、河北省石家庄市和栾城区的</w:t>
                  </w:r>
                  <w:r>
                    <w:rPr>
                      <w:rFonts w:cs="Times New Roman" w:hint="eastAsia"/>
                      <w:color w:val="auto"/>
                      <w:kern w:val="2"/>
                      <w:sz w:val="21"/>
                      <w:szCs w:val="21"/>
                      <w:lang w:val="en-US" w:eastAsia="zh-CN" w:bidi="ar-SA"/>
                      <w:highlight w:val="none"/>
                    </w:rPr>
                    <w:t>“</w:t>
                  </w:r>
                  <w:r>
                    <w:rPr>
                      <w:rFonts w:ascii="Times New Roman" w:eastAsia="宋体" w:cs="Times New Roman" w:hAnsi="Times New Roman" w:hint="eastAsia"/>
                      <w:color w:val="auto"/>
                      <w:kern w:val="2"/>
                      <w:sz w:val="21"/>
                      <w:szCs w:val="21"/>
                      <w:lang w:val="en-US" w:eastAsia="zh-CN" w:bidi="ar-SA"/>
                      <w:highlight w:val="none"/>
                    </w:rPr>
                    <w:t>相关法律法规及政策</w:t>
                  </w:r>
                  <w:r>
                    <w:rPr>
                      <w:rFonts w:cs="Times New Roman" w:hint="eastAsia"/>
                      <w:color w:val="auto"/>
                      <w:kern w:val="2"/>
                      <w:sz w:val="21"/>
                      <w:szCs w:val="21"/>
                      <w:lang w:val="en-US" w:eastAsia="zh-CN" w:bidi="ar-SA"/>
                      <w:highlight w:val="none"/>
                    </w:rPr>
                    <w:t>”“</w:t>
                  </w:r>
                  <w:r>
                    <w:rPr>
                      <w:rFonts w:ascii="Times New Roman" w:eastAsia="宋体" w:cs="Times New Roman" w:hAnsi="Times New Roman" w:hint="eastAsia"/>
                      <w:color w:val="auto"/>
                      <w:kern w:val="2"/>
                      <w:sz w:val="21"/>
                      <w:szCs w:val="21"/>
                      <w:lang w:val="en-US" w:eastAsia="zh-CN" w:bidi="ar-SA"/>
                      <w:highlight w:val="none"/>
                    </w:rPr>
                    <w:t>上层位'十四五’规划</w:t>
                  </w:r>
                  <w:r>
                    <w:rPr>
                      <w:rFonts w:cs="Times New Roman" w:hint="eastAsia"/>
                      <w:color w:val="auto"/>
                      <w:kern w:val="2"/>
                      <w:sz w:val="21"/>
                      <w:szCs w:val="21"/>
                      <w:lang w:val="en-US" w:eastAsia="zh-CN" w:bidi="ar-SA"/>
                      <w:highlight w:val="none"/>
                    </w:rPr>
                    <w:t>”</w:t>
                  </w:r>
                  <w:r>
                    <w:rPr>
                      <w:rFonts w:ascii="Times New Roman" w:eastAsia="宋体" w:cs="Times New Roman" w:hAnsi="Times New Roman" w:hint="eastAsia"/>
                      <w:color w:val="auto"/>
                      <w:kern w:val="2"/>
                      <w:sz w:val="21"/>
                      <w:szCs w:val="21"/>
                      <w:lang w:val="en-US" w:eastAsia="zh-CN" w:bidi="ar-SA"/>
                      <w:highlight w:val="none"/>
                    </w:rPr>
                    <w:t>、</w:t>
                  </w:r>
                  <w:r>
                    <w:rPr>
                      <w:rFonts w:cs="Times New Roman" w:hint="eastAsia"/>
                      <w:color w:val="auto"/>
                      <w:kern w:val="2"/>
                      <w:sz w:val="21"/>
                      <w:szCs w:val="21"/>
                      <w:lang w:val="en-US" w:eastAsia="zh-CN" w:bidi="ar-SA"/>
                      <w:highlight w:val="none"/>
                    </w:rPr>
                    <w:t>“</w:t>
                  </w:r>
                  <w:r>
                    <w:rPr>
                      <w:rFonts w:ascii="Times New Roman" w:eastAsia="宋体" w:cs="Times New Roman" w:hAnsi="Times New Roman" w:hint="eastAsia"/>
                      <w:color w:val="auto"/>
                      <w:kern w:val="2"/>
                      <w:sz w:val="21"/>
                      <w:szCs w:val="21"/>
                      <w:lang w:val="en-US" w:eastAsia="zh-CN" w:bidi="ar-SA"/>
                      <w:highlight w:val="none"/>
                    </w:rPr>
                    <w:t>相关主体功能区划</w:t>
                  </w:r>
                  <w:r>
                    <w:rPr>
                      <w:rFonts w:cs="Times New Roman" w:hint="eastAsia"/>
                      <w:color w:val="auto"/>
                      <w:kern w:val="2"/>
                      <w:sz w:val="21"/>
                      <w:szCs w:val="21"/>
                      <w:lang w:val="en-US" w:eastAsia="zh-CN" w:bidi="ar-SA"/>
                      <w:highlight w:val="none"/>
                    </w:rPr>
                    <w:t>”</w:t>
                  </w:r>
                  <w:r>
                    <w:rPr>
                      <w:rFonts w:ascii="Times New Roman" w:eastAsia="宋体" w:cs="Times New Roman" w:hAnsi="Times New Roman" w:hint="eastAsia"/>
                      <w:color w:val="auto"/>
                      <w:kern w:val="2"/>
                      <w:sz w:val="21"/>
                      <w:szCs w:val="21"/>
                      <w:lang w:val="en-US" w:eastAsia="zh-CN" w:bidi="ar-SA"/>
                      <w:highlight w:val="none"/>
                    </w:rPr>
                    <w:t>相符合或协调。同时，评价要求开发区规划严格在区域</w:t>
                  </w:r>
                  <w:r>
                    <w:rPr>
                      <w:rFonts w:cs="Times New Roman" w:hint="eastAsia"/>
                      <w:color w:val="auto"/>
                      <w:kern w:val="2"/>
                      <w:sz w:val="21"/>
                      <w:szCs w:val="21"/>
                      <w:lang w:val="en-US" w:eastAsia="zh-CN" w:bidi="ar-SA"/>
                      <w:highlight w:val="none"/>
                    </w:rPr>
                    <w:t>“</w:t>
                  </w:r>
                  <w:r>
                    <w:rPr>
                      <w:rFonts w:ascii="Times New Roman" w:eastAsia="宋体" w:cs="Times New Roman" w:hAnsi="Times New Roman" w:hint="eastAsia"/>
                      <w:color w:val="auto"/>
                      <w:kern w:val="2"/>
                      <w:sz w:val="21"/>
                      <w:szCs w:val="21"/>
                      <w:lang w:val="en-US" w:eastAsia="zh-CN" w:bidi="ar-SA"/>
                      <w:highlight w:val="none"/>
                    </w:rPr>
                    <w:t>三线一单</w:t>
                  </w:r>
                  <w:r>
                    <w:rPr>
                      <w:rFonts w:cs="Times New Roman" w:hint="eastAsia"/>
                      <w:color w:val="auto"/>
                      <w:kern w:val="2"/>
                      <w:sz w:val="21"/>
                      <w:szCs w:val="21"/>
                      <w:lang w:val="en-US" w:eastAsia="zh-CN" w:bidi="ar-SA"/>
                      <w:highlight w:val="none"/>
                    </w:rPr>
                    <w:t>”</w:t>
                  </w:r>
                  <w:r>
                    <w:rPr>
                      <w:rFonts w:ascii="Times New Roman" w:eastAsia="宋体" w:cs="Times New Roman" w:hAnsi="Times New Roman" w:hint="eastAsia"/>
                      <w:color w:val="auto"/>
                      <w:kern w:val="2"/>
                      <w:sz w:val="21"/>
                      <w:szCs w:val="21"/>
                      <w:lang w:val="en-US" w:eastAsia="zh-CN" w:bidi="ar-SA"/>
                      <w:highlight w:val="none"/>
                    </w:rPr>
                    <w:t>框架要求下实施</w:t>
                  </w:r>
                  <w:r>
                    <w:rPr>
                      <w:rFonts w:cs="Times New Roman" w:hint="eastAsia"/>
                      <w:color w:val="auto"/>
                      <w:kern w:val="2"/>
                      <w:sz w:val="21"/>
                      <w:szCs w:val="21"/>
                      <w:lang w:val="en-US" w:eastAsia="zh-CN" w:bidi="ar-SA"/>
                      <w:highlight w:val="none"/>
                    </w:rPr>
                    <w:t>，</w:t>
                  </w:r>
                  <w:r>
                    <w:rPr>
                      <w:rFonts w:ascii="Times New Roman" w:eastAsia="宋体" w:cs="Times New Roman" w:hAnsi="Times New Roman" w:hint="eastAsia"/>
                      <w:color w:val="auto"/>
                      <w:kern w:val="2"/>
                      <w:sz w:val="21"/>
                      <w:szCs w:val="21"/>
                      <w:lang w:val="en-US" w:eastAsia="zh-CN" w:bidi="ar-SA"/>
                      <w:highlight w:val="none"/>
                    </w:rPr>
                    <w:t>不占用生态保护红线及生态空间，不突破环境质量底线、资源利用上线</w:t>
                  </w:r>
                  <w:r>
                    <w:rPr>
                      <w:rFonts w:cs="Times New Roman" w:hint="eastAsia"/>
                      <w:color w:val="auto"/>
                      <w:kern w:val="2"/>
                      <w:sz w:val="21"/>
                      <w:szCs w:val="21"/>
                      <w:lang w:val="en-US" w:eastAsia="zh-CN" w:bidi="ar-SA"/>
                      <w:highlight w:val="none"/>
                    </w:rPr>
                    <w:t>，</w:t>
                  </w:r>
                  <w:r>
                    <w:rPr>
                      <w:rFonts w:ascii="Times New Roman" w:eastAsia="宋体" w:cs="Times New Roman" w:hAnsi="Times New Roman" w:hint="eastAsia"/>
                      <w:color w:val="auto"/>
                      <w:kern w:val="2"/>
                      <w:sz w:val="21"/>
                      <w:szCs w:val="21"/>
                      <w:lang w:val="en-US" w:eastAsia="zh-CN" w:bidi="ar-SA"/>
                      <w:highlight w:val="none"/>
                    </w:rPr>
                    <w:t>严格遵守开发区所在区域生态环境准入清单确定的相关环境管控要求。规划目标和发展定位合理，区域资源环境能够支撑规划实施，规划布局、能源结构和产业结构设置合理,环境目标和评价指标通过落实规划文本和本评价提出的各项措施之后是可以达到的。另外，从维护生态功能、改善环境质量、提高资源利用率、保障人居健康、优化区域格局和产业结构等方面进行综合分析，规划的实施环境效益明显。</w:t>
                  </w:r>
                </w:p>
              </w:tc>
              <w:tc>
                <w:tcPr>
                  <w:tcW w:w="288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napToGrid/>
                    <w:spacing w:line="240" w:lineRule="auto"/>
                    <w:jc w:val="both"/>
                    <w:rPr>
                      <w:rFonts w:ascii="Times New Roman" w:eastAsia="宋体" w:cs="Times New Roman" w:hAnsi="Times New Roman"/>
                      <w:color w:val="auto"/>
                      <w:kern w:val="2"/>
                      <w:sz w:val="21"/>
                      <w:szCs w:val="21"/>
                      <w:lang w:val="en-US" w:eastAsia="zh-CN" w:bidi="ar-SA"/>
                      <w:highlight w:val="none"/>
                    </w:rPr>
                  </w:pPr>
                  <w:r>
                    <w:rPr>
                      <w:rFonts w:ascii="Times New Roman" w:eastAsia="宋体" w:cs="Times New Roman" w:hAnsi="Times New Roman" w:hint="eastAsia"/>
                      <w:color w:val="auto"/>
                      <w:kern w:val="2"/>
                      <w:sz w:val="21"/>
                      <w:szCs w:val="21"/>
                      <w:lang w:val="en-US" w:eastAsia="zh-CN" w:bidi="ar-SA"/>
                      <w:highlight w:val="none"/>
                    </w:rPr>
                    <w:t>项目不属于《产业结构调整指导目录</w:t>
                  </w:r>
                  <w:r>
                    <w:rPr>
                      <w:rFonts w:cs="Times New Roman" w:hint="eastAsia"/>
                      <w:color w:val="auto"/>
                      <w:kern w:val="2"/>
                      <w:sz w:val="21"/>
                      <w:szCs w:val="21"/>
                      <w:lang w:val="en-US" w:eastAsia="zh-CN" w:bidi="ar-SA"/>
                      <w:highlight w:val="none"/>
                    </w:rPr>
                    <w:t>（</w:t>
                  </w:r>
                  <w:r>
                    <w:rPr>
                      <w:rFonts w:ascii="Times New Roman" w:eastAsia="宋体" w:cs="Times New Roman" w:hAnsi="Times New Roman" w:hint="eastAsia"/>
                      <w:color w:val="auto"/>
                      <w:kern w:val="2"/>
                      <w:sz w:val="21"/>
                      <w:szCs w:val="21"/>
                      <w:lang w:val="en-US" w:eastAsia="zh-CN" w:bidi="ar-SA"/>
                      <w:highlight w:val="none"/>
                    </w:rPr>
                    <w:t>2024年本</w:t>
                  </w:r>
                  <w:r>
                    <w:rPr>
                      <w:rFonts w:cs="Times New Roman" w:hint="eastAsia"/>
                      <w:color w:val="auto"/>
                      <w:kern w:val="2"/>
                      <w:sz w:val="21"/>
                      <w:szCs w:val="21"/>
                      <w:lang w:val="en-US" w:eastAsia="zh-CN" w:bidi="ar-SA"/>
                      <w:highlight w:val="none"/>
                    </w:rPr>
                    <w:t>）</w:t>
                  </w:r>
                  <w:r>
                    <w:rPr>
                      <w:rFonts w:ascii="Times New Roman" w:eastAsia="宋体" w:cs="Times New Roman" w:hAnsi="Times New Roman" w:hint="eastAsia"/>
                      <w:color w:val="auto"/>
                      <w:kern w:val="2"/>
                      <w:sz w:val="21"/>
                      <w:szCs w:val="21"/>
                      <w:lang w:val="en-US" w:eastAsia="zh-CN" w:bidi="ar-SA"/>
                      <w:highlight w:val="none"/>
                    </w:rPr>
                    <w:t>》中限制类、淘汰类项目，符合国家级地方环保政策及要求，项目不占用生态保护红线及生态空间，不突破环境质量底线、资源利用上线。</w:t>
                  </w:r>
                  <w:r>
                    <w:rPr>
                      <w:rFonts w:cs="Times New Roman" w:hint="eastAsia"/>
                      <w:color w:val="auto"/>
                      <w:sz w:val="21"/>
                      <w:szCs w:val="21"/>
                      <w:lang w:val="en-US" w:eastAsia="zh-CN"/>
                      <w:highlight w:val="none"/>
                    </w:rPr>
                    <w:t>项目位于</w:t>
                  </w:r>
                  <w:r>
                    <w:rPr>
                      <w:rFonts w:ascii="Times New Roman" w:cs="Times New Roman" w:hAnsi="Times New Roman" w:hint="eastAsia"/>
                      <w:color w:val="auto"/>
                      <w:sz w:val="21"/>
                      <w:szCs w:val="21"/>
                      <w:lang w:val="en-US" w:eastAsia="zh-CN"/>
                      <w:highlight w:val="none"/>
                    </w:rPr>
                    <w:t>装备制造产业园区</w:t>
                  </w:r>
                  <w:r>
                    <w:rPr>
                      <w:rFonts w:cs="Times New Roman" w:hint="eastAsia"/>
                      <w:color w:val="auto"/>
                      <w:sz w:val="21"/>
                      <w:szCs w:val="21"/>
                      <w:lang w:val="en-US" w:eastAsia="zh-CN"/>
                      <w:highlight w:val="none"/>
                    </w:rPr>
                    <w:t>，涉</w:t>
                  </w:r>
                  <w:r>
                    <w:rPr>
                      <w:rFonts w:ascii="Times New Roman" w:cs="Times New Roman" w:hAnsi="Times New Roman" w:hint="eastAsia"/>
                      <w:color w:val="auto"/>
                      <w:sz w:val="21"/>
                      <w:szCs w:val="21"/>
                      <w:lang w:val="en-US" w:eastAsia="zh-CN"/>
                      <w:highlight w:val="none"/>
                    </w:rPr>
                    <w:t>及行业为生态保护和环境治理业</w:t>
                  </w:r>
                  <w:r>
                    <w:rPr>
                      <w:rFonts w:cs="Times New Roman" w:hint="eastAsia"/>
                      <w:color w:val="auto"/>
                      <w:sz w:val="21"/>
                      <w:szCs w:val="21"/>
                      <w:lang w:val="en-US" w:eastAsia="zh-CN"/>
                      <w:highlight w:val="none"/>
                    </w:rPr>
                    <w:t>、</w:t>
                  </w:r>
                  <w:r>
                    <w:rPr>
                      <w:rFonts w:ascii="Times New Roman" w:cs="Times New Roman" w:hAnsi="Times New Roman" w:hint="eastAsia"/>
                      <w:color w:val="auto"/>
                      <w:sz w:val="21"/>
                      <w:szCs w:val="21"/>
                      <w:lang w:val="en-US" w:eastAsia="zh-CN"/>
                      <w:highlight w:val="none"/>
                    </w:rPr>
                    <w:t>仓储业</w:t>
                  </w:r>
                  <w:r>
                    <w:rPr>
                      <w:rFonts w:ascii="Times New Roman" w:eastAsia="宋体" w:cs="Times New Roman" w:hAnsi="Times New Roman" w:hint="eastAsia"/>
                      <w:color w:val="auto"/>
                      <w:spacing w:val="-6"/>
                      <w:sz w:val="21"/>
                      <w:szCs w:val="21"/>
                      <w:lang w:eastAsia="zh-CN"/>
                      <w:highlight w:val="none"/>
                    </w:rPr>
                    <w:t>，</w:t>
                  </w:r>
                  <w:r>
                    <w:rPr>
                      <w:rFonts w:cs="Times New Roman" w:hint="eastAsia"/>
                      <w:color w:val="auto"/>
                      <w:spacing w:val="-6"/>
                      <w:sz w:val="21"/>
                      <w:szCs w:val="21"/>
                      <w:lang w:eastAsia="zh-CN"/>
                      <w:highlight w:val="none"/>
                    </w:rPr>
                    <w:t>属于园区</w:t>
                  </w:r>
                  <w:r>
                    <w:rPr>
                      <w:rFonts w:ascii="Times New Roman" w:cs="Times New Roman" w:hAnsi="Times New Roman"/>
                      <w:color w:val="auto"/>
                      <w:sz w:val="21"/>
                      <w:szCs w:val="21"/>
                      <w:highlight w:val="none"/>
                    </w:rPr>
                    <w:t>配套服务产业</w:t>
                  </w:r>
                  <w:r>
                    <w:rPr>
                      <w:rFonts w:cs="Times New Roman" w:hint="eastAsia"/>
                      <w:color w:val="auto"/>
                      <w:sz w:val="21"/>
                      <w:szCs w:val="21"/>
                      <w:lang w:val="en-US" w:eastAsia="zh-CN"/>
                      <w:highlight w:val="none"/>
                    </w:rPr>
                    <w:t>。</w:t>
                  </w:r>
                  <w:r>
                    <w:rPr>
                      <w:rFonts w:ascii="Times New Roman" w:eastAsia="宋体" w:cs="Times New Roman" w:hAnsi="Times New Roman" w:hint="eastAsia"/>
                      <w:color w:val="auto"/>
                      <w:sz w:val="21"/>
                      <w:szCs w:val="21"/>
                      <w:lang w:val="en-US" w:eastAsia="zh-CN"/>
                      <w:highlight w:val="none"/>
                    </w:rPr>
                    <w:t>项目租赁河北泽豪环保新材料科技有限公司闲置库房和两间办公室，</w:t>
                  </w:r>
                  <w:r>
                    <w:rPr>
                      <w:rFonts w:cs="Times New Roman" w:hint="eastAsia"/>
                      <w:color w:val="auto"/>
                      <w:sz w:val="21"/>
                      <w:szCs w:val="21"/>
                      <w:lang w:val="en-US" w:eastAsia="zh-CN"/>
                      <w:highlight w:val="none"/>
                    </w:rPr>
                    <w:t>根据中华人民共和国不动产权证书（冀（2016）栾城区不动产权第0000959号），占地为</w:t>
                  </w:r>
                  <w:r>
                    <w:rPr>
                      <w:rFonts w:ascii="Times New Roman" w:cs="Times New Roman" w:hAnsi="Times New Roman"/>
                      <w:color w:val="auto"/>
                      <w:sz w:val="21"/>
                      <w:szCs w:val="21"/>
                      <w:highlight w:val="none"/>
                    </w:rPr>
                    <w:t>工业用地，符合用地规划。</w:t>
                  </w:r>
                  <w:r>
                    <w:rPr>
                      <w:rFonts w:ascii="Times New Roman" w:eastAsia="宋体" w:cs="Times New Roman" w:hAnsi="Times New Roman" w:hint="eastAsia"/>
                      <w:color w:val="auto"/>
                      <w:kern w:val="2"/>
                      <w:sz w:val="21"/>
                      <w:szCs w:val="21"/>
                      <w:lang w:val="en-US" w:eastAsia="zh-CN" w:bidi="ar-SA"/>
                      <w:highlight w:val="none"/>
                    </w:rPr>
                    <w:t>项目在采取有效环保治理措施后，污染物达标排放，对环境影响较小</w:t>
                  </w:r>
                </w:p>
              </w:tc>
              <w:tc>
                <w:tcPr>
                  <w:tcW w:w="864" w:type="dxa"/>
                  <w:tcBorders>
                    <w:tl2br w:val="nil"/>
                    <w:tr2bl w:val="nil"/>
                  </w:tcBorders>
                  <w:vAlign w:val="center"/>
                </w:tcPr>
                <w:p>
                  <w:pPr>
                    <w:keepNext w:val="0"/>
                    <w:keepLines w:val="0"/>
                    <w:pageBreakBefore w:val="0"/>
                    <w:kinsoku/>
                    <w:wordWrap/>
                    <w:overflowPunct/>
                    <w:topLinePunct w:val="0"/>
                    <w:autoSpaceDE/>
                    <w:autoSpaceDN/>
                    <w:bidi w:val="0"/>
                    <w:snapToGrid/>
                    <w:spacing w:line="240" w:lineRule="auto"/>
                    <w:ind w:left="0" w:firstLine="0"/>
                    <w:jc w:val="center"/>
                    <w:rPr>
                      <w:rFonts w:ascii="Times New Roman" w:eastAsia="宋体" w:cs="Times New Roman" w:hAnsi="Times New Roman"/>
                      <w:color w:val="auto"/>
                      <w:kern w:val="2"/>
                      <w:sz w:val="21"/>
                      <w:szCs w:val="21"/>
                      <w:lang w:val="en-US" w:eastAsia="zh-CN" w:bidi="ar-SA"/>
                      <w:highlight w:val="none"/>
                    </w:rPr>
                  </w:pPr>
                  <w:r>
                    <w:rPr>
                      <w:rFonts w:ascii="Times New Roman" w:eastAsia="宋体" w:cs="Times New Roman" w:hAnsi="Times New Roman" w:hint="eastAsia"/>
                      <w:color w:val="auto"/>
                      <w:kern w:val="2"/>
                      <w:sz w:val="21"/>
                      <w:szCs w:val="21"/>
                      <w:lang w:val="en-US" w:eastAsia="zh-CN" w:bidi="ar-SA"/>
                      <w:highlight w:val="none"/>
                    </w:rPr>
                    <w:t>符合</w:t>
                  </w:r>
                </w:p>
              </w:tc>
            </w:tr>
          </w:tbl>
          <w:p>
            <w:pPr>
              <w:keepNext w:val="0"/>
              <w:keepLines w:val="0"/>
              <w:pageBreakBefore w:val="0"/>
              <w:widowControl/>
              <w:suppressLineNumbers w:val="0"/>
              <w:kinsoku/>
              <w:wordWrap/>
              <w:overflowPunct/>
              <w:topLinePunct w:val="0"/>
              <w:autoSpaceDE/>
              <w:autoSpaceDN/>
              <w:bidi w:val="0"/>
              <w:adjustRightInd/>
              <w:snapToGrid/>
              <w:spacing w:line="460" w:lineRule="exact"/>
              <w:ind w:firstLineChars="200" w:firstLine="480"/>
              <w:jc w:val="both"/>
              <w:textAlignment w:val="auto"/>
              <w:rPr>
                <w:rFonts w:ascii="Times New Roman" w:eastAsia="宋体" w:cs="Times New Roman" w:hAnsi="Times New Roman" w:hint="eastAsia"/>
                <w:color w:val="auto"/>
                <w:kern w:val="0"/>
                <w:sz w:val="24"/>
                <w:szCs w:val="20"/>
                <w:lang w:val="en-US" w:eastAsia="zh-CN" w:bidi="ar-SA"/>
                <w:highlight w:val="none"/>
              </w:rPr>
            </w:pPr>
            <w:r>
              <w:rPr>
                <w:rFonts w:ascii="Times New Roman" w:eastAsia="宋体" w:cs="Times New Roman" w:hAnsi="Times New Roman" w:hint="eastAsia"/>
                <w:color w:val="auto"/>
                <w:kern w:val="0"/>
                <w:sz w:val="24"/>
                <w:szCs w:val="20"/>
                <w:lang w:val="en-US" w:eastAsia="zh-CN" w:bidi="ar-SA"/>
                <w:highlight w:val="none"/>
              </w:rPr>
              <w:t>综上，本项目的建设符合规划环境影响评价结论。</w:t>
            </w:r>
          </w:p>
          <w:p>
            <w:pPr>
              <w:keepNext w:val="0"/>
              <w:keepLines w:val="0"/>
              <w:pageBreakBefore w:val="0"/>
              <w:widowControl/>
              <w:suppressLineNumbers w:val="0"/>
              <w:kinsoku/>
              <w:wordWrap/>
              <w:overflowPunct/>
              <w:topLinePunct w:val="0"/>
              <w:autoSpaceDE/>
              <w:autoSpaceDN/>
              <w:bidi w:val="0"/>
              <w:adjustRightInd/>
              <w:snapToGrid/>
              <w:spacing w:line="460" w:lineRule="exact"/>
              <w:ind w:firstLineChars="200" w:firstLine="480"/>
              <w:jc w:val="both"/>
              <w:textAlignment w:val="auto"/>
              <w:rPr>
                <w:rFonts w:ascii="Times New Roman" w:eastAsia="宋体" w:cs="Times New Roman" w:hAnsi="Times New Roman" w:hint="eastAsia"/>
                <w:b/>
                <w:bCs/>
                <w:color w:val="auto"/>
                <w:kern w:val="0"/>
                <w:sz w:val="24"/>
                <w:szCs w:val="20"/>
                <w:lang w:val="en-US" w:eastAsia="zh-CN" w:bidi="ar-SA"/>
                <w:highlight w:val="none"/>
              </w:rPr>
            </w:pPr>
            <w:r>
              <w:rPr>
                <w:rFonts w:ascii="Times New Roman" w:eastAsia="宋体" w:cs="Times New Roman" w:hAnsi="Times New Roman"/>
                <w:b/>
                <w:bCs/>
                <w:color w:val="auto"/>
                <w:kern w:val="0"/>
                <w:sz w:val="24"/>
                <w:szCs w:val="20"/>
                <w:lang w:val="en-US" w:eastAsia="zh-CN" w:bidi="ar-SA"/>
                <w:highlight w:val="none"/>
              </w:rPr>
              <w:t>3</w:t>
            </w:r>
            <w:r>
              <w:rPr>
                <w:rFonts w:ascii="Times New Roman" w:eastAsia="宋体" w:cs="Times New Roman" w:hAnsi="Times New Roman" w:hint="eastAsia"/>
                <w:b/>
                <w:bCs/>
                <w:color w:val="auto"/>
                <w:kern w:val="0"/>
                <w:sz w:val="24"/>
                <w:szCs w:val="20"/>
                <w:lang w:val="en-US" w:eastAsia="zh-CN" w:bidi="ar-SA"/>
                <w:highlight w:val="none"/>
              </w:rPr>
              <w:t xml:space="preserve">、规划审查意见符合性 </w:t>
            </w:r>
          </w:p>
          <w:p>
            <w:pPr>
              <w:keepNext w:val="0"/>
              <w:keepLines w:val="0"/>
              <w:pageBreakBefore w:val="0"/>
              <w:widowControl/>
              <w:suppressLineNumbers w:val="0"/>
              <w:kinsoku/>
              <w:wordWrap/>
              <w:overflowPunct/>
              <w:topLinePunct w:val="0"/>
              <w:autoSpaceDE/>
              <w:autoSpaceDN/>
              <w:bidi w:val="0"/>
              <w:adjustRightInd/>
              <w:snapToGrid/>
              <w:spacing w:line="460" w:lineRule="exact"/>
              <w:ind w:firstLineChars="200" w:firstLine="480"/>
              <w:jc w:val="both"/>
              <w:textAlignment w:val="auto"/>
              <w:rPr>
                <w:rFonts w:ascii="Times New Roman" w:eastAsia="宋体" w:cs="Times New Roman" w:hAnsi="Times New Roman" w:hint="eastAsia"/>
                <w:color w:val="auto"/>
                <w:kern w:val="0"/>
                <w:sz w:val="24"/>
                <w:szCs w:val="20"/>
                <w:lang w:val="en-US" w:eastAsia="zh-CN" w:bidi="ar-SA"/>
                <w:highlight w:val="none"/>
              </w:rPr>
            </w:pPr>
            <w:r>
              <w:rPr>
                <w:rFonts w:ascii="Times New Roman" w:eastAsia="宋体" w:cs="Times New Roman" w:hAnsi="Times New Roman" w:hint="eastAsia"/>
                <w:color w:val="auto"/>
                <w:kern w:val="0"/>
                <w:sz w:val="24"/>
                <w:szCs w:val="20"/>
                <w:lang w:val="en-US" w:eastAsia="zh-CN" w:bidi="ar-SA"/>
                <w:highlight w:val="none"/>
              </w:rPr>
              <w:t>根据</w:t>
            </w:r>
            <w:r>
              <w:rPr>
                <w:rFonts w:ascii="Times New Roman" w:eastAsia="宋体" w:cs="Times New Roman" w:hAnsi="Times New Roman"/>
                <w:color w:val="auto"/>
                <w:kern w:val="0"/>
                <w:sz w:val="24"/>
                <w:szCs w:val="20"/>
                <w:lang w:val="en-US" w:eastAsia="zh-CN" w:bidi="ar-SA"/>
                <w:highlight w:val="none"/>
              </w:rPr>
              <w:t>河北省生态环境厅关于《河北石家庄装备制造产业园总体规划</w:t>
            </w:r>
            <w:r>
              <w:rPr>
                <w:rFonts w:ascii="Times New Roman" w:eastAsia="宋体" w:cs="Times New Roman" w:hAnsi="Times New Roman" w:hint="eastAsia"/>
                <w:color w:val="auto"/>
                <w:kern w:val="0"/>
                <w:sz w:val="24"/>
                <w:szCs w:val="20"/>
                <w:lang w:val="en-US" w:eastAsia="zh-CN" w:bidi="ar-SA"/>
                <w:highlight w:val="none"/>
              </w:rPr>
              <w:t>（</w:t>
            </w:r>
            <w:r>
              <w:rPr>
                <w:rFonts w:ascii="Times New Roman" w:eastAsia="宋体" w:cs="Times New Roman" w:hAnsi="Times New Roman"/>
                <w:color w:val="auto"/>
                <w:kern w:val="0"/>
                <w:sz w:val="24"/>
                <w:szCs w:val="20"/>
                <w:lang w:val="en-US" w:eastAsia="zh-CN" w:bidi="ar-SA"/>
                <w:highlight w:val="none"/>
              </w:rPr>
              <w:t>2022-2030年</w:t>
            </w:r>
            <w:r>
              <w:rPr>
                <w:rFonts w:ascii="Times New Roman" w:eastAsia="宋体" w:cs="Times New Roman" w:hAnsi="Times New Roman" w:hint="eastAsia"/>
                <w:color w:val="auto"/>
                <w:kern w:val="0"/>
                <w:sz w:val="24"/>
                <w:szCs w:val="20"/>
                <w:lang w:val="en-US" w:eastAsia="zh-CN" w:bidi="ar-SA"/>
                <w:highlight w:val="none"/>
              </w:rPr>
              <w:t>）</w:t>
            </w:r>
            <w:r>
              <w:rPr>
                <w:rFonts w:ascii="Times New Roman" w:eastAsia="宋体" w:cs="Times New Roman" w:hAnsi="Times New Roman"/>
                <w:color w:val="auto"/>
                <w:kern w:val="0"/>
                <w:sz w:val="24"/>
                <w:szCs w:val="20"/>
                <w:lang w:val="en-US" w:eastAsia="zh-CN" w:bidi="ar-SA"/>
                <w:highlight w:val="none"/>
              </w:rPr>
              <w:t>环境影响报告书》的审查意见（冀环环评函[2025]1839号）。</w:t>
            </w:r>
            <w:r>
              <w:rPr>
                <w:rFonts w:ascii="Times New Roman" w:eastAsia="宋体" w:cs="Times New Roman" w:hAnsi="Times New Roman" w:hint="eastAsia"/>
                <w:color w:val="auto"/>
                <w:kern w:val="0"/>
                <w:sz w:val="24"/>
                <w:szCs w:val="20"/>
                <w:lang w:val="en-US" w:eastAsia="zh-CN" w:bidi="ar-SA"/>
                <w:highlight w:val="none"/>
              </w:rPr>
              <w:t>在规划实施过程中，除严格落实规划环评报告书中各项要求外，还应做好以下工作：</w:t>
            </w:r>
          </w:p>
          <w:p>
            <w:pPr>
              <w:pStyle w:val="16"/>
              <w:keepNext w:val="0"/>
              <w:keepLines w:val="0"/>
              <w:pageBreakBefore w:val="0"/>
              <w:widowControl w:val="0"/>
              <w:kinsoku/>
              <w:wordWrap/>
              <w:overflowPunct/>
              <w:topLinePunct w:val="0"/>
              <w:autoSpaceDE/>
              <w:autoSpaceDN/>
              <w:bidi w:val="0"/>
              <w:adjustRightInd w:val="0"/>
              <w:snapToGrid w:val="0"/>
              <w:spacing w:line="240" w:lineRule="auto"/>
              <w:ind w:firstLineChars="0" w:firstLine="0"/>
              <w:jc w:val="center"/>
              <w:textAlignment w:val="auto"/>
              <w:rPr>
                <w:rFonts w:ascii="Times New Roman" w:eastAsia="宋体" w:cs="Times New Roman" w:hAnsi="Times New Roman" w:hint="eastAsia"/>
                <w:b/>
                <w:bCs/>
                <w:color w:val="auto"/>
                <w:kern w:val="0"/>
                <w:sz w:val="24"/>
                <w:szCs w:val="20"/>
                <w:lang w:val="en-US" w:eastAsia="zh-CN" w:bidi="ar-SA"/>
                <w:highlight w:val="none"/>
              </w:rPr>
            </w:pPr>
            <w:r>
              <w:rPr>
                <w:rFonts w:ascii="Times New Roman" w:eastAsia="宋体" w:cs="Times New Roman" w:hAnsi="Times New Roman" w:hint="eastAsia"/>
                <w:b/>
                <w:bCs/>
                <w:color w:val="auto"/>
                <w:kern w:val="0"/>
                <w:sz w:val="24"/>
                <w:szCs w:val="20"/>
                <w:lang w:val="en-US" w:eastAsia="zh-CN" w:bidi="ar-SA"/>
                <w:highlight w:val="none"/>
              </w:rPr>
              <w:t>表1-</w:t>
            </w:r>
            <w:r>
              <w:rPr>
                <w:rFonts w:ascii="Times New Roman" w:cs="Times New Roman" w:hAnsi="Times New Roman" w:hint="eastAsia"/>
                <w:b/>
                <w:bCs/>
                <w:color w:val="auto"/>
                <w:kern w:val="0"/>
                <w:sz w:val="24"/>
                <w:szCs w:val="20"/>
                <w:lang w:val="en-US" w:eastAsia="zh-CN" w:bidi="ar-SA"/>
                <w:highlight w:val="none"/>
              </w:rPr>
              <w:t>5</w:t>
            </w:r>
            <w:r>
              <w:rPr>
                <w:rFonts w:ascii="Times New Roman" w:eastAsia="宋体" w:cs="Times New Roman" w:hAnsi="Times New Roman" w:hint="eastAsia"/>
                <w:b/>
                <w:bCs/>
                <w:color w:val="auto"/>
                <w:kern w:val="0"/>
                <w:sz w:val="24"/>
                <w:szCs w:val="20"/>
                <w:lang w:val="en-US" w:eastAsia="zh-CN" w:bidi="ar-SA"/>
                <w:highlight w:val="none"/>
              </w:rPr>
              <w:t xml:space="preserve">  规划审查意见符合性分析一览表</w:t>
            </w:r>
          </w:p>
          <w:tbl>
            <w:tblPr>
              <w:jc w:val="left"/>
              <w:tblInd w:w="5" w:type="dxa"/>
              <w:tblW w:w="7596" w:type="dxa"/>
              <w:tblBorders>
                <w:top w:val="single" w:sz="12" w:space="0" w:color="auto"/>
                <w:left w:val="none" w:sz="0" w:space="0" w:color="auto"/>
                <w:bottom w:val="single" w:sz="12" w:space="0" w:color="auto"/>
                <w:right w:val="none" w:sz="0" w:space="0" w:color="auto"/>
                <w:insideH w:val="single" w:sz="4" w:space="0" w:color="auto"/>
                <w:insideV w:val="single" w:sz="4" w:space="0" w:color="auto"/>
              </w:tblBorders>
              <w:tblCellMar>
                <w:top w:w="0" w:type="dxa"/>
                <w:left w:w="108" w:type="dxa"/>
                <w:bottom w:w="0" w:type="dxa"/>
                <w:right w:w="108" w:type="dxa"/>
              </w:tblCellMar>
              <w:tblLook w:val="0600" w:firstRow="0" w:lastRow="0" w:firstColumn="0" w:lastColumn="0" w:noHBand="1" w:noVBand="1"/>
            </w:tblPr>
            <w:tblGrid>
              <w:gridCol w:w="3986"/>
              <w:gridCol w:w="3610"/>
            </w:tblGrid>
            <w:tr>
              <w:trPr>
                <w:trHeight w:val="397"/>
              </w:trPr>
              <w:tc>
                <w:tcPr>
                  <w:tcW w:w="3986" w:type="dxa"/>
                  <w:tcBorders>
                    <w:tl2br w:val="nil"/>
                    <w:tr2bl w:val="nil"/>
                  </w:tcBorders>
                  <w:vAlign w:val="center"/>
                </w:tcPr>
                <w:p>
                  <w:pPr>
                    <w:pStyle w:val="16"/>
                    <w:keepNext w:val="0"/>
                    <w:keepLines w:val="0"/>
                    <w:pageBreakBefore w:val="0"/>
                    <w:widowControl w:val="0"/>
                    <w:kinsoku/>
                    <w:wordWrap/>
                    <w:overflowPunct/>
                    <w:topLinePunct w:val="0"/>
                    <w:autoSpaceDE/>
                    <w:autoSpaceDN/>
                    <w:bidi w:val="0"/>
                    <w:adjustRightInd w:val="0"/>
                    <w:snapToGrid w:val="0"/>
                    <w:spacing w:line="240" w:lineRule="auto"/>
                    <w:ind w:firstLineChars="0" w:firstLine="0"/>
                    <w:jc w:val="center"/>
                    <w:textAlignment w:val="auto"/>
                    <w:rPr>
                      <w:rFonts w:ascii="Times New Roman" w:eastAsia="宋体" w:cs="Times New Roman" w:hAnsi="Times New Roman"/>
                      <w:b/>
                      <w:bCs/>
                      <w:color w:val="auto"/>
                      <w:kern w:val="0"/>
                      <w:sz w:val="21"/>
                      <w:szCs w:val="21"/>
                      <w:lang w:val="en-US" w:eastAsia="zh-CN" w:bidi="ar-SA"/>
                      <w:highlight w:val="none"/>
                    </w:rPr>
                  </w:pPr>
                  <w:r>
                    <w:rPr>
                      <w:rFonts w:ascii="Times New Roman" w:eastAsia="宋体" w:cs="Times New Roman" w:hAnsi="Times New Roman" w:hint="eastAsia"/>
                      <w:b/>
                      <w:bCs/>
                      <w:color w:val="auto"/>
                      <w:kern w:val="0"/>
                      <w:sz w:val="21"/>
                      <w:szCs w:val="21"/>
                      <w:lang w:val="en-US" w:eastAsia="zh-CN" w:bidi="ar-SA"/>
                      <w:highlight w:val="none"/>
                    </w:rPr>
                    <w:t>审查意见</w:t>
                  </w:r>
                </w:p>
              </w:tc>
              <w:tc>
                <w:tcPr>
                  <w:tcW w:w="3610" w:type="dxa"/>
                  <w:tcBorders>
                    <w:tl2br w:val="nil"/>
                    <w:tr2bl w:val="nil"/>
                  </w:tcBorders>
                  <w:vAlign w:val="center"/>
                </w:tcPr>
                <w:p>
                  <w:pPr>
                    <w:pStyle w:val="16"/>
                    <w:keepNext w:val="0"/>
                    <w:keepLines w:val="0"/>
                    <w:pageBreakBefore w:val="0"/>
                    <w:widowControl w:val="0"/>
                    <w:kinsoku/>
                    <w:wordWrap/>
                    <w:overflowPunct/>
                    <w:topLinePunct w:val="0"/>
                    <w:autoSpaceDE/>
                    <w:autoSpaceDN/>
                    <w:bidi w:val="0"/>
                    <w:adjustRightInd w:val="0"/>
                    <w:snapToGrid w:val="0"/>
                    <w:spacing w:line="240" w:lineRule="auto"/>
                    <w:ind w:firstLineChars="0" w:firstLine="0"/>
                    <w:jc w:val="center"/>
                    <w:textAlignment w:val="auto"/>
                    <w:rPr>
                      <w:rFonts w:ascii="Times New Roman" w:eastAsia="宋体" w:cs="Times New Roman" w:hAnsi="Times New Roman"/>
                      <w:b/>
                      <w:bCs/>
                      <w:color w:val="auto"/>
                      <w:kern w:val="0"/>
                      <w:sz w:val="21"/>
                      <w:szCs w:val="21"/>
                      <w:lang w:val="en-US" w:eastAsia="zh-CN" w:bidi="ar-SA"/>
                      <w:highlight w:val="none"/>
                    </w:rPr>
                  </w:pPr>
                  <w:r>
                    <w:rPr>
                      <w:rFonts w:ascii="Times New Roman" w:eastAsia="宋体" w:cs="Times New Roman" w:hAnsi="Times New Roman" w:hint="eastAsia"/>
                      <w:b/>
                      <w:bCs/>
                      <w:color w:val="auto"/>
                      <w:kern w:val="0"/>
                      <w:sz w:val="21"/>
                      <w:szCs w:val="21"/>
                      <w:lang w:val="en-US" w:eastAsia="zh-CN" w:bidi="ar-SA"/>
                      <w:highlight w:val="none"/>
                    </w:rPr>
                    <w:t>项目内容</w:t>
                  </w:r>
                </w:p>
              </w:tc>
            </w:tr>
            <w:tr>
              <w:trPr>
                <w:trHeight w:val="2557"/>
              </w:trPr>
              <w:tc>
                <w:tcPr>
                  <w:tcW w:w="3986" w:type="dxa"/>
                  <w:tcBorders>
                    <w:tl2br w:val="nil"/>
                    <w:tr2bl w:val="nil"/>
                  </w:tcBorders>
                  <w:vAlign w:val="center"/>
                </w:tcPr>
                <w:p>
                  <w:pPr>
                    <w:pStyle w:val="16"/>
                    <w:keepNext w:val="0"/>
                    <w:keepLines w:val="0"/>
                    <w:pageBreakBefore w:val="0"/>
                    <w:widowControl w:val="0"/>
                    <w:kinsoku/>
                    <w:wordWrap/>
                    <w:overflowPunct/>
                    <w:topLinePunct w:val="0"/>
                    <w:autoSpaceDE/>
                    <w:autoSpaceDN/>
                    <w:bidi w:val="0"/>
                    <w:adjustRightInd w:val="0"/>
                    <w:snapToGrid w:val="0"/>
                    <w:spacing w:line="240" w:lineRule="auto"/>
                    <w:ind w:firstLineChars="0" w:firstLine="0"/>
                    <w:jc w:val="both"/>
                    <w:textAlignment w:val="auto"/>
                    <w:rPr>
                      <w:rFonts w:ascii="Times New Roman" w:eastAsia="宋体" w:cs="Times New Roman" w:hAnsi="Times New Roman"/>
                      <w:color w:val="auto"/>
                      <w:kern w:val="0"/>
                      <w:sz w:val="21"/>
                      <w:szCs w:val="21"/>
                      <w:lang w:val="en-US" w:eastAsia="zh-CN" w:bidi="ar-SA"/>
                      <w:highlight w:val="none"/>
                    </w:rPr>
                  </w:pPr>
                  <w:r>
                    <w:rPr>
                      <w:rFonts w:ascii="Times New Roman" w:eastAsia="宋体" w:cs="Times New Roman" w:hAnsi="Times New Roman" w:hint="eastAsia"/>
                      <w:color w:val="auto"/>
                      <w:kern w:val="0"/>
                      <w:sz w:val="21"/>
                      <w:szCs w:val="21"/>
                      <w:lang w:val="en-US" w:eastAsia="zh-CN" w:bidi="ar-SA"/>
                      <w:highlight w:val="none"/>
                    </w:rPr>
                    <w:t>（</w:t>
                  </w:r>
                  <w:r>
                    <w:rPr>
                      <w:rFonts w:ascii="Times New Roman" w:eastAsia="宋体" w:cs="Times New Roman" w:hAnsi="Times New Roman"/>
                      <w:color w:val="auto"/>
                      <w:kern w:val="0"/>
                      <w:sz w:val="21"/>
                      <w:szCs w:val="21"/>
                      <w:lang w:val="en-US" w:eastAsia="zh-CN" w:bidi="ar-SA"/>
                      <w:highlight w:val="none"/>
                    </w:rPr>
                    <w:t>一</w:t>
                  </w:r>
                  <w:r>
                    <w:rPr>
                      <w:rFonts w:ascii="Times New Roman" w:eastAsia="宋体" w:cs="Times New Roman" w:hAnsi="Times New Roman" w:hint="eastAsia"/>
                      <w:color w:val="auto"/>
                      <w:kern w:val="0"/>
                      <w:sz w:val="21"/>
                      <w:szCs w:val="21"/>
                      <w:lang w:val="en-US" w:eastAsia="zh-CN" w:bidi="ar-SA"/>
                      <w:highlight w:val="none"/>
                    </w:rPr>
                    <w:t>）</w:t>
                  </w:r>
                  <w:r>
                    <w:rPr>
                      <w:rFonts w:ascii="Times New Roman" w:eastAsia="宋体" w:cs="Times New Roman" w:hAnsi="Times New Roman"/>
                      <w:color w:val="auto"/>
                      <w:kern w:val="0"/>
                      <w:sz w:val="21"/>
                      <w:szCs w:val="21"/>
                      <w:lang w:val="en-US" w:eastAsia="zh-CN" w:bidi="ar-SA"/>
                      <w:highlight w:val="none"/>
                    </w:rPr>
                    <w:t>落实国家及区域发展战略，坚持生态优先、提质增效，以生态环境质量改善为核心，做好与各级国土空间规划和生态环境分区管控体系的协调衔接，进一步优化《规划》布局、产业定位和发展规模。</w:t>
                  </w:r>
                </w:p>
              </w:tc>
              <w:tc>
                <w:tcPr>
                  <w:tcW w:w="3610" w:type="dxa"/>
                  <w:tcBorders>
                    <w:tl2br w:val="nil"/>
                    <w:tr2bl w:val="nil"/>
                  </w:tcBorders>
                  <w:vAlign w:val="center"/>
                </w:tcPr>
                <w:p>
                  <w:pPr>
                    <w:pStyle w:val="16"/>
                    <w:keepNext w:val="0"/>
                    <w:keepLines w:val="0"/>
                    <w:pageBreakBefore w:val="0"/>
                    <w:widowControl w:val="0"/>
                    <w:kinsoku/>
                    <w:wordWrap/>
                    <w:overflowPunct/>
                    <w:topLinePunct w:val="0"/>
                    <w:autoSpaceDE/>
                    <w:autoSpaceDN/>
                    <w:bidi w:val="0"/>
                    <w:adjustRightInd w:val="0"/>
                    <w:snapToGrid w:val="0"/>
                    <w:spacing w:line="240" w:lineRule="auto"/>
                    <w:ind w:firstLineChars="0" w:firstLine="0"/>
                    <w:jc w:val="both"/>
                    <w:textAlignment w:val="auto"/>
                    <w:rPr>
                      <w:rFonts w:ascii="Times New Roman" w:eastAsia="宋体" w:cs="Times New Roman" w:hAnsi="Times New Roman" w:hint="eastAsia"/>
                      <w:color w:val="auto"/>
                      <w:kern w:val="0"/>
                      <w:sz w:val="21"/>
                      <w:szCs w:val="21"/>
                      <w:lang w:val="en-US" w:eastAsia="zh-CN" w:bidi="ar-SA"/>
                      <w:highlight w:val="none"/>
                    </w:rPr>
                  </w:pPr>
                  <w:r>
                    <w:rPr>
                      <w:rFonts w:ascii="Segoe UI" w:eastAsia="宋体" w:cs="Segoe UI" w:hAnsi="Segoe UI" w:hint="eastAsia"/>
                      <w:i w:val="0"/>
                      <w:iCs w:val="0"/>
                      <w:caps w:val="0"/>
                      <w:smallCaps w:val="0"/>
                      <w:color w:val="auto"/>
                      <w:spacing w:val="0"/>
                      <w:sz w:val="21"/>
                      <w:szCs w:val="21"/>
                      <w:shd w:val="clear" w:color="auto" w:fill="FFFFFF"/>
                      <w:lang w:val="en-US" w:eastAsia="zh-CN"/>
                      <w:highlight w:val="none"/>
                    </w:rPr>
                    <w:t>项</w:t>
                  </w:r>
                  <w:r>
                    <w:rPr>
                      <w:rFonts w:ascii="Times New Roman" w:eastAsia="宋体" w:cs="Times New Roman" w:hAnsi="Times New Roman" w:hint="eastAsia"/>
                      <w:color w:val="auto"/>
                      <w:kern w:val="0"/>
                      <w:sz w:val="21"/>
                      <w:szCs w:val="21"/>
                      <w:lang w:val="en-US" w:eastAsia="zh-CN" w:bidi="ar-SA"/>
                      <w:highlight w:val="none"/>
                    </w:rPr>
                    <w:t>目</w:t>
                  </w:r>
                  <w:r>
                    <w:rPr>
                      <w:rFonts w:ascii="Times New Roman" w:eastAsia="宋体" w:cs="Times New Roman" w:hAnsi="Times New Roman"/>
                      <w:color w:val="auto"/>
                      <w:kern w:val="0"/>
                      <w:sz w:val="21"/>
                      <w:szCs w:val="21"/>
                      <w:lang w:val="en-US" w:eastAsia="zh-CN" w:bidi="ar-SA"/>
                      <w:highlight w:val="none"/>
                    </w:rPr>
                    <w:t>位于河北石家庄装备制造产业园西部片区规划范围内，租赁现有工业厂房进行生产，占地为工业用地，符合园区用地规划。项目</w:t>
                  </w:r>
                  <w:r>
                    <w:rPr>
                      <w:rFonts w:ascii="Times New Roman" w:eastAsia="宋体" w:cs="Times New Roman" w:hAnsi="Times New Roman" w:hint="eastAsia"/>
                      <w:color w:val="auto"/>
                      <w:kern w:val="0"/>
                      <w:sz w:val="21"/>
                      <w:szCs w:val="21"/>
                      <w:lang w:val="en-US" w:eastAsia="zh-CN" w:bidi="ar-SA"/>
                      <w:highlight w:val="none"/>
                    </w:rPr>
                    <w:t>涉及行业为生态保护和环境治理业、仓储业，属于园区</w:t>
                  </w:r>
                  <w:r>
                    <w:rPr>
                      <w:rFonts w:ascii="Times New Roman" w:eastAsia="宋体" w:cs="Times New Roman" w:hAnsi="Times New Roman"/>
                      <w:color w:val="auto"/>
                      <w:kern w:val="0"/>
                      <w:sz w:val="21"/>
                      <w:szCs w:val="21"/>
                      <w:lang w:val="en-US" w:eastAsia="zh-CN" w:bidi="ar-SA"/>
                      <w:highlight w:val="none"/>
                    </w:rPr>
                    <w:t>配套服务产业。项目在</w:t>
                  </w:r>
                  <w:r>
                    <w:rPr>
                      <w:rFonts w:ascii="Times New Roman" w:cs="Times New Roman" w:hAnsi="Times New Roman" w:hint="eastAsia"/>
                      <w:color w:val="auto"/>
                      <w:kern w:val="0"/>
                      <w:sz w:val="21"/>
                      <w:szCs w:val="21"/>
                      <w:lang w:val="en-US" w:eastAsia="zh-CN" w:bidi="ar-SA"/>
                      <w:highlight w:val="none"/>
                    </w:rPr>
                    <w:t>“</w:t>
                  </w:r>
                  <w:r>
                    <w:rPr>
                      <w:rFonts w:ascii="Times New Roman" w:eastAsia="宋体" w:cs="Times New Roman" w:hAnsi="Times New Roman"/>
                      <w:color w:val="auto"/>
                      <w:kern w:val="0"/>
                      <w:sz w:val="21"/>
                      <w:szCs w:val="21"/>
                      <w:lang w:val="en-US" w:eastAsia="zh-CN" w:bidi="ar-SA"/>
                      <w:highlight w:val="none"/>
                    </w:rPr>
                    <w:t>三线一单</w:t>
                  </w:r>
                  <w:r>
                    <w:rPr>
                      <w:rFonts w:ascii="Times New Roman" w:cs="Times New Roman" w:hAnsi="Times New Roman" w:hint="eastAsia"/>
                      <w:color w:val="auto"/>
                      <w:kern w:val="0"/>
                      <w:sz w:val="21"/>
                      <w:szCs w:val="21"/>
                      <w:lang w:val="en-US" w:eastAsia="zh-CN" w:bidi="ar-SA"/>
                      <w:highlight w:val="none"/>
                    </w:rPr>
                    <w:t>”</w:t>
                  </w:r>
                  <w:r>
                    <w:rPr>
                      <w:rFonts w:ascii="Times New Roman" w:eastAsia="宋体" w:cs="Times New Roman" w:hAnsi="Times New Roman"/>
                      <w:color w:val="auto"/>
                      <w:kern w:val="0"/>
                      <w:sz w:val="21"/>
                      <w:szCs w:val="21"/>
                      <w:lang w:val="en-US" w:eastAsia="zh-CN" w:bidi="ar-SA"/>
                      <w:highlight w:val="none"/>
                    </w:rPr>
                    <w:t>符合性分析中已论证其符合生态保护红线、环境质量底线、资源利用上线及生态环境准入清单的要求。</w:t>
                  </w:r>
                </w:p>
              </w:tc>
            </w:tr>
            <w:tr>
              <w:trPr>
                <w:trHeight w:val="1475"/>
              </w:trPr>
              <w:tc>
                <w:tcPr>
                  <w:tcW w:w="3986" w:type="dxa"/>
                  <w:tcBorders>
                    <w:tl2br w:val="nil"/>
                    <w:tr2bl w:val="nil"/>
                  </w:tcBorders>
                  <w:vAlign w:val="center"/>
                </w:tcPr>
                <w:p>
                  <w:pPr>
                    <w:pStyle w:val="16"/>
                    <w:keepNext w:val="0"/>
                    <w:keepLines w:val="0"/>
                    <w:pageBreakBefore w:val="0"/>
                    <w:widowControl w:val="0"/>
                    <w:kinsoku/>
                    <w:wordWrap/>
                    <w:overflowPunct/>
                    <w:topLinePunct w:val="0"/>
                    <w:autoSpaceDE/>
                    <w:autoSpaceDN/>
                    <w:bidi w:val="0"/>
                    <w:adjustRightInd w:val="0"/>
                    <w:snapToGrid w:val="0"/>
                    <w:spacing w:line="240" w:lineRule="auto"/>
                    <w:ind w:firstLineChars="0" w:firstLine="0"/>
                    <w:jc w:val="both"/>
                    <w:textAlignment w:val="auto"/>
                    <w:rPr>
                      <w:rFonts w:ascii="Times New Roman" w:eastAsia="宋体" w:cs="Times New Roman" w:hAnsi="Times New Roman"/>
                      <w:color w:val="auto"/>
                      <w:kern w:val="0"/>
                      <w:sz w:val="21"/>
                      <w:szCs w:val="21"/>
                      <w:lang w:val="en-US" w:eastAsia="zh-CN" w:bidi="ar-SA"/>
                      <w:highlight w:val="none"/>
                    </w:rPr>
                  </w:pPr>
                  <w:r>
                    <w:rPr>
                      <w:rFonts w:ascii="Times New Roman" w:eastAsia="宋体" w:cs="Times New Roman" w:hAnsi="Times New Roman" w:hint="eastAsia"/>
                      <w:color w:val="auto"/>
                      <w:kern w:val="0"/>
                      <w:sz w:val="21"/>
                      <w:szCs w:val="21"/>
                      <w:lang w:val="en-US" w:eastAsia="zh-CN" w:bidi="ar-SA"/>
                      <w:highlight w:val="none"/>
                    </w:rPr>
                    <w:t>（</w:t>
                  </w:r>
                  <w:r>
                    <w:rPr>
                      <w:rFonts w:ascii="Times New Roman" w:eastAsia="宋体" w:cs="Times New Roman" w:hAnsi="Times New Roman"/>
                      <w:color w:val="auto"/>
                      <w:kern w:val="0"/>
                      <w:sz w:val="21"/>
                      <w:szCs w:val="21"/>
                      <w:lang w:val="en-US" w:eastAsia="zh-CN" w:bidi="ar-SA"/>
                      <w:highlight w:val="none"/>
                    </w:rPr>
                    <w:t>二</w:t>
                  </w:r>
                  <w:r>
                    <w:rPr>
                      <w:rFonts w:ascii="Times New Roman" w:eastAsia="宋体" w:cs="Times New Roman" w:hAnsi="Times New Roman" w:hint="eastAsia"/>
                      <w:color w:val="auto"/>
                      <w:kern w:val="0"/>
                      <w:sz w:val="21"/>
                      <w:szCs w:val="21"/>
                      <w:lang w:val="en-US" w:eastAsia="zh-CN" w:bidi="ar-SA"/>
                      <w:highlight w:val="none"/>
                    </w:rPr>
                    <w:t>）</w:t>
                  </w:r>
                  <w:r>
                    <w:rPr>
                      <w:rFonts w:ascii="Times New Roman" w:eastAsia="宋体" w:cs="Times New Roman" w:hAnsi="Times New Roman"/>
                      <w:color w:val="auto"/>
                      <w:kern w:val="0"/>
                      <w:sz w:val="21"/>
                      <w:szCs w:val="21"/>
                      <w:lang w:val="en-US" w:eastAsia="zh-CN" w:bidi="ar-SA"/>
                      <w:highlight w:val="none"/>
                    </w:rPr>
                    <w:t>推进产业园绿色低碳转型发展，实现减污降碳协同增效目标。根据国家、地方碳减排和碳达峰行动方案及路径要求，进一步优化产业园能源结构、交通运输方式等《规划》内容</w:t>
                  </w:r>
                </w:p>
              </w:tc>
              <w:tc>
                <w:tcPr>
                  <w:tcW w:w="3610" w:type="dxa"/>
                  <w:tcBorders>
                    <w:tl2br w:val="nil"/>
                    <w:tr2bl w:val="nil"/>
                  </w:tcBorders>
                  <w:vAlign w:val="center"/>
                </w:tcPr>
                <w:p>
                  <w:pPr>
                    <w:pStyle w:val="16"/>
                    <w:keepNext w:val="0"/>
                    <w:keepLines w:val="0"/>
                    <w:pageBreakBefore w:val="0"/>
                    <w:widowControl w:val="0"/>
                    <w:kinsoku/>
                    <w:wordWrap/>
                    <w:overflowPunct/>
                    <w:topLinePunct w:val="0"/>
                    <w:autoSpaceDE/>
                    <w:autoSpaceDN/>
                    <w:bidi w:val="0"/>
                    <w:adjustRightInd w:val="0"/>
                    <w:snapToGrid w:val="0"/>
                    <w:spacing w:line="240" w:lineRule="auto"/>
                    <w:ind w:firstLineChars="0" w:firstLine="0"/>
                    <w:jc w:val="both"/>
                    <w:textAlignment w:val="auto"/>
                    <w:rPr>
                      <w:rFonts w:ascii="Times New Roman" w:eastAsia="宋体" w:cs="Times New Roman" w:hAnsi="Times New Roman" w:hint="eastAsia"/>
                      <w:color w:val="auto"/>
                      <w:kern w:val="0"/>
                      <w:sz w:val="21"/>
                      <w:szCs w:val="21"/>
                      <w:lang w:val="en-US" w:eastAsia="zh-CN" w:bidi="ar-SA"/>
                      <w:highlight w:val="none"/>
                    </w:rPr>
                  </w:pPr>
                  <w:r>
                    <w:rPr>
                      <w:rFonts w:ascii="Times New Roman" w:eastAsia="宋体" w:cs="Times New Roman" w:hAnsi="Times New Roman" w:hint="eastAsia"/>
                      <w:color w:val="auto"/>
                      <w:kern w:val="0"/>
                      <w:sz w:val="21"/>
                      <w:szCs w:val="21"/>
                      <w:lang w:val="en-US" w:eastAsia="zh-CN" w:bidi="ar-SA"/>
                      <w:highlight w:val="none"/>
                    </w:rPr>
                    <w:t>项目冬季采暖、夏季制冷均采用电能，不使用煤炭、天然气等化石燃料。</w:t>
                  </w:r>
                </w:p>
              </w:tc>
            </w:tr>
            <w:tr>
              <w:trPr>
                <w:trHeight w:val="1458"/>
              </w:trPr>
              <w:tc>
                <w:tcPr>
                  <w:tcW w:w="3986" w:type="dxa"/>
                  <w:tcBorders>
                    <w:tl2br w:val="nil"/>
                    <w:tr2bl w:val="nil"/>
                  </w:tcBorders>
                  <w:vAlign w:val="center"/>
                </w:tcPr>
                <w:p>
                  <w:pPr>
                    <w:pStyle w:val="16"/>
                    <w:keepNext w:val="0"/>
                    <w:keepLines w:val="0"/>
                    <w:pageBreakBefore w:val="0"/>
                    <w:widowControl w:val="0"/>
                    <w:kinsoku/>
                    <w:wordWrap/>
                    <w:overflowPunct/>
                    <w:topLinePunct w:val="0"/>
                    <w:autoSpaceDE/>
                    <w:autoSpaceDN/>
                    <w:bidi w:val="0"/>
                    <w:adjustRightInd w:val="0"/>
                    <w:snapToGrid w:val="0"/>
                    <w:spacing w:line="240" w:lineRule="auto"/>
                    <w:ind w:firstLineChars="0" w:firstLine="0"/>
                    <w:jc w:val="both"/>
                    <w:textAlignment w:val="auto"/>
                    <w:rPr>
                      <w:rFonts w:ascii="Times New Roman" w:eastAsia="宋体" w:cs="Times New Roman" w:hAnsi="Times New Roman"/>
                      <w:color w:val="auto"/>
                      <w:kern w:val="0"/>
                      <w:sz w:val="21"/>
                      <w:szCs w:val="21"/>
                      <w:lang w:val="en-US" w:eastAsia="zh-CN" w:bidi="ar-SA"/>
                      <w:highlight w:val="none"/>
                    </w:rPr>
                  </w:pPr>
                  <w:r>
                    <w:rPr>
                      <w:rFonts w:ascii="Times New Roman" w:eastAsia="宋体" w:cs="Times New Roman" w:hAnsi="Times New Roman" w:hint="eastAsia"/>
                      <w:color w:val="auto"/>
                      <w:kern w:val="0"/>
                      <w:sz w:val="21"/>
                      <w:szCs w:val="21"/>
                      <w:lang w:val="en-US" w:eastAsia="zh-CN" w:bidi="ar-SA"/>
                      <w:highlight w:val="none"/>
                    </w:rPr>
                    <w:t>（</w:t>
                  </w:r>
                  <w:r>
                    <w:rPr>
                      <w:rFonts w:ascii="Times New Roman" w:eastAsia="宋体" w:cs="Times New Roman" w:hAnsi="Times New Roman"/>
                      <w:color w:val="auto"/>
                      <w:kern w:val="0"/>
                      <w:sz w:val="21"/>
                      <w:szCs w:val="21"/>
                      <w:lang w:val="en-US" w:eastAsia="zh-CN" w:bidi="ar-SA"/>
                      <w:highlight w:val="none"/>
                    </w:rPr>
                    <w:t>三</w:t>
                  </w:r>
                  <w:r>
                    <w:rPr>
                      <w:rFonts w:ascii="Times New Roman" w:eastAsia="宋体" w:cs="Times New Roman" w:hAnsi="Times New Roman" w:hint="eastAsia"/>
                      <w:color w:val="auto"/>
                      <w:kern w:val="0"/>
                      <w:sz w:val="21"/>
                      <w:szCs w:val="21"/>
                      <w:lang w:val="en-US" w:eastAsia="zh-CN" w:bidi="ar-SA"/>
                      <w:highlight w:val="none"/>
                    </w:rPr>
                    <w:t>）</w:t>
                  </w:r>
                  <w:r>
                    <w:rPr>
                      <w:rFonts w:ascii="Times New Roman" w:eastAsia="宋体" w:cs="Times New Roman" w:hAnsi="Times New Roman"/>
                      <w:color w:val="auto"/>
                      <w:kern w:val="0"/>
                      <w:sz w:val="21"/>
                      <w:szCs w:val="21"/>
                      <w:lang w:val="en-US" w:eastAsia="zh-CN" w:bidi="ar-SA"/>
                      <w:highlight w:val="none"/>
                    </w:rPr>
                    <w:t>严格空间管控要求，进一步优化产业园空间布局。教育文化科研区、绿地禁止开展其他无关建设活动。严格落实饮用水源地保护区、文物保护单位、河流管理范围的管理要求。落实《报告书》提出的空间布局引导和管控要求，优化工业、居住等各类用地的空间布局和产业的梯级布局，严格涉风险源企业管理，确保人居环境安全。</w:t>
                  </w:r>
                </w:p>
              </w:tc>
              <w:tc>
                <w:tcPr>
                  <w:tcW w:w="3610" w:type="dxa"/>
                  <w:tcBorders>
                    <w:tl2br w:val="nil"/>
                    <w:tr2bl w:val="nil"/>
                  </w:tcBorders>
                  <w:vAlign w:val="center"/>
                </w:tcPr>
                <w:p>
                  <w:pPr>
                    <w:pStyle w:val="16"/>
                    <w:keepNext w:val="0"/>
                    <w:keepLines w:val="0"/>
                    <w:pageBreakBefore w:val="0"/>
                    <w:widowControl w:val="0"/>
                    <w:kinsoku/>
                    <w:wordWrap/>
                    <w:overflowPunct/>
                    <w:topLinePunct w:val="0"/>
                    <w:autoSpaceDE/>
                    <w:autoSpaceDN/>
                    <w:bidi w:val="0"/>
                    <w:adjustRightInd w:val="0"/>
                    <w:snapToGrid w:val="0"/>
                    <w:spacing w:line="240" w:lineRule="auto"/>
                    <w:ind w:firstLineChars="0" w:firstLine="0"/>
                    <w:jc w:val="both"/>
                    <w:textAlignment w:val="auto"/>
                    <w:rPr>
                      <w:rFonts w:ascii="Times New Roman" w:eastAsia="宋体" w:cs="Times New Roman" w:hAnsi="Times New Roman" w:hint="eastAsia"/>
                      <w:color w:val="auto"/>
                      <w:kern w:val="0"/>
                      <w:sz w:val="21"/>
                      <w:szCs w:val="21"/>
                      <w:lang w:val="en-US" w:eastAsia="zh-CN" w:bidi="ar-SA"/>
                      <w:highlight w:val="none"/>
                    </w:rPr>
                  </w:pPr>
                  <w:r>
                    <w:rPr>
                      <w:rFonts w:ascii="Times New Roman" w:eastAsia="宋体" w:cs="Times New Roman" w:hAnsi="Times New Roman" w:hint="eastAsia"/>
                      <w:color w:val="auto"/>
                      <w:kern w:val="0"/>
                      <w:sz w:val="21"/>
                      <w:szCs w:val="21"/>
                      <w:lang w:val="en-US" w:eastAsia="zh-CN" w:bidi="ar-SA"/>
                      <w:highlight w:val="none"/>
                    </w:rPr>
                    <w:t>项目位于装备制造产业园区内的工业用地，不涉及教育文化科研区、绿地。项目不在生态保护红线、饮用水源地保</w:t>
                  </w:r>
                  <w:r>
                    <w:rPr>
                      <w:rFonts w:ascii="Times New Roman" w:eastAsia="宋体" w:cs="Times New Roman" w:hAnsi="Times New Roman"/>
                      <w:color w:val="auto"/>
                      <w:kern w:val="0"/>
                      <w:sz w:val="21"/>
                      <w:szCs w:val="21"/>
                      <w:lang w:val="en-US" w:eastAsia="zh-CN" w:bidi="ar-SA"/>
                      <w:highlight w:val="none"/>
                    </w:rPr>
                    <w:t>护区、文物保护单位等环境敏感区内，最近敏感点为东</w:t>
                  </w:r>
                  <w:r>
                    <w:rPr>
                      <w:rFonts w:ascii="Times New Roman" w:cs="Times New Roman" w:hAnsi="Times New Roman" w:hint="eastAsia"/>
                      <w:color w:val="auto"/>
                      <w:kern w:val="0"/>
                      <w:sz w:val="21"/>
                      <w:szCs w:val="21"/>
                      <w:lang w:val="en-US" w:bidi="ar-SA"/>
                      <w:highlight w:val="none"/>
                    </w:rPr>
                    <w:t>南</w:t>
                  </w:r>
                  <w:r>
                    <w:rPr>
                      <w:rFonts w:ascii="Times New Roman" w:eastAsia="宋体" w:cs="Times New Roman" w:hAnsi="Times New Roman"/>
                      <w:color w:val="auto"/>
                      <w:kern w:val="0"/>
                      <w:sz w:val="21"/>
                      <w:szCs w:val="21"/>
                      <w:lang w:val="en-US" w:eastAsia="zh-CN" w:bidi="ar-SA"/>
                      <w:highlight w:val="none"/>
                    </w:rPr>
                    <w:t>侧</w:t>
                  </w:r>
                  <w:r>
                    <w:rPr>
                      <w:rFonts w:ascii="Times New Roman" w:eastAsia="宋体" w:cs="Times New Roman" w:hAnsi="Times New Roman" w:hint="eastAsia"/>
                      <w:color w:val="auto"/>
                      <w:kern w:val="0"/>
                      <w:sz w:val="21"/>
                      <w:szCs w:val="21"/>
                      <w:lang w:val="en-US" w:eastAsia="zh-CN" w:bidi="ar-SA"/>
                      <w:highlight w:val="none"/>
                    </w:rPr>
                    <w:t>6</w:t>
                  </w:r>
                  <w:r>
                    <w:rPr>
                      <w:rFonts w:ascii="Times New Roman" w:cs="Times New Roman" w:hAnsi="Times New Roman" w:hint="eastAsia"/>
                      <w:color w:val="auto"/>
                      <w:kern w:val="0"/>
                      <w:sz w:val="21"/>
                      <w:szCs w:val="21"/>
                      <w:lang w:val="en-US" w:eastAsia="zh-CN" w:bidi="ar-SA"/>
                      <w:highlight w:val="none"/>
                    </w:rPr>
                    <w:t>4</w:t>
                  </w:r>
                  <w:r>
                    <w:rPr>
                      <w:rFonts w:ascii="Times New Roman" w:eastAsia="宋体" w:cs="Times New Roman" w:hAnsi="Times New Roman"/>
                      <w:color w:val="auto"/>
                      <w:kern w:val="0"/>
                      <w:sz w:val="21"/>
                      <w:szCs w:val="21"/>
                      <w:lang w:val="en-US" w:eastAsia="zh-CN" w:bidi="ar-SA"/>
                      <w:highlight w:val="none"/>
                    </w:rPr>
                    <w:t>0m的</w:t>
                  </w:r>
                  <w:r>
                    <w:rPr>
                      <w:rFonts w:ascii="Times New Roman" w:cs="Times New Roman" w:hAnsi="Times New Roman" w:hint="eastAsia"/>
                      <w:color w:val="auto"/>
                      <w:kern w:val="0"/>
                      <w:sz w:val="21"/>
                      <w:szCs w:val="21"/>
                      <w:lang w:val="en-US" w:bidi="ar-SA"/>
                      <w:highlight w:val="none"/>
                    </w:rPr>
                    <w:t>融创城荣祥园</w:t>
                  </w:r>
                  <w:r>
                    <w:rPr>
                      <w:rFonts w:ascii="Times New Roman" w:eastAsia="宋体" w:cs="Times New Roman" w:hAnsi="Times New Roman"/>
                      <w:color w:val="auto"/>
                      <w:kern w:val="0"/>
                      <w:sz w:val="21"/>
                      <w:szCs w:val="21"/>
                      <w:lang w:val="en-US" w:eastAsia="zh-CN" w:bidi="ar-SA"/>
                      <w:highlight w:val="none"/>
                    </w:rPr>
                    <w:t>。项目不属于高风险项目，</w:t>
                  </w:r>
                  <w:r>
                    <w:rPr>
                      <w:rFonts w:ascii="Times New Roman" w:eastAsia="宋体" w:cs="Times New Roman" w:hAnsi="Times New Roman" w:hint="eastAsia"/>
                      <w:color w:val="auto"/>
                      <w:kern w:val="0"/>
                      <w:sz w:val="21"/>
                      <w:szCs w:val="21"/>
                      <w:lang w:val="en-US" w:eastAsia="zh-CN" w:bidi="ar-SA"/>
                      <w:highlight w:val="none"/>
                    </w:rPr>
                    <w:t>项目对于风险物质</w:t>
                  </w:r>
                  <w:r>
                    <w:rPr>
                      <w:rFonts w:ascii="Times New Roman" w:eastAsia="宋体" w:cs="Times New Roman" w:hAnsi="Times New Roman"/>
                      <w:color w:val="auto"/>
                      <w:kern w:val="0"/>
                      <w:sz w:val="21"/>
                      <w:szCs w:val="21"/>
                      <w:lang w:val="en-US" w:eastAsia="zh-CN" w:bidi="ar-SA"/>
                      <w:highlight w:val="none"/>
                    </w:rPr>
                    <w:t>采取</w:t>
                  </w:r>
                  <w:r>
                    <w:rPr>
                      <w:rFonts w:ascii="Times New Roman" w:eastAsia="宋体" w:cs="Times New Roman" w:hAnsi="Times New Roman" w:hint="eastAsia"/>
                      <w:color w:val="auto"/>
                      <w:kern w:val="0"/>
                      <w:sz w:val="21"/>
                      <w:szCs w:val="21"/>
                      <w:lang w:val="en-US" w:eastAsia="zh-CN" w:bidi="ar-SA"/>
                      <w:highlight w:val="none"/>
                    </w:rPr>
                    <w:t>相应</w:t>
                  </w:r>
                  <w:r>
                    <w:rPr>
                      <w:rFonts w:ascii="Times New Roman" w:eastAsia="宋体" w:cs="Times New Roman" w:hAnsi="Times New Roman"/>
                      <w:color w:val="auto"/>
                      <w:kern w:val="0"/>
                      <w:sz w:val="21"/>
                      <w:szCs w:val="21"/>
                      <w:lang w:val="en-US" w:eastAsia="zh-CN" w:bidi="ar-SA"/>
                      <w:highlight w:val="none"/>
                    </w:rPr>
                    <w:t>风险防范措施。</w:t>
                  </w:r>
                </w:p>
              </w:tc>
            </w:tr>
            <w:tr>
              <w:trPr>
                <w:trHeight w:val="397"/>
              </w:trPr>
              <w:tc>
                <w:tcPr>
                  <w:tcW w:w="3986" w:type="dxa"/>
                  <w:tcBorders>
                    <w:tl2br w:val="nil"/>
                    <w:tr2bl w:val="nil"/>
                  </w:tcBorders>
                  <w:vAlign w:val="center"/>
                </w:tcPr>
                <w:p>
                  <w:pPr>
                    <w:pStyle w:val="16"/>
                    <w:keepNext w:val="0"/>
                    <w:keepLines w:val="0"/>
                    <w:pageBreakBefore w:val="0"/>
                    <w:widowControl w:val="0"/>
                    <w:kinsoku/>
                    <w:wordWrap/>
                    <w:overflowPunct/>
                    <w:topLinePunct w:val="0"/>
                    <w:autoSpaceDE/>
                    <w:autoSpaceDN/>
                    <w:bidi w:val="0"/>
                    <w:adjustRightInd w:val="0"/>
                    <w:snapToGrid w:val="0"/>
                    <w:spacing w:line="240" w:lineRule="auto"/>
                    <w:ind w:firstLineChars="0" w:firstLine="0"/>
                    <w:jc w:val="both"/>
                    <w:textAlignment w:val="auto"/>
                    <w:rPr>
                      <w:rFonts w:ascii="Times New Roman" w:eastAsia="宋体" w:cs="Times New Roman" w:hAnsi="Times New Roman"/>
                      <w:color w:val="auto"/>
                      <w:kern w:val="0"/>
                      <w:sz w:val="21"/>
                      <w:szCs w:val="21"/>
                      <w:lang w:val="en-US" w:eastAsia="zh-CN" w:bidi="ar-SA"/>
                      <w:highlight w:val="none"/>
                    </w:rPr>
                  </w:pPr>
                  <w:r>
                    <w:rPr>
                      <w:rFonts w:ascii="Times New Roman" w:eastAsia="宋体" w:cs="Times New Roman" w:hAnsi="Times New Roman" w:hint="eastAsia"/>
                      <w:color w:val="auto"/>
                      <w:kern w:val="0"/>
                      <w:sz w:val="21"/>
                      <w:szCs w:val="21"/>
                      <w:lang w:val="en-US" w:eastAsia="zh-CN" w:bidi="ar-SA"/>
                      <w:highlight w:val="none"/>
                    </w:rPr>
                    <w:t>（</w:t>
                  </w:r>
                  <w:r>
                    <w:rPr>
                      <w:rFonts w:ascii="Times New Roman" w:eastAsia="宋体" w:cs="Times New Roman" w:hAnsi="Times New Roman"/>
                      <w:color w:val="auto"/>
                      <w:kern w:val="0"/>
                      <w:sz w:val="21"/>
                      <w:szCs w:val="21"/>
                      <w:lang w:val="en-US" w:eastAsia="zh-CN" w:bidi="ar-SA"/>
                      <w:highlight w:val="none"/>
                    </w:rPr>
                    <w:t>四</w:t>
                  </w:r>
                  <w:r>
                    <w:rPr>
                      <w:rFonts w:ascii="Times New Roman" w:eastAsia="宋体" w:cs="Times New Roman" w:hAnsi="Times New Roman" w:hint="eastAsia"/>
                      <w:color w:val="auto"/>
                      <w:kern w:val="0"/>
                      <w:sz w:val="21"/>
                      <w:szCs w:val="21"/>
                      <w:lang w:val="en-US" w:eastAsia="zh-CN" w:bidi="ar-SA"/>
                      <w:highlight w:val="none"/>
                    </w:rPr>
                    <w:t>）</w:t>
                  </w:r>
                  <w:r>
                    <w:rPr>
                      <w:rFonts w:ascii="Times New Roman" w:eastAsia="宋体" w:cs="Times New Roman" w:hAnsi="Times New Roman"/>
                      <w:color w:val="auto"/>
                      <w:kern w:val="0"/>
                      <w:sz w:val="21"/>
                      <w:szCs w:val="21"/>
                      <w:lang w:val="en-US" w:eastAsia="zh-CN" w:bidi="ar-SA"/>
                      <w:highlight w:val="none"/>
                    </w:rPr>
                    <w:t>严守环境质量底线，强化污染物排放总量管控。提升现有及入区企业污染治理设施及环境管理水平，严格落实《报告书》污染物减排方案，确保环境质量持续改善目标。强化涉重废水污染治理，电镀等涉重工序废水在厂区内处理达标后全部回用，不外排。按照《关于加强重点行业建设项目区域削减措施监督管理的通知》要求，环境质量未达到国家或者地方环境质量标准之前，重点行业建设项目主要污染物实行区域倍量削减。</w:t>
                  </w:r>
                </w:p>
              </w:tc>
              <w:tc>
                <w:tcPr>
                  <w:tcW w:w="3610" w:type="dxa"/>
                  <w:tcBorders>
                    <w:tl2br w:val="nil"/>
                    <w:tr2bl w:val="nil"/>
                  </w:tcBorders>
                  <w:vAlign w:val="center"/>
                </w:tcPr>
                <w:p>
                  <w:pPr>
                    <w:pStyle w:val="16"/>
                    <w:keepNext w:val="0"/>
                    <w:keepLines w:val="0"/>
                    <w:pageBreakBefore w:val="0"/>
                    <w:widowControl w:val="0"/>
                    <w:kinsoku/>
                    <w:wordWrap/>
                    <w:overflowPunct/>
                    <w:topLinePunct w:val="0"/>
                    <w:autoSpaceDE/>
                    <w:autoSpaceDN/>
                    <w:bidi w:val="0"/>
                    <w:adjustRightInd w:val="0"/>
                    <w:snapToGrid w:val="0"/>
                    <w:spacing w:line="240" w:lineRule="auto"/>
                    <w:ind w:firstLineChars="0" w:firstLine="0"/>
                    <w:jc w:val="both"/>
                    <w:textAlignment w:val="auto"/>
                    <w:rPr>
                      <w:rFonts w:ascii="Times New Roman" w:eastAsia="宋体" w:cs="Times New Roman" w:hAnsi="Times New Roman" w:hint="eastAsia"/>
                      <w:color w:val="auto"/>
                      <w:kern w:val="0"/>
                      <w:sz w:val="21"/>
                      <w:szCs w:val="21"/>
                      <w:lang w:val="en-US" w:eastAsia="zh-CN" w:bidi="ar-SA"/>
                      <w:highlight w:val="none"/>
                    </w:rPr>
                  </w:pPr>
                  <w:r>
                    <w:rPr>
                      <w:rFonts w:ascii="Times New Roman" w:eastAsia="宋体" w:cs="Times New Roman" w:hAnsi="Times New Roman" w:hint="eastAsia"/>
                      <w:color w:val="auto"/>
                      <w:kern w:val="0"/>
                      <w:sz w:val="21"/>
                      <w:szCs w:val="21"/>
                      <w:lang w:val="en-US" w:eastAsia="zh-CN" w:bidi="ar-SA"/>
                      <w:highlight w:val="none"/>
                    </w:rPr>
                    <w:t>项目不涉及二氧化硫、氮氧化物等重点大气污染物排放。</w:t>
                  </w:r>
                  <w:r>
                    <w:rPr>
                      <w:rFonts w:ascii="Times New Roman" w:eastAsia="宋体" w:cs="Times New Roman" w:hAnsi="Times New Roman"/>
                      <w:color w:val="auto"/>
                      <w:kern w:val="0"/>
                      <w:sz w:val="21"/>
                      <w:szCs w:val="21"/>
                      <w:lang w:val="en-US" w:eastAsia="zh-CN" w:bidi="ar-SA"/>
                      <w:highlight w:val="none"/>
                    </w:rPr>
                    <w:t>项目</w:t>
                  </w:r>
                  <w:r>
                    <w:rPr>
                      <w:rFonts w:ascii="Times New Roman" w:eastAsia="宋体" w:cs="Times New Roman" w:hAnsi="Times New Roman" w:hint="eastAsia"/>
                      <w:color w:val="auto"/>
                      <w:kern w:val="0"/>
                      <w:sz w:val="21"/>
                      <w:szCs w:val="21"/>
                      <w:lang w:val="en-US" w:eastAsia="zh-CN" w:bidi="ar-SA"/>
                      <w:highlight w:val="none"/>
                    </w:rPr>
                    <w:t>废水主要为生活污水，</w:t>
                  </w:r>
                  <w:r>
                    <w:rPr>
                      <w:rFonts w:ascii="Times New Roman" w:eastAsia="宋体" w:cs="Times New Roman" w:hAnsi="Times New Roman"/>
                      <w:color w:val="auto"/>
                      <w:kern w:val="2"/>
                      <w:sz w:val="21"/>
                      <w:szCs w:val="21"/>
                      <w:lang w:val="en-US" w:eastAsia="zh-CN" w:bidi="ar-SA"/>
                      <w:highlight w:val="none"/>
                    </w:rPr>
                    <w:t>依托河北泽豪环保新材料科技有限公司化粪池处理后，</w:t>
                  </w:r>
                  <w:r>
                    <w:rPr>
                      <w:rFonts w:cs="Times New Roman" w:hint="eastAsia"/>
                      <w:color w:val="auto"/>
                      <w:kern w:val="2"/>
                      <w:sz w:val="21"/>
                      <w:szCs w:val="21"/>
                      <w:lang w:val="en-US" w:eastAsia="zh-CN" w:bidi="ar-SA"/>
                      <w:highlight w:val="none"/>
                    </w:rPr>
                    <w:t>定期清掏，不外排</w:t>
                  </w:r>
                  <w:r>
                    <w:rPr>
                      <w:rFonts w:ascii="Times New Roman" w:eastAsia="宋体" w:cs="Times New Roman" w:hAnsi="Times New Roman" w:hint="eastAsia"/>
                      <w:color w:val="auto"/>
                      <w:kern w:val="0"/>
                      <w:sz w:val="21"/>
                      <w:szCs w:val="21"/>
                      <w:lang w:val="en-US" w:eastAsia="zh-CN" w:bidi="ar-SA"/>
                      <w:highlight w:val="none"/>
                    </w:rPr>
                    <w:t>。</w:t>
                  </w:r>
                </w:p>
              </w:tc>
            </w:tr>
            <w:tr>
              <w:trPr>
                <w:trHeight w:val="397"/>
              </w:trPr>
              <w:tc>
                <w:tcPr>
                  <w:tcW w:w="3986" w:type="dxa"/>
                  <w:tcBorders>
                    <w:tl2br w:val="nil"/>
                    <w:tr2bl w:val="nil"/>
                  </w:tcBorders>
                  <w:vAlign w:val="center"/>
                </w:tcPr>
                <w:p>
                  <w:pPr>
                    <w:pStyle w:val="16"/>
                    <w:keepNext w:val="0"/>
                    <w:keepLines w:val="0"/>
                    <w:pageBreakBefore w:val="0"/>
                    <w:widowControl w:val="0"/>
                    <w:kinsoku/>
                    <w:wordWrap/>
                    <w:overflowPunct/>
                    <w:topLinePunct w:val="0"/>
                    <w:autoSpaceDE/>
                    <w:autoSpaceDN/>
                    <w:bidi w:val="0"/>
                    <w:adjustRightInd w:val="0"/>
                    <w:snapToGrid w:val="0"/>
                    <w:spacing w:line="240" w:lineRule="auto"/>
                    <w:ind w:firstLineChars="0" w:firstLine="0"/>
                    <w:jc w:val="both"/>
                    <w:textAlignment w:val="auto"/>
                    <w:rPr>
                      <w:rFonts w:ascii="Times New Roman" w:eastAsia="宋体" w:cs="Times New Roman" w:hAnsi="Times New Roman"/>
                      <w:color w:val="auto"/>
                      <w:kern w:val="0"/>
                      <w:sz w:val="21"/>
                      <w:szCs w:val="21"/>
                      <w:lang w:val="en-US" w:eastAsia="zh-CN" w:bidi="ar-SA"/>
                      <w:highlight w:val="none"/>
                    </w:rPr>
                  </w:pPr>
                  <w:r>
                    <w:rPr>
                      <w:rFonts w:ascii="Times New Roman" w:eastAsia="宋体" w:cs="Times New Roman" w:hAnsi="Times New Roman" w:hint="eastAsia"/>
                      <w:color w:val="auto"/>
                      <w:kern w:val="0"/>
                      <w:sz w:val="21"/>
                      <w:szCs w:val="21"/>
                      <w:lang w:val="en-US" w:eastAsia="zh-CN" w:bidi="ar-SA"/>
                      <w:highlight w:val="none"/>
                    </w:rPr>
                    <w:t>（</w:t>
                  </w:r>
                  <w:r>
                    <w:rPr>
                      <w:rFonts w:ascii="Times New Roman" w:eastAsia="宋体" w:cs="Times New Roman" w:hAnsi="Times New Roman"/>
                      <w:color w:val="auto"/>
                      <w:kern w:val="0"/>
                      <w:sz w:val="21"/>
                      <w:szCs w:val="21"/>
                      <w:lang w:val="en-US" w:eastAsia="zh-CN" w:bidi="ar-SA"/>
                      <w:highlight w:val="none"/>
                    </w:rPr>
                    <w:t>五</w:t>
                  </w:r>
                  <w:r>
                    <w:rPr>
                      <w:rFonts w:ascii="Times New Roman" w:eastAsia="宋体" w:cs="Times New Roman" w:hAnsi="Times New Roman" w:hint="eastAsia"/>
                      <w:color w:val="auto"/>
                      <w:kern w:val="0"/>
                      <w:sz w:val="21"/>
                      <w:szCs w:val="21"/>
                      <w:lang w:val="en-US" w:eastAsia="zh-CN" w:bidi="ar-SA"/>
                      <w:highlight w:val="none"/>
                    </w:rPr>
                    <w:t>）</w:t>
                  </w:r>
                  <w:r>
                    <w:rPr>
                      <w:rFonts w:ascii="Times New Roman" w:eastAsia="宋体" w:cs="Times New Roman" w:hAnsi="Times New Roman"/>
                      <w:color w:val="auto"/>
                      <w:kern w:val="0"/>
                      <w:sz w:val="21"/>
                      <w:szCs w:val="21"/>
                      <w:lang w:val="en-US" w:eastAsia="zh-CN" w:bidi="ar-SA"/>
                      <w:highlight w:val="none"/>
                    </w:rPr>
                    <w:t>严格入区项目生态环境准入，推动绿色低碳高质量发展。严格落实《报告书》提出的产业园生态环境准入要求及现有企业环境管理要求。禁止</w:t>
                  </w:r>
                  <w:r>
                    <w:rPr>
                      <w:rFonts w:ascii="Times New Roman" w:cs="Times New Roman" w:hAnsi="Times New Roman" w:hint="eastAsia"/>
                      <w:color w:val="auto"/>
                      <w:kern w:val="0"/>
                      <w:sz w:val="21"/>
                      <w:szCs w:val="21"/>
                      <w:lang w:val="en-US" w:eastAsia="zh-CN" w:bidi="ar-SA"/>
                      <w:highlight w:val="none"/>
                    </w:rPr>
                    <w:t>“</w:t>
                  </w:r>
                  <w:r>
                    <w:rPr>
                      <w:rFonts w:ascii="Times New Roman" w:eastAsia="宋体" w:cs="Times New Roman" w:hAnsi="Times New Roman"/>
                      <w:color w:val="auto"/>
                      <w:kern w:val="0"/>
                      <w:sz w:val="21"/>
                      <w:szCs w:val="21"/>
                      <w:lang w:val="en-US" w:eastAsia="zh-CN" w:bidi="ar-SA"/>
                      <w:highlight w:val="none"/>
                    </w:rPr>
                    <w:t>两高</w:t>
                  </w:r>
                  <w:r>
                    <w:rPr>
                      <w:rFonts w:ascii="Times New Roman" w:cs="Times New Roman" w:hAnsi="Times New Roman" w:hint="eastAsia"/>
                      <w:color w:val="auto"/>
                      <w:kern w:val="0"/>
                      <w:sz w:val="21"/>
                      <w:szCs w:val="21"/>
                      <w:lang w:val="en-US" w:eastAsia="zh-CN" w:bidi="ar-SA"/>
                      <w:highlight w:val="none"/>
                    </w:rPr>
                    <w:t>”</w:t>
                  </w:r>
                  <w:r>
                    <w:rPr>
                      <w:rFonts w:ascii="Times New Roman" w:eastAsia="宋体" w:cs="Times New Roman" w:hAnsi="Times New Roman"/>
                      <w:color w:val="auto"/>
                      <w:kern w:val="0"/>
                      <w:sz w:val="21"/>
                      <w:szCs w:val="21"/>
                      <w:lang w:val="en-US" w:eastAsia="zh-CN" w:bidi="ar-SA"/>
                      <w:highlight w:val="none"/>
                    </w:rPr>
                    <w:t>项目准入</w:t>
                  </w:r>
                  <w:r>
                    <w:rPr>
                      <w:rFonts w:ascii="Times New Roman" w:eastAsia="宋体" w:cs="Times New Roman" w:hAnsi="Times New Roman" w:hint="eastAsia"/>
                      <w:color w:val="auto"/>
                      <w:kern w:val="0"/>
                      <w:sz w:val="21"/>
                      <w:szCs w:val="21"/>
                      <w:lang w:val="en-US" w:eastAsia="zh-CN" w:bidi="ar-SA"/>
                      <w:highlight w:val="none"/>
                    </w:rPr>
                    <w:t>；</w:t>
                  </w:r>
                  <w:r>
                    <w:rPr>
                      <w:rFonts w:ascii="Times New Roman" w:eastAsia="宋体" w:cs="Times New Roman" w:hAnsi="Times New Roman"/>
                      <w:color w:val="auto"/>
                      <w:kern w:val="0"/>
                      <w:sz w:val="21"/>
                      <w:szCs w:val="21"/>
                      <w:lang w:val="en-US" w:eastAsia="zh-CN" w:bidi="ar-SA"/>
                      <w:highlight w:val="none"/>
                    </w:rPr>
                    <w:t>严格落实好省、市重点化工监控点管理要求</w:t>
                  </w:r>
                  <w:r>
                    <w:rPr>
                      <w:rFonts w:ascii="Times New Roman" w:eastAsia="宋体" w:cs="Times New Roman" w:hAnsi="Times New Roman" w:hint="eastAsia"/>
                      <w:color w:val="auto"/>
                      <w:kern w:val="0"/>
                      <w:sz w:val="21"/>
                      <w:szCs w:val="21"/>
                      <w:lang w:val="en-US" w:eastAsia="zh-CN" w:bidi="ar-SA"/>
                      <w:highlight w:val="none"/>
                    </w:rPr>
                    <w:t>；</w:t>
                  </w:r>
                  <w:r>
                    <w:rPr>
                      <w:rFonts w:ascii="Times New Roman" w:eastAsia="宋体" w:cs="Times New Roman" w:hAnsi="Times New Roman"/>
                      <w:color w:val="auto"/>
                      <w:kern w:val="0"/>
                      <w:sz w:val="21"/>
                      <w:szCs w:val="21"/>
                      <w:lang w:val="en-US" w:eastAsia="zh-CN" w:bidi="ar-SA"/>
                      <w:highlight w:val="none"/>
                    </w:rPr>
                    <w:t>严格化学药品原料药制造项目准入，满足防护距离要求。不断提高现有企业清洁生产水平，促进产业园产业转型升级与生态环境保护、人居环境安全相协调。</w:t>
                  </w:r>
                </w:p>
              </w:tc>
              <w:tc>
                <w:tcPr>
                  <w:tcW w:w="3610" w:type="dxa"/>
                  <w:tcBorders>
                    <w:tl2br w:val="nil"/>
                    <w:tr2bl w:val="nil"/>
                  </w:tcBorders>
                  <w:vAlign w:val="center"/>
                </w:tcPr>
                <w:p>
                  <w:pPr>
                    <w:pStyle w:val="16"/>
                    <w:keepNext w:val="0"/>
                    <w:keepLines w:val="0"/>
                    <w:pageBreakBefore w:val="0"/>
                    <w:widowControl w:val="0"/>
                    <w:kinsoku/>
                    <w:wordWrap/>
                    <w:overflowPunct/>
                    <w:topLinePunct w:val="0"/>
                    <w:autoSpaceDE/>
                    <w:autoSpaceDN/>
                    <w:bidi w:val="0"/>
                    <w:adjustRightInd w:val="0"/>
                    <w:snapToGrid w:val="0"/>
                    <w:spacing w:line="240" w:lineRule="auto"/>
                    <w:ind w:firstLineChars="0" w:firstLine="0"/>
                    <w:jc w:val="both"/>
                    <w:textAlignment w:val="auto"/>
                    <w:rPr>
                      <w:rFonts w:ascii="Times New Roman" w:eastAsia="宋体" w:cs="Times New Roman" w:hAnsi="Times New Roman" w:hint="eastAsia"/>
                      <w:color w:val="auto"/>
                      <w:kern w:val="0"/>
                      <w:sz w:val="21"/>
                      <w:szCs w:val="21"/>
                      <w:lang w:val="en-US" w:eastAsia="zh-CN" w:bidi="ar-SA"/>
                      <w:highlight w:val="none"/>
                    </w:rPr>
                  </w:pPr>
                  <w:r>
                    <w:rPr>
                      <w:rFonts w:ascii="Times New Roman" w:eastAsia="宋体" w:cs="Times New Roman" w:hAnsi="Times New Roman" w:hint="eastAsia"/>
                      <w:color w:val="auto"/>
                      <w:kern w:val="0"/>
                      <w:sz w:val="21"/>
                      <w:szCs w:val="21"/>
                      <w:lang w:val="en-US" w:eastAsia="zh-CN" w:bidi="ar-SA"/>
                      <w:highlight w:val="none"/>
                    </w:rPr>
                    <w:t>项目不属于</w:t>
                  </w:r>
                  <w:r>
                    <w:rPr>
                      <w:rFonts w:ascii="Times New Roman" w:cs="Times New Roman" w:hAnsi="Times New Roman" w:hint="eastAsia"/>
                      <w:color w:val="auto"/>
                      <w:kern w:val="0"/>
                      <w:sz w:val="21"/>
                      <w:szCs w:val="21"/>
                      <w:lang w:val="en-US" w:eastAsia="zh-CN" w:bidi="ar-SA"/>
                      <w:highlight w:val="none"/>
                    </w:rPr>
                    <w:t>“</w:t>
                  </w:r>
                  <w:r>
                    <w:rPr>
                      <w:rFonts w:ascii="Times New Roman" w:eastAsia="宋体" w:cs="Times New Roman" w:hAnsi="Times New Roman" w:hint="eastAsia"/>
                      <w:color w:val="auto"/>
                      <w:kern w:val="0"/>
                      <w:sz w:val="21"/>
                      <w:szCs w:val="21"/>
                      <w:lang w:val="en-US" w:eastAsia="zh-CN" w:bidi="ar-SA"/>
                      <w:highlight w:val="none"/>
                    </w:rPr>
                    <w:t>两高</w:t>
                  </w:r>
                  <w:r>
                    <w:rPr>
                      <w:rFonts w:ascii="Times New Roman" w:cs="Times New Roman" w:hAnsi="Times New Roman" w:hint="eastAsia"/>
                      <w:color w:val="auto"/>
                      <w:kern w:val="0"/>
                      <w:sz w:val="21"/>
                      <w:szCs w:val="21"/>
                      <w:lang w:val="en-US" w:eastAsia="zh-CN" w:bidi="ar-SA"/>
                      <w:highlight w:val="none"/>
                    </w:rPr>
                    <w:t>”</w:t>
                  </w:r>
                  <w:r>
                    <w:rPr>
                      <w:rFonts w:ascii="Times New Roman" w:eastAsia="宋体" w:cs="Times New Roman" w:hAnsi="Times New Roman" w:hint="eastAsia"/>
                      <w:color w:val="auto"/>
                      <w:kern w:val="0"/>
                      <w:sz w:val="21"/>
                      <w:szCs w:val="21"/>
                      <w:lang w:val="en-US" w:eastAsia="zh-CN" w:bidi="ar-SA"/>
                      <w:highlight w:val="none"/>
                    </w:rPr>
                    <w:t>项目。项目符合国家及地方产业政策，不属于国家及地方禁止和限制类产业。</w:t>
                  </w:r>
                </w:p>
              </w:tc>
            </w:tr>
            <w:tr>
              <w:trPr>
                <w:trHeight w:val="397"/>
              </w:trPr>
              <w:tc>
                <w:tcPr>
                  <w:tcW w:w="3986" w:type="dxa"/>
                  <w:tcBorders>
                    <w:tl2br w:val="nil"/>
                    <w:tr2bl w:val="nil"/>
                  </w:tcBorders>
                  <w:vAlign w:val="center"/>
                </w:tcPr>
                <w:p>
                  <w:pPr>
                    <w:pStyle w:val="16"/>
                    <w:keepNext w:val="0"/>
                    <w:keepLines w:val="0"/>
                    <w:pageBreakBefore w:val="0"/>
                    <w:widowControl w:val="0"/>
                    <w:kinsoku/>
                    <w:wordWrap/>
                    <w:overflowPunct/>
                    <w:topLinePunct w:val="0"/>
                    <w:autoSpaceDE/>
                    <w:autoSpaceDN/>
                    <w:bidi w:val="0"/>
                    <w:adjustRightInd w:val="0"/>
                    <w:snapToGrid w:val="0"/>
                    <w:spacing w:line="240" w:lineRule="auto"/>
                    <w:ind w:firstLineChars="0" w:firstLine="0"/>
                    <w:jc w:val="both"/>
                    <w:textAlignment w:val="auto"/>
                    <w:rPr>
                      <w:rFonts w:ascii="Times New Roman" w:eastAsia="宋体" w:cs="Times New Roman" w:hAnsi="Times New Roman"/>
                      <w:color w:val="auto"/>
                      <w:kern w:val="0"/>
                      <w:sz w:val="21"/>
                      <w:szCs w:val="21"/>
                      <w:lang w:val="en-US" w:eastAsia="zh-CN" w:bidi="ar-SA"/>
                      <w:highlight w:val="none"/>
                    </w:rPr>
                  </w:pPr>
                  <w:r>
                    <w:rPr>
                      <w:rFonts w:ascii="Times New Roman" w:eastAsia="宋体" w:cs="Times New Roman" w:hAnsi="Times New Roman" w:hint="eastAsia"/>
                      <w:color w:val="auto"/>
                      <w:kern w:val="0"/>
                      <w:sz w:val="21"/>
                      <w:szCs w:val="21"/>
                      <w:lang w:val="en-US" w:eastAsia="zh-CN" w:bidi="ar-SA"/>
                      <w:highlight w:val="none"/>
                    </w:rPr>
                    <w:t>（</w:t>
                  </w:r>
                  <w:r>
                    <w:rPr>
                      <w:rFonts w:ascii="Times New Roman" w:eastAsia="宋体" w:cs="Times New Roman" w:hAnsi="Times New Roman"/>
                      <w:color w:val="auto"/>
                      <w:kern w:val="0"/>
                      <w:sz w:val="21"/>
                      <w:szCs w:val="21"/>
                      <w:lang w:val="en-US" w:eastAsia="zh-CN" w:bidi="ar-SA"/>
                      <w:highlight w:val="none"/>
                    </w:rPr>
                    <w:t>六</w:t>
                  </w:r>
                  <w:r>
                    <w:rPr>
                      <w:rFonts w:ascii="Times New Roman" w:eastAsia="宋体" w:cs="Times New Roman" w:hAnsi="Times New Roman" w:hint="eastAsia"/>
                      <w:color w:val="auto"/>
                      <w:kern w:val="0"/>
                      <w:sz w:val="21"/>
                      <w:szCs w:val="21"/>
                      <w:lang w:val="en-US" w:eastAsia="zh-CN" w:bidi="ar-SA"/>
                      <w:highlight w:val="none"/>
                    </w:rPr>
                    <w:t>）</w:t>
                  </w:r>
                  <w:r>
                    <w:rPr>
                      <w:rFonts w:ascii="Times New Roman" w:eastAsia="宋体" w:cs="Times New Roman" w:hAnsi="Times New Roman"/>
                      <w:color w:val="auto"/>
                      <w:kern w:val="0"/>
                      <w:sz w:val="21"/>
                      <w:szCs w:val="21"/>
                      <w:lang w:val="en-US" w:eastAsia="zh-CN" w:bidi="ar-SA"/>
                      <w:highlight w:val="none"/>
                    </w:rPr>
                    <w:t>统筹基础设施建设，严格落实《报告书》提出的建设内容及时限。加快产业园内供水、排水、供热管网建设进度，逐步完善再生水管网布局，充分利用再生水资源。产业园企业优先使用天然气、电能等清洁能源，根据供热管网建设时序，现有企业自建锅炉淘汰或作为备用锅炉。</w:t>
                  </w:r>
                </w:p>
              </w:tc>
              <w:tc>
                <w:tcPr>
                  <w:tcW w:w="3610" w:type="dxa"/>
                  <w:tcBorders>
                    <w:tl2br w:val="nil"/>
                    <w:tr2bl w:val="nil"/>
                  </w:tcBorders>
                  <w:vAlign w:val="center"/>
                </w:tcPr>
                <w:p>
                  <w:pPr>
                    <w:pStyle w:val="16"/>
                    <w:keepNext w:val="0"/>
                    <w:keepLines w:val="0"/>
                    <w:pageBreakBefore w:val="0"/>
                    <w:widowControl w:val="0"/>
                    <w:kinsoku/>
                    <w:wordWrap/>
                    <w:overflowPunct/>
                    <w:topLinePunct w:val="0"/>
                    <w:autoSpaceDE/>
                    <w:autoSpaceDN/>
                    <w:bidi w:val="0"/>
                    <w:adjustRightInd w:val="0"/>
                    <w:snapToGrid w:val="0"/>
                    <w:spacing w:line="240" w:lineRule="auto"/>
                    <w:ind w:firstLineChars="0" w:firstLine="0"/>
                    <w:jc w:val="both"/>
                    <w:textAlignment w:val="auto"/>
                    <w:rPr>
                      <w:rFonts w:ascii="Times New Roman" w:eastAsia="宋体" w:cs="Times New Roman" w:hAnsi="Times New Roman" w:hint="eastAsia"/>
                      <w:color w:val="auto"/>
                      <w:kern w:val="0"/>
                      <w:sz w:val="21"/>
                      <w:szCs w:val="21"/>
                      <w:lang w:val="en-US" w:eastAsia="zh-CN" w:bidi="ar-SA"/>
                      <w:highlight w:val="none"/>
                    </w:rPr>
                  </w:pPr>
                  <w:r>
                    <w:rPr>
                      <w:rFonts w:ascii="Times New Roman" w:eastAsia="宋体" w:cs="Times New Roman" w:hAnsi="Times New Roman" w:hint="eastAsia"/>
                      <w:color w:val="auto"/>
                      <w:kern w:val="0"/>
                      <w:sz w:val="21"/>
                      <w:szCs w:val="21"/>
                      <w:lang w:val="en-US" w:eastAsia="zh-CN" w:bidi="ar-SA"/>
                      <w:highlight w:val="none"/>
                    </w:rPr>
                    <w:t>项目用水、用电均由园区管网提供。项目生产使用电能，符合优先使用清洁能源的要求。项目废水排入园区污水管网，送至石家庄市栾城区污水处理中心处理。</w:t>
                  </w:r>
                </w:p>
              </w:tc>
            </w:tr>
            <w:tr>
              <w:trPr>
                <w:trHeight w:val="397"/>
              </w:trPr>
              <w:tc>
                <w:tcPr>
                  <w:tcW w:w="3986" w:type="dxa"/>
                  <w:tcBorders>
                    <w:tl2br w:val="nil"/>
                    <w:tr2bl w:val="nil"/>
                  </w:tcBorders>
                  <w:vAlign w:val="center"/>
                </w:tcPr>
                <w:p>
                  <w:pPr>
                    <w:pStyle w:val="16"/>
                    <w:keepNext w:val="0"/>
                    <w:keepLines w:val="0"/>
                    <w:pageBreakBefore w:val="0"/>
                    <w:widowControl w:val="0"/>
                    <w:kinsoku/>
                    <w:wordWrap/>
                    <w:overflowPunct/>
                    <w:topLinePunct w:val="0"/>
                    <w:autoSpaceDE/>
                    <w:autoSpaceDN/>
                    <w:bidi w:val="0"/>
                    <w:adjustRightInd w:val="0"/>
                    <w:snapToGrid w:val="0"/>
                    <w:spacing w:line="240" w:lineRule="auto"/>
                    <w:ind w:firstLineChars="0" w:firstLine="0"/>
                    <w:jc w:val="both"/>
                    <w:textAlignment w:val="auto"/>
                    <w:rPr>
                      <w:rFonts w:ascii="Times New Roman" w:eastAsia="宋体" w:cs="Times New Roman" w:hAnsi="Times New Roman"/>
                      <w:color w:val="auto"/>
                      <w:kern w:val="0"/>
                      <w:sz w:val="21"/>
                      <w:szCs w:val="21"/>
                      <w:lang w:val="en-US" w:eastAsia="zh-CN" w:bidi="ar-SA"/>
                      <w:highlight w:val="none"/>
                    </w:rPr>
                  </w:pPr>
                  <w:r>
                    <w:rPr>
                      <w:rFonts w:ascii="Times New Roman" w:eastAsia="宋体" w:cs="Times New Roman" w:hAnsi="Times New Roman" w:hint="eastAsia"/>
                      <w:color w:val="auto"/>
                      <w:kern w:val="0"/>
                      <w:sz w:val="21"/>
                      <w:szCs w:val="21"/>
                      <w:lang w:val="en-US" w:eastAsia="zh-CN" w:bidi="ar-SA"/>
                      <w:highlight w:val="none"/>
                    </w:rPr>
                    <w:t>（</w:t>
                  </w:r>
                  <w:r>
                    <w:rPr>
                      <w:rFonts w:ascii="Times New Roman" w:eastAsia="宋体" w:cs="Times New Roman" w:hAnsi="Times New Roman"/>
                      <w:color w:val="auto"/>
                      <w:kern w:val="0"/>
                      <w:sz w:val="21"/>
                      <w:szCs w:val="21"/>
                      <w:lang w:val="en-US" w:eastAsia="zh-CN" w:bidi="ar-SA"/>
                      <w:highlight w:val="none"/>
                    </w:rPr>
                    <w:t>七</w:t>
                  </w:r>
                  <w:r>
                    <w:rPr>
                      <w:rFonts w:ascii="Times New Roman" w:eastAsia="宋体" w:cs="Times New Roman" w:hAnsi="Times New Roman" w:hint="eastAsia"/>
                      <w:color w:val="auto"/>
                      <w:kern w:val="0"/>
                      <w:sz w:val="21"/>
                      <w:szCs w:val="21"/>
                      <w:lang w:val="en-US" w:eastAsia="zh-CN" w:bidi="ar-SA"/>
                      <w:highlight w:val="none"/>
                    </w:rPr>
                    <w:t>）</w:t>
                  </w:r>
                  <w:r>
                    <w:rPr>
                      <w:rFonts w:ascii="Times New Roman" w:eastAsia="宋体" w:cs="Times New Roman" w:hAnsi="Times New Roman"/>
                      <w:color w:val="auto"/>
                      <w:kern w:val="0"/>
                      <w:sz w:val="21"/>
                      <w:szCs w:val="21"/>
                      <w:lang w:val="en-US" w:eastAsia="zh-CN" w:bidi="ar-SA"/>
                      <w:highlight w:val="none"/>
                    </w:rPr>
                    <w:t>优化运输方式，落实应急运输响应方案。鼓励产业园提高清洁能源汽车运输比例，减轻公路运输产生的不利环境影响结合秋冬行业错峰生产和重污染天气应急响应要求，在黄色及以上重污染天气预警期间，重点用车企业实施应急运输响应。</w:t>
                  </w:r>
                </w:p>
              </w:tc>
              <w:tc>
                <w:tcPr>
                  <w:tcW w:w="3610" w:type="dxa"/>
                  <w:tcBorders>
                    <w:tl2br w:val="nil"/>
                    <w:tr2bl w:val="nil"/>
                  </w:tcBorders>
                  <w:vAlign w:val="center"/>
                </w:tcPr>
                <w:p>
                  <w:pPr>
                    <w:pStyle w:val="16"/>
                    <w:keepNext w:val="0"/>
                    <w:keepLines w:val="0"/>
                    <w:pageBreakBefore w:val="0"/>
                    <w:widowControl w:val="0"/>
                    <w:kinsoku/>
                    <w:wordWrap/>
                    <w:overflowPunct/>
                    <w:topLinePunct w:val="0"/>
                    <w:autoSpaceDE/>
                    <w:autoSpaceDN/>
                    <w:bidi w:val="0"/>
                    <w:adjustRightInd w:val="0"/>
                    <w:snapToGrid w:val="0"/>
                    <w:spacing w:line="240" w:lineRule="auto"/>
                    <w:ind w:firstLineChars="0" w:firstLine="0"/>
                    <w:jc w:val="both"/>
                    <w:textAlignment w:val="auto"/>
                    <w:rPr>
                      <w:rFonts w:ascii="Times New Roman" w:eastAsia="宋体" w:cs="Times New Roman" w:hAnsi="Times New Roman" w:hint="eastAsia"/>
                      <w:color w:val="auto"/>
                      <w:kern w:val="0"/>
                      <w:sz w:val="21"/>
                      <w:szCs w:val="21"/>
                      <w:lang w:val="en-US" w:eastAsia="zh-CN" w:bidi="ar-SA"/>
                      <w:highlight w:val="none"/>
                    </w:rPr>
                  </w:pPr>
                  <w:r>
                    <w:rPr>
                      <w:rFonts w:ascii="Times New Roman" w:eastAsia="宋体" w:cs="Times New Roman" w:hAnsi="Times New Roman" w:hint="eastAsia"/>
                      <w:color w:val="auto"/>
                      <w:kern w:val="0"/>
                      <w:sz w:val="21"/>
                      <w:szCs w:val="21"/>
                      <w:lang w:val="en-US" w:eastAsia="zh-CN" w:bidi="ar-SA"/>
                      <w:highlight w:val="none"/>
                    </w:rPr>
                    <w:t>项目</w:t>
                  </w:r>
                  <w:r>
                    <w:rPr>
                      <w:rFonts w:ascii="Times New Roman" w:cs="Times New Roman" w:hAnsi="Times New Roman" w:hint="eastAsia"/>
                      <w:color w:val="auto"/>
                      <w:kern w:val="0"/>
                      <w:sz w:val="21"/>
                      <w:szCs w:val="21"/>
                      <w:lang w:val="en-US" w:bidi="ar-SA"/>
                      <w:highlight w:val="none"/>
                    </w:rPr>
                    <w:t>不涉及运输过程</w:t>
                  </w:r>
                  <w:r>
                    <w:rPr>
                      <w:rFonts w:ascii="Times New Roman" w:cs="Times New Roman" w:hAnsi="Times New Roman"/>
                      <w:color w:val="auto"/>
                      <w:kern w:val="0"/>
                      <w:sz w:val="21"/>
                      <w:szCs w:val="21"/>
                      <w:lang w:bidi="ar-SA"/>
                      <w:highlight w:val="none"/>
                    </w:rPr>
                    <w:t>，</w:t>
                  </w:r>
                  <w:r>
                    <w:rPr>
                      <w:rFonts w:ascii="Times New Roman" w:cs="Times New Roman" w:hAnsi="Times New Roman" w:hint="eastAsia"/>
                      <w:color w:val="auto"/>
                      <w:kern w:val="0"/>
                      <w:sz w:val="21"/>
                      <w:szCs w:val="21"/>
                      <w:lang w:val="en-US" w:bidi="ar-SA"/>
                      <w:highlight w:val="none"/>
                    </w:rPr>
                    <w:t>厂内作业主要采用叉车</w:t>
                  </w:r>
                  <w:r>
                    <w:rPr>
                      <w:rFonts w:ascii="Times New Roman" w:eastAsia="宋体" w:cs="Times New Roman" w:hAnsi="Times New Roman" w:hint="eastAsia"/>
                      <w:color w:val="auto"/>
                      <w:kern w:val="0"/>
                      <w:sz w:val="21"/>
                      <w:szCs w:val="21"/>
                      <w:lang w:val="en-US" w:eastAsia="zh-CN" w:bidi="ar-SA"/>
                      <w:highlight w:val="none"/>
                    </w:rPr>
                    <w:t>。项目将根据要求，在重污染天气预警期间执行相应的应急运输响应措施。</w:t>
                  </w:r>
                </w:p>
              </w:tc>
            </w:tr>
            <w:tr>
              <w:trPr>
                <w:trHeight w:val="397"/>
              </w:trPr>
              <w:tc>
                <w:tcPr>
                  <w:tcW w:w="3986" w:type="dxa"/>
                  <w:tcBorders>
                    <w:tl2br w:val="nil"/>
                    <w:tr2bl w:val="nil"/>
                  </w:tcBorders>
                  <w:vAlign w:val="center"/>
                </w:tcPr>
                <w:p>
                  <w:pPr>
                    <w:pStyle w:val="16"/>
                    <w:keepNext w:val="0"/>
                    <w:keepLines w:val="0"/>
                    <w:pageBreakBefore w:val="0"/>
                    <w:widowControl w:val="0"/>
                    <w:kinsoku/>
                    <w:wordWrap/>
                    <w:overflowPunct/>
                    <w:topLinePunct w:val="0"/>
                    <w:autoSpaceDE/>
                    <w:autoSpaceDN/>
                    <w:bidi w:val="0"/>
                    <w:adjustRightInd w:val="0"/>
                    <w:snapToGrid w:val="0"/>
                    <w:spacing w:line="240" w:lineRule="auto"/>
                    <w:ind w:firstLineChars="0" w:firstLine="0"/>
                    <w:jc w:val="both"/>
                    <w:textAlignment w:val="auto"/>
                    <w:rPr>
                      <w:rFonts w:ascii="Times New Roman" w:eastAsia="宋体" w:cs="Times New Roman" w:hAnsi="Times New Roman"/>
                      <w:color w:val="auto"/>
                      <w:kern w:val="0"/>
                      <w:sz w:val="21"/>
                      <w:szCs w:val="21"/>
                      <w:lang w:val="en-US" w:eastAsia="zh-CN" w:bidi="ar-SA"/>
                      <w:highlight w:val="none"/>
                    </w:rPr>
                  </w:pPr>
                  <w:r>
                    <w:rPr>
                      <w:rFonts w:ascii="Times New Roman" w:eastAsia="宋体" w:cs="Times New Roman" w:hAnsi="Times New Roman" w:hint="eastAsia"/>
                      <w:color w:val="auto"/>
                      <w:kern w:val="0"/>
                      <w:sz w:val="21"/>
                      <w:szCs w:val="21"/>
                      <w:lang w:val="en-US" w:eastAsia="zh-CN" w:bidi="ar-SA"/>
                      <w:highlight w:val="none"/>
                    </w:rPr>
                    <w:t>（</w:t>
                  </w:r>
                  <w:r>
                    <w:rPr>
                      <w:rFonts w:ascii="Times New Roman" w:eastAsia="宋体" w:cs="Times New Roman" w:hAnsi="Times New Roman"/>
                      <w:color w:val="auto"/>
                      <w:kern w:val="0"/>
                      <w:sz w:val="21"/>
                      <w:szCs w:val="21"/>
                      <w:lang w:val="en-US" w:eastAsia="zh-CN" w:bidi="ar-SA"/>
                      <w:highlight w:val="none"/>
                    </w:rPr>
                    <w:t>八</w:t>
                  </w:r>
                  <w:r>
                    <w:rPr>
                      <w:rFonts w:ascii="Times New Roman" w:eastAsia="宋体" w:cs="Times New Roman" w:hAnsi="Times New Roman" w:hint="eastAsia"/>
                      <w:color w:val="auto"/>
                      <w:kern w:val="0"/>
                      <w:sz w:val="21"/>
                      <w:szCs w:val="21"/>
                      <w:lang w:val="en-US" w:eastAsia="zh-CN" w:bidi="ar-SA"/>
                      <w:highlight w:val="none"/>
                    </w:rPr>
                    <w:t>）</w:t>
                  </w:r>
                  <w:r>
                    <w:rPr>
                      <w:rFonts w:ascii="Times New Roman" w:eastAsia="宋体" w:cs="Times New Roman" w:hAnsi="Times New Roman"/>
                      <w:color w:val="auto"/>
                      <w:kern w:val="0"/>
                      <w:sz w:val="21"/>
                      <w:szCs w:val="21"/>
                      <w:lang w:val="en-US" w:eastAsia="zh-CN" w:bidi="ar-SA"/>
                      <w:highlight w:val="none"/>
                    </w:rPr>
                    <w:t>健全完善环境监测体系，强化环境风险防范。健全完善包括环境空气、地表水、地下水、土壤等环境要素的监控体系;强化产业园风险防控体系的建立，健全应急响应联动机制。严格落实《报告书》提出的各项环境风险防控措施，加强产业园与周边敏感区环境风险防范设施建设，提升环境风险防控和应急响应能力，保障区域环境安全。</w:t>
                  </w:r>
                </w:p>
              </w:tc>
              <w:tc>
                <w:tcPr>
                  <w:tcW w:w="3610" w:type="dxa"/>
                  <w:tcBorders>
                    <w:tl2br w:val="nil"/>
                    <w:tr2bl w:val="nil"/>
                  </w:tcBorders>
                  <w:vAlign w:val="center"/>
                </w:tcPr>
                <w:p>
                  <w:pPr>
                    <w:pStyle w:val="16"/>
                    <w:keepNext w:val="0"/>
                    <w:keepLines w:val="0"/>
                    <w:pageBreakBefore w:val="0"/>
                    <w:widowControl w:val="0"/>
                    <w:kinsoku/>
                    <w:wordWrap/>
                    <w:overflowPunct/>
                    <w:topLinePunct w:val="0"/>
                    <w:autoSpaceDE/>
                    <w:autoSpaceDN/>
                    <w:bidi w:val="0"/>
                    <w:adjustRightInd w:val="0"/>
                    <w:snapToGrid w:val="0"/>
                    <w:spacing w:line="240" w:lineRule="auto"/>
                    <w:ind w:firstLineChars="0" w:firstLine="0"/>
                    <w:jc w:val="both"/>
                    <w:textAlignment w:val="auto"/>
                    <w:rPr>
                      <w:rFonts w:ascii="Segoe UI" w:eastAsia="Segoe UI" w:cs="Segoe UI" w:hAnsi="Segoe UI" w:hint="eastAsia"/>
                      <w:i w:val="0"/>
                      <w:iCs w:val="0"/>
                      <w:caps w:val="0"/>
                      <w:smallCaps w:val="0"/>
                      <w:color w:val="auto"/>
                      <w:spacing w:val="0"/>
                      <w:sz w:val="21"/>
                      <w:szCs w:val="21"/>
                      <w:shd w:val="clear" w:color="auto" w:fill="FFFFFF"/>
                      <w:lang w:val="en-US" w:eastAsia="zh-CN"/>
                      <w:highlight w:val="none"/>
                    </w:rPr>
                  </w:pPr>
                  <w:r>
                    <w:rPr>
                      <w:rFonts w:ascii="Segoe UI" w:eastAsia="Segoe UI" w:cs="Segoe UI" w:hAnsi="Segoe UI"/>
                      <w:i w:val="0"/>
                      <w:iCs w:val="0"/>
                      <w:caps w:val="0"/>
                      <w:smallCaps w:val="0"/>
                      <w:color w:val="auto"/>
                      <w:spacing w:val="0"/>
                      <w:sz w:val="21"/>
                      <w:szCs w:val="21"/>
                      <w:shd w:val="clear" w:color="auto" w:fill="FFFFFF"/>
                      <w:highlight w:val="none"/>
                    </w:rPr>
                    <w:t>项目要求建设完成后进行排污许可证申领，并按规定开展监测。项目将成立应急组织机构，制定应急预案，定期开展应急演练，强化风险防控。</w:t>
                  </w:r>
                </w:p>
              </w:tc>
            </w:tr>
          </w:tbl>
          <w:p>
            <w:pPr>
              <w:keepNext w:val="0"/>
              <w:keepLines w:val="0"/>
              <w:pageBreakBefore w:val="0"/>
              <w:widowControl/>
              <w:suppressLineNumbers w:val="0"/>
              <w:kinsoku/>
              <w:wordWrap/>
              <w:overflowPunct/>
              <w:topLinePunct w:val="0"/>
              <w:autoSpaceDE/>
              <w:autoSpaceDN/>
              <w:bidi w:val="0"/>
              <w:adjustRightInd/>
              <w:snapToGrid/>
              <w:spacing w:line="460" w:lineRule="exact"/>
              <w:ind w:firstLineChars="200" w:firstLine="480"/>
              <w:jc w:val="both"/>
              <w:textAlignment w:val="auto"/>
              <w:rPr>
                <w:rFonts w:ascii="Times New Roman" w:eastAsia="宋体" w:cs="Times New Roman" w:hAnsi="Times New Roman"/>
                <w:color w:val="auto"/>
                <w:kern w:val="0"/>
                <w:sz w:val="24"/>
                <w:szCs w:val="20"/>
                <w:lang w:val="en-US" w:eastAsia="zh-CN" w:bidi="ar-SA"/>
                <w:highlight w:val="none"/>
              </w:rPr>
            </w:pPr>
            <w:r>
              <w:rPr>
                <w:rFonts w:ascii="Times New Roman" w:eastAsia="宋体" w:cs="Times New Roman" w:hAnsi="Times New Roman" w:hint="eastAsia"/>
                <w:color w:val="auto"/>
                <w:kern w:val="0"/>
                <w:sz w:val="24"/>
                <w:szCs w:val="20"/>
                <w:lang w:val="en-US" w:eastAsia="zh-CN" w:bidi="ar-SA"/>
                <w:highlight w:val="none"/>
              </w:rPr>
              <w:t>综上所述，项目符合审查意见中的各项要求。</w:t>
            </w:r>
          </w:p>
          <w:p>
            <w:pPr>
              <w:keepNext w:val="0"/>
              <w:keepLines w:val="0"/>
              <w:pageBreakBefore w:val="0"/>
              <w:widowControl/>
              <w:suppressLineNumbers w:val="0"/>
              <w:kinsoku/>
              <w:wordWrap/>
              <w:overflowPunct/>
              <w:topLinePunct w:val="0"/>
              <w:autoSpaceDE/>
              <w:autoSpaceDN/>
              <w:bidi w:val="0"/>
              <w:adjustRightInd/>
              <w:snapToGrid/>
              <w:spacing w:line="460" w:lineRule="exact"/>
              <w:ind w:firstLineChars="200" w:firstLine="480"/>
              <w:jc w:val="both"/>
              <w:textAlignment w:val="auto"/>
              <w:rPr>
                <w:rFonts w:ascii="Times New Roman" w:eastAsia="宋体" w:cs="Times New Roman" w:hAnsi="Times New Roman" w:hint="eastAsia"/>
                <w:b/>
                <w:bCs/>
                <w:color w:val="auto"/>
                <w:kern w:val="0"/>
                <w:sz w:val="24"/>
                <w:szCs w:val="20"/>
                <w:lang w:val="en-US" w:eastAsia="zh-CN" w:bidi="ar-SA"/>
                <w:highlight w:val="none"/>
              </w:rPr>
            </w:pPr>
            <w:r>
              <w:rPr>
                <w:rFonts w:ascii="Times New Roman" w:eastAsia="宋体" w:cs="Times New Roman" w:hAnsi="Times New Roman"/>
                <w:b/>
                <w:bCs/>
                <w:color w:val="auto"/>
                <w:kern w:val="0"/>
                <w:sz w:val="24"/>
                <w:szCs w:val="20"/>
                <w:lang w:val="en-US" w:eastAsia="zh-CN" w:bidi="ar-SA"/>
                <w:highlight w:val="none"/>
              </w:rPr>
              <w:t>4</w:t>
            </w:r>
            <w:r>
              <w:rPr>
                <w:rFonts w:ascii="Times New Roman" w:eastAsia="宋体" w:cs="Times New Roman" w:hAnsi="Times New Roman" w:hint="eastAsia"/>
                <w:b/>
                <w:bCs/>
                <w:color w:val="auto"/>
                <w:kern w:val="0"/>
                <w:sz w:val="24"/>
                <w:szCs w:val="20"/>
                <w:lang w:val="en-US" w:eastAsia="zh-CN" w:bidi="ar-SA"/>
                <w:highlight w:val="none"/>
              </w:rPr>
              <w:t>、规划环评</w:t>
            </w:r>
            <w:r>
              <w:rPr>
                <w:rFonts w:cs="Times New Roman" w:hint="eastAsia"/>
                <w:b/>
                <w:bCs/>
                <w:color w:val="auto"/>
                <w:kern w:val="0"/>
                <w:sz w:val="24"/>
                <w:szCs w:val="20"/>
                <w:lang w:val="en-US" w:eastAsia="zh-CN" w:bidi="ar-SA"/>
                <w:highlight w:val="none"/>
              </w:rPr>
              <w:t>准入要求</w:t>
            </w:r>
            <w:r>
              <w:rPr>
                <w:rFonts w:ascii="Times New Roman" w:eastAsia="宋体" w:cs="Times New Roman" w:hAnsi="Times New Roman" w:hint="eastAsia"/>
                <w:b/>
                <w:bCs/>
                <w:color w:val="auto"/>
                <w:kern w:val="0"/>
                <w:sz w:val="24"/>
                <w:szCs w:val="20"/>
                <w:lang w:val="en-US" w:eastAsia="zh-CN" w:bidi="ar-SA"/>
                <w:highlight w:val="none"/>
              </w:rPr>
              <w:t xml:space="preserve"> </w:t>
            </w:r>
          </w:p>
          <w:p>
            <w:pPr>
              <w:keepNext w:val="0"/>
              <w:keepLines w:val="0"/>
              <w:pageBreakBefore w:val="0"/>
              <w:widowControl/>
              <w:suppressLineNumbers w:val="0"/>
              <w:kinsoku/>
              <w:wordWrap/>
              <w:overflowPunct/>
              <w:topLinePunct w:val="0"/>
              <w:autoSpaceDE/>
              <w:autoSpaceDN/>
              <w:bidi w:val="0"/>
              <w:adjustRightInd/>
              <w:snapToGrid/>
              <w:spacing w:line="460" w:lineRule="exact"/>
              <w:ind w:firstLineChars="200" w:firstLine="480"/>
              <w:jc w:val="both"/>
              <w:textAlignment w:val="auto"/>
              <w:rPr>
                <w:rFonts w:ascii="Times New Roman" w:eastAsia="宋体" w:cs="Times New Roman" w:hAnsi="Times New Roman" w:hint="eastAsia"/>
                <w:color w:val="auto"/>
                <w:kern w:val="0"/>
                <w:sz w:val="24"/>
                <w:szCs w:val="20"/>
                <w:lang w:val="en-US" w:eastAsia="zh-CN" w:bidi="ar-SA"/>
                <w:highlight w:val="none"/>
              </w:rPr>
            </w:pPr>
            <w:r>
              <w:rPr>
                <w:rFonts w:ascii="Times New Roman" w:eastAsia="宋体" w:cs="Times New Roman" w:hAnsi="Times New Roman" w:hint="eastAsia"/>
                <w:color w:val="auto"/>
                <w:kern w:val="0"/>
                <w:sz w:val="24"/>
                <w:szCs w:val="20"/>
                <w:lang w:val="en-US" w:eastAsia="zh-CN" w:bidi="ar-SA"/>
                <w:highlight w:val="none"/>
              </w:rPr>
              <w:t>本项目与</w:t>
            </w:r>
            <w:r>
              <w:rPr>
                <w:rFonts w:ascii="宋体" w:eastAsia="宋体" w:cs="宋体" w:hAnsi="宋体" w:hint="eastAsia"/>
                <w:color w:val="auto"/>
                <w:kern w:val="0"/>
                <w:sz w:val="24"/>
                <w:szCs w:val="24"/>
                <w:lang w:val="en-US" w:eastAsia="zh-CN"/>
                <w:highlight w:val="none"/>
              </w:rPr>
              <w:t>河北石家庄装备制造产业园准入要求</w:t>
            </w:r>
            <w:r>
              <w:rPr>
                <w:rFonts w:ascii="Times New Roman" w:eastAsia="宋体" w:cs="Times New Roman" w:hAnsi="Times New Roman" w:hint="eastAsia"/>
                <w:color w:val="auto"/>
                <w:kern w:val="0"/>
                <w:sz w:val="24"/>
                <w:szCs w:val="20"/>
                <w:lang w:val="en-US" w:eastAsia="zh-CN" w:bidi="ar-SA"/>
                <w:highlight w:val="none"/>
              </w:rPr>
              <w:t>符合性分析见下表：</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jc w:val="center"/>
              <w:textAlignment w:val="auto"/>
              <w:rPr>
                <w:rFonts w:ascii="Times New Roman" w:eastAsia="宋体" w:cs="Times New Roman" w:hAnsi="Times New Roman"/>
                <w:b/>
                <w:bCs/>
                <w:color w:val="auto"/>
                <w:kern w:val="0"/>
                <w:sz w:val="24"/>
                <w:szCs w:val="20"/>
                <w:lang w:val="en-US" w:eastAsia="zh-CN" w:bidi="ar-SA"/>
                <w:highlight w:val="none"/>
              </w:rPr>
            </w:pPr>
            <w:r>
              <w:rPr>
                <w:rFonts w:ascii="Times New Roman" w:eastAsia="宋体" w:cs="Times New Roman" w:hAnsi="Times New Roman" w:hint="eastAsia"/>
                <w:b/>
                <w:bCs/>
                <w:color w:val="auto"/>
                <w:kern w:val="0"/>
                <w:sz w:val="24"/>
                <w:szCs w:val="20"/>
                <w:lang w:val="en-US" w:eastAsia="zh-CN" w:bidi="ar-SA"/>
                <w:highlight w:val="none"/>
              </w:rPr>
              <w:t>表</w:t>
            </w:r>
            <w:r>
              <w:rPr>
                <w:rFonts w:ascii="Times New Roman" w:eastAsia="宋体" w:cs="Times New Roman" w:hAnsi="Times New Roman"/>
                <w:b/>
                <w:bCs/>
                <w:color w:val="auto"/>
                <w:kern w:val="0"/>
                <w:sz w:val="24"/>
                <w:szCs w:val="20"/>
                <w:lang w:val="en-US" w:eastAsia="zh-CN" w:bidi="ar-SA"/>
                <w:highlight w:val="none"/>
              </w:rPr>
              <w:t>1-</w:t>
            </w:r>
            <w:r>
              <w:rPr>
                <w:rFonts w:cs="Times New Roman" w:hint="eastAsia"/>
                <w:b/>
                <w:bCs/>
                <w:color w:val="auto"/>
                <w:kern w:val="0"/>
                <w:sz w:val="24"/>
                <w:szCs w:val="20"/>
                <w:lang w:val="en-US" w:eastAsia="zh-CN" w:bidi="ar-SA"/>
                <w:highlight w:val="none"/>
              </w:rPr>
              <w:t>6</w:t>
            </w:r>
            <w:r>
              <w:rPr>
                <w:rFonts w:ascii="Times New Roman" w:eastAsia="宋体" w:cs="Times New Roman" w:hAnsi="Times New Roman"/>
                <w:b/>
                <w:bCs/>
                <w:color w:val="auto"/>
                <w:kern w:val="0"/>
                <w:sz w:val="24"/>
                <w:szCs w:val="20"/>
                <w:lang w:val="en-US" w:eastAsia="zh-CN" w:bidi="ar-SA"/>
                <w:highlight w:val="none"/>
              </w:rPr>
              <w:t xml:space="preserve"> </w:t>
            </w:r>
            <w:r>
              <w:rPr>
                <w:rFonts w:ascii="Times New Roman" w:eastAsia="宋体" w:cs="Times New Roman" w:hAnsi="Times New Roman" w:hint="eastAsia"/>
                <w:b/>
                <w:bCs/>
                <w:color w:val="auto"/>
                <w:kern w:val="0"/>
                <w:sz w:val="24"/>
                <w:szCs w:val="20"/>
                <w:lang w:val="en-US" w:eastAsia="zh-CN" w:bidi="ar-SA"/>
                <w:highlight w:val="none"/>
              </w:rPr>
              <w:t xml:space="preserve">  项目与河北石家庄装备制造产业园准入要求符合性分析一览表</w:t>
            </w:r>
          </w:p>
          <w:tbl>
            <w:tblPr>
              <w:jc w:val="center"/>
              <w:tblW w:w="4998" w:type="pct"/>
              <w:tblBorders>
                <w:top w:val="single" w:sz="12" w:space="0" w:color="auto"/>
                <w:left w:val="none" w:sz="0" w:space="0" w:color="auto"/>
                <w:bottom w:val="single" w:sz="12" w:space="0" w:color="auto"/>
                <w:right w:val="none" w:sz="0" w:space="0" w:color="auto"/>
                <w:insideH w:val="single" w:sz="4" w:space="0" w:color="auto"/>
                <w:insideV w:val="single" w:sz="4" w:space="0" w:color="auto"/>
              </w:tblBorders>
              <w:tblCellMar>
                <w:top w:w="0" w:type="dxa"/>
                <w:left w:w="0" w:type="dxa"/>
                <w:bottom w:w="0" w:type="dxa"/>
                <w:right w:w="0" w:type="dxa"/>
              </w:tblCellMar>
              <w:tblLook w:val="0600" w:firstRow="0" w:lastRow="0" w:firstColumn="0" w:lastColumn="0" w:noHBand="1" w:noVBand="1"/>
            </w:tblPr>
            <w:tblGrid>
              <w:gridCol w:w="348"/>
              <w:gridCol w:w="543"/>
              <w:gridCol w:w="3436"/>
              <w:gridCol w:w="3271"/>
            </w:tblGrid>
            <w:tr>
              <w:trPr>
                <w:trHeight w:val="397"/>
              </w:trPr>
              <w:tc>
                <w:tcPr>
                  <w:tcW w:w="586" w:type="pct"/>
                  <w:gridSpan w:val="2"/>
                  <w:tcBorders>
                    <w:tl2br w:val="nil"/>
                    <w:tr2bl w:val="nil"/>
                  </w:tcBorders>
                  <w:vAlign w:val="center"/>
                </w:tcPr>
                <w:p>
                  <w:pPr>
                    <w:pStyle w:val="68"/>
                    <w:keepNext w:val="0"/>
                    <w:keepLines w:val="0"/>
                    <w:pageBreakBefore w:val="0"/>
                    <w:widowControl w:val="0"/>
                    <w:tabs>
                      <w:tab w:val="left" w:pos="0"/>
                      <w:tab w:val="left" w:pos="360"/>
                      <w:tab w:val="left" w:pos="900"/>
                    </w:tabs>
                    <w:kinsoku/>
                    <w:wordWrap/>
                    <w:overflowPunct/>
                    <w:topLinePunct/>
                    <w:autoSpaceDE w:val="0"/>
                    <w:autoSpaceDN w:val="0"/>
                    <w:bidi w:val="0"/>
                    <w:adjustRightInd w:val="0"/>
                    <w:snapToGrid w:val="0"/>
                    <w:spacing w:line="240" w:lineRule="auto"/>
                    <w:textAlignment w:val="baseline"/>
                    <w:rPr>
                      <w:rFonts w:ascii="Times New Roman" w:eastAsia="宋体" w:cs="Times New Roman" w:hAnsi="Times New Roman"/>
                      <w:b/>
                      <w:bCs w:val="0"/>
                      <w:color w:val="auto"/>
                      <w:sz w:val="21"/>
                      <w:szCs w:val="21"/>
                      <w:lang w:eastAsia="zh-CN"/>
                      <w:highlight w:val="none"/>
                    </w:rPr>
                  </w:pPr>
                  <w:r>
                    <w:rPr>
                      <w:rFonts w:ascii="Times New Roman" w:cs="Times New Roman" w:hAnsi="Times New Roman"/>
                      <w:b/>
                      <w:bCs w:val="0"/>
                      <w:color w:val="auto"/>
                      <w:sz w:val="21"/>
                      <w:szCs w:val="21"/>
                      <w:lang w:val="en-US" w:eastAsia="zh-CN"/>
                      <w:highlight w:val="none"/>
                    </w:rPr>
                    <w:t>项目</w:t>
                  </w:r>
                </w:p>
              </w:tc>
              <w:tc>
                <w:tcPr>
                  <w:tcW w:w="2261" w:type="pct"/>
                  <w:tcBorders>
                    <w:tl2br w:val="nil"/>
                    <w:tr2bl w:val="nil"/>
                  </w:tcBorders>
                  <w:vAlign w:val="center"/>
                </w:tcPr>
                <w:p>
                  <w:pPr>
                    <w:pStyle w:val="56"/>
                    <w:keepNext w:val="0"/>
                    <w:keepLines w:val="0"/>
                    <w:pageBreakBefore w:val="0"/>
                    <w:widowControl w:val="0"/>
                    <w:kinsoku/>
                    <w:wordWrap/>
                    <w:overflowPunct/>
                    <w:topLinePunct w:val="0"/>
                    <w:autoSpaceDE/>
                    <w:autoSpaceDN/>
                    <w:bidi w:val="0"/>
                    <w:adjustRightInd w:val="0"/>
                    <w:snapToGrid/>
                    <w:spacing w:line="240" w:lineRule="auto"/>
                    <w:ind w:firstLineChars="0" w:firstLine="0"/>
                    <w:jc w:val="center"/>
                    <w:textAlignment w:val="baseline"/>
                    <w:rPr>
                      <w:rFonts w:ascii="Times New Roman" w:cs="Times New Roman" w:hAnsi="Times New Roman"/>
                      <w:b/>
                      <w:bCs w:val="0"/>
                      <w:color w:val="auto"/>
                      <w:sz w:val="21"/>
                      <w:szCs w:val="21"/>
                      <w:lang w:val="en-US"/>
                      <w:highlight w:val="none"/>
                    </w:rPr>
                  </w:pPr>
                  <w:r>
                    <w:rPr>
                      <w:rFonts w:ascii="Times New Roman" w:cs="Times New Roman" w:hAnsi="Times New Roman"/>
                      <w:b/>
                      <w:bCs w:val="0"/>
                      <w:color w:val="auto"/>
                      <w:sz w:val="21"/>
                      <w:szCs w:val="21"/>
                      <w:lang w:val="en-US" w:eastAsia="zh-CN"/>
                      <w:highlight w:val="none"/>
                    </w:rPr>
                    <w:t>准入要求</w:t>
                  </w:r>
                </w:p>
              </w:tc>
              <w:tc>
                <w:tcPr>
                  <w:tcW w:w="2152" w:type="pct"/>
                  <w:tcBorders>
                    <w:tl2br w:val="nil"/>
                    <w:tr2bl w:val="nil"/>
                  </w:tcBorders>
                  <w:vAlign w:val="center"/>
                </w:tcPr>
                <w:p>
                  <w:pPr>
                    <w:pStyle w:val="56"/>
                    <w:keepNext w:val="0"/>
                    <w:keepLines w:val="0"/>
                    <w:pageBreakBefore w:val="0"/>
                    <w:widowControl w:val="0"/>
                    <w:kinsoku/>
                    <w:wordWrap/>
                    <w:overflowPunct/>
                    <w:topLinePunct w:val="0"/>
                    <w:autoSpaceDE/>
                    <w:autoSpaceDN/>
                    <w:bidi w:val="0"/>
                    <w:adjustRightInd w:val="0"/>
                    <w:snapToGrid/>
                    <w:spacing w:line="240" w:lineRule="auto"/>
                    <w:ind w:firstLineChars="0" w:firstLine="0"/>
                    <w:jc w:val="center"/>
                    <w:textAlignment w:val="baseline"/>
                    <w:rPr>
                      <w:rFonts w:ascii="Times New Roman" w:cs="Times New Roman" w:hAnsi="Times New Roman"/>
                      <w:color w:val="auto"/>
                      <w:sz w:val="21"/>
                      <w:szCs w:val="21"/>
                      <w:highlight w:val="none"/>
                    </w:rPr>
                  </w:pPr>
                  <w:r>
                    <w:rPr>
                      <w:rFonts w:ascii="Times New Roman" w:cs="Times New Roman" w:hAnsi="Times New Roman"/>
                      <w:b/>
                      <w:bCs/>
                      <w:color w:val="auto"/>
                      <w:sz w:val="21"/>
                      <w:szCs w:val="21"/>
                      <w:lang w:val="en-US" w:eastAsia="zh-CN"/>
                      <w:highlight w:val="none"/>
                    </w:rPr>
                    <w:t>项目情况</w:t>
                  </w:r>
                </w:p>
              </w:tc>
            </w:tr>
            <w:tr>
              <w:trPr>
                <w:trHeight w:val="397"/>
              </w:trPr>
              <w:tc>
                <w:tcPr>
                  <w:tcW w:w="586" w:type="pct"/>
                  <w:gridSpan w:val="2"/>
                  <w:tcBorders>
                    <w:tl2br w:val="nil"/>
                    <w:tr2bl w:val="nil"/>
                  </w:tcBorders>
                  <w:vAlign w:val="center"/>
                </w:tcPr>
                <w:p>
                  <w:pPr>
                    <w:pStyle w:val="68"/>
                    <w:keepNext w:val="0"/>
                    <w:keepLines w:val="0"/>
                    <w:pageBreakBefore w:val="0"/>
                    <w:widowControl w:val="0"/>
                    <w:tabs>
                      <w:tab w:val="left" w:pos="0"/>
                      <w:tab w:val="left" w:pos="360"/>
                      <w:tab w:val="left" w:pos="900"/>
                    </w:tabs>
                    <w:kinsoku/>
                    <w:wordWrap/>
                    <w:overflowPunct/>
                    <w:topLinePunct/>
                    <w:autoSpaceDE w:val="0"/>
                    <w:autoSpaceDN w:val="0"/>
                    <w:bidi w:val="0"/>
                    <w:adjustRightInd w:val="0"/>
                    <w:snapToGrid w:val="0"/>
                    <w:spacing w:line="240" w:lineRule="auto"/>
                    <w:textAlignment w:val="baseline"/>
                    <w:rPr>
                      <w:rFonts w:ascii="Times New Roman" w:eastAsia="宋体" w:cs="Times New Roman" w:hAnsi="Times New Roman"/>
                      <w:color w:val="auto"/>
                      <w:sz w:val="21"/>
                      <w:szCs w:val="21"/>
                      <w:lang w:val="en-US" w:eastAsia="zh-CN"/>
                      <w:highlight w:val="none"/>
                    </w:rPr>
                  </w:pPr>
                  <w:r>
                    <w:rPr>
                      <w:rFonts w:ascii="Times New Roman" w:cs="Times New Roman" w:hAnsi="Times New Roman"/>
                      <w:color w:val="auto"/>
                      <w:sz w:val="21"/>
                      <w:szCs w:val="21"/>
                      <w:lang w:val="en-US" w:eastAsia="zh-CN"/>
                      <w:highlight w:val="none"/>
                    </w:rPr>
                    <w:t>总体要求</w:t>
                  </w:r>
                </w:p>
              </w:tc>
              <w:tc>
                <w:tcPr>
                  <w:tcW w:w="2261" w:type="pct"/>
                  <w:tcBorders>
                    <w:tl2br w:val="nil"/>
                    <w:tr2bl w:val="nil"/>
                  </w:tcBorders>
                  <w:vAlign w:val="center"/>
                </w:tcPr>
                <w:p>
                  <w:pPr>
                    <w:keepNext w:val="0"/>
                    <w:keepLines w:val="0"/>
                    <w:pageBreakBefore w:val="0"/>
                    <w:widowControl/>
                    <w:suppressLineNumbers w:val="0"/>
                    <w:kinsoku/>
                    <w:wordWrap/>
                    <w:overflowPunct/>
                    <w:bidi w:val="0"/>
                    <w:jc w:val="both"/>
                    <w:rPr>
                      <w:rFonts w:ascii="Times New Roman" w:eastAsia="宋体" w:cs="Times New Roman" w:hAnsi="Times New Roman"/>
                      <w:color w:val="auto"/>
                      <w:kern w:val="0"/>
                      <w:sz w:val="21"/>
                      <w:szCs w:val="21"/>
                      <w:lang w:val="en-US" w:eastAsia="zh-CN" w:bidi="ar-SA"/>
                      <w:highlight w:val="none"/>
                    </w:rPr>
                  </w:pPr>
                  <w:r>
                    <w:rPr>
                      <w:rFonts w:ascii="Times New Roman" w:eastAsia="宋体" w:cs="Times New Roman" w:hAnsi="Times New Roman"/>
                      <w:color w:val="auto"/>
                      <w:kern w:val="0"/>
                      <w:sz w:val="21"/>
                      <w:szCs w:val="21"/>
                      <w:lang w:val="en-US" w:eastAsia="zh-CN" w:bidi="ar-SA"/>
                      <w:highlight w:val="none"/>
                    </w:rPr>
                    <w:t>1、符合</w:t>
                  </w:r>
                  <w:r>
                    <w:rPr>
                      <w:rFonts w:cs="Times New Roman" w:hint="eastAsia"/>
                      <w:color w:val="auto"/>
                      <w:kern w:val="0"/>
                      <w:sz w:val="21"/>
                      <w:szCs w:val="21"/>
                      <w:lang w:val="en-US" w:eastAsia="zh-CN" w:bidi="ar-SA"/>
                      <w:highlight w:val="none"/>
                    </w:rPr>
                    <w:t>“</w:t>
                  </w:r>
                  <w:r>
                    <w:rPr>
                      <w:rFonts w:ascii="Times New Roman" w:eastAsia="宋体" w:cs="Times New Roman" w:hAnsi="Times New Roman"/>
                      <w:color w:val="auto"/>
                      <w:kern w:val="0"/>
                      <w:sz w:val="21"/>
                      <w:szCs w:val="21"/>
                      <w:lang w:val="en-US" w:eastAsia="zh-CN" w:bidi="ar-SA"/>
                      <w:highlight w:val="none"/>
                    </w:rPr>
                    <w:t>石家庄市</w:t>
                  </w:r>
                  <w:r>
                    <w:rPr>
                      <w:rFonts w:cs="Times New Roman" w:hint="eastAsia"/>
                      <w:color w:val="auto"/>
                      <w:kern w:val="0"/>
                      <w:sz w:val="21"/>
                      <w:szCs w:val="21"/>
                      <w:lang w:val="en-US" w:eastAsia="zh-CN" w:bidi="ar-SA"/>
                      <w:highlight w:val="none"/>
                    </w:rPr>
                    <w:t>“</w:t>
                  </w:r>
                  <w:r>
                    <w:rPr>
                      <w:rFonts w:ascii="Times New Roman" w:eastAsia="宋体" w:cs="Times New Roman" w:hAnsi="Times New Roman"/>
                      <w:color w:val="auto"/>
                      <w:kern w:val="0"/>
                      <w:sz w:val="21"/>
                      <w:szCs w:val="21"/>
                      <w:lang w:val="en-US" w:eastAsia="zh-CN" w:bidi="ar-SA"/>
                      <w:highlight w:val="none"/>
                    </w:rPr>
                    <w:t>三线一单</w:t>
                  </w:r>
                  <w:r>
                    <w:rPr>
                      <w:rFonts w:cs="Times New Roman" w:hint="eastAsia"/>
                      <w:color w:val="auto"/>
                      <w:kern w:val="0"/>
                      <w:sz w:val="21"/>
                      <w:szCs w:val="21"/>
                      <w:lang w:val="en-US" w:eastAsia="zh-CN" w:bidi="ar-SA"/>
                      <w:highlight w:val="none"/>
                    </w:rPr>
                    <w:t>”</w:t>
                  </w:r>
                  <w:r>
                    <w:rPr>
                      <w:rFonts w:ascii="Times New Roman" w:eastAsia="宋体" w:cs="Times New Roman" w:hAnsi="Times New Roman"/>
                      <w:color w:val="auto"/>
                      <w:kern w:val="0"/>
                      <w:sz w:val="21"/>
                      <w:szCs w:val="21"/>
                      <w:lang w:val="en-US" w:eastAsia="zh-CN" w:bidi="ar-SA"/>
                      <w:highlight w:val="none"/>
                    </w:rPr>
                    <w:t>生态环境分区管控意见</w:t>
                  </w:r>
                  <w:r>
                    <w:rPr>
                      <w:rFonts w:cs="Times New Roman" w:hint="eastAsia"/>
                      <w:color w:val="auto"/>
                      <w:kern w:val="0"/>
                      <w:sz w:val="21"/>
                      <w:szCs w:val="21"/>
                      <w:lang w:val="en-US" w:eastAsia="zh-CN" w:bidi="ar-SA"/>
                      <w:highlight w:val="none"/>
                    </w:rPr>
                    <w:t>”</w:t>
                  </w:r>
                  <w:r>
                    <w:rPr>
                      <w:rFonts w:ascii="Times New Roman" w:eastAsia="宋体" w:cs="Times New Roman" w:hAnsi="Times New Roman"/>
                      <w:color w:val="auto"/>
                      <w:kern w:val="0"/>
                      <w:sz w:val="21"/>
                      <w:szCs w:val="21"/>
                      <w:lang w:val="en-US" w:eastAsia="zh-CN" w:bidi="ar-SA"/>
                      <w:highlight w:val="none"/>
                    </w:rPr>
                    <w:t>的动态更新成果中全市总体准入要求，具体内容不再列出；</w:t>
                  </w:r>
                </w:p>
                <w:p>
                  <w:pPr>
                    <w:keepNext w:val="0"/>
                    <w:keepLines w:val="0"/>
                    <w:pageBreakBefore w:val="0"/>
                    <w:widowControl/>
                    <w:suppressLineNumbers w:val="0"/>
                    <w:kinsoku/>
                    <w:wordWrap/>
                    <w:overflowPunct/>
                    <w:bidi w:val="0"/>
                    <w:jc w:val="both"/>
                    <w:rPr>
                      <w:rFonts w:ascii="Times New Roman" w:eastAsia="宋体" w:cs="Times New Roman" w:hAnsi="Times New Roman"/>
                      <w:color w:val="auto"/>
                      <w:kern w:val="0"/>
                      <w:sz w:val="21"/>
                      <w:szCs w:val="21"/>
                      <w:lang w:val="en-US" w:eastAsia="zh-CN" w:bidi="ar-SA"/>
                      <w:highlight w:val="none"/>
                    </w:rPr>
                  </w:pPr>
                  <w:r>
                    <w:rPr>
                      <w:rFonts w:ascii="Times New Roman" w:eastAsia="宋体" w:cs="Times New Roman" w:hAnsi="Times New Roman"/>
                      <w:color w:val="auto"/>
                      <w:kern w:val="0"/>
                      <w:sz w:val="21"/>
                      <w:szCs w:val="21"/>
                      <w:lang w:val="en-US" w:eastAsia="zh-CN" w:bidi="ar-SA"/>
                      <w:highlight w:val="none"/>
                    </w:rPr>
                    <w:t>2、新建、改建、扩建项目需符合生态环境保护相关规划，满足重点污染物排放总量控制要求实施倍量替代，生态环境准入清单和相应行业建设项目环境准入要求、环评审批原则。</w:t>
                  </w:r>
                </w:p>
                <w:p>
                  <w:pPr>
                    <w:keepNext w:val="0"/>
                    <w:keepLines w:val="0"/>
                    <w:pageBreakBefore w:val="0"/>
                    <w:widowControl/>
                    <w:suppressLineNumbers w:val="0"/>
                    <w:kinsoku/>
                    <w:wordWrap/>
                    <w:overflowPunct/>
                    <w:bidi w:val="0"/>
                    <w:jc w:val="both"/>
                    <w:rPr>
                      <w:rFonts w:ascii="Times New Roman" w:eastAsia="宋体" w:cs="Times New Roman" w:hAnsi="Times New Roman"/>
                      <w:color w:val="auto"/>
                      <w:kern w:val="0"/>
                      <w:sz w:val="21"/>
                      <w:szCs w:val="21"/>
                      <w:lang w:val="en-US" w:eastAsia="zh-CN" w:bidi="ar-SA"/>
                      <w:highlight w:val="none"/>
                    </w:rPr>
                  </w:pPr>
                  <w:r>
                    <w:rPr>
                      <w:rFonts w:ascii="Times New Roman" w:eastAsia="宋体" w:cs="Times New Roman" w:hAnsi="Times New Roman"/>
                      <w:color w:val="auto"/>
                      <w:kern w:val="0"/>
                      <w:sz w:val="21"/>
                      <w:szCs w:val="21"/>
                      <w:lang w:val="en-US" w:eastAsia="zh-CN" w:bidi="ar-SA"/>
                      <w:highlight w:val="none"/>
                    </w:rPr>
                    <w:t>3、规划区禁止建设《河北省发展和改革委员会关于加强新建</w:t>
                  </w:r>
                  <w:r>
                    <w:rPr>
                      <w:rFonts w:cs="Times New Roman" w:hint="eastAsia"/>
                      <w:color w:val="auto"/>
                      <w:kern w:val="0"/>
                      <w:sz w:val="21"/>
                      <w:szCs w:val="21"/>
                      <w:lang w:val="en-US" w:eastAsia="zh-CN" w:bidi="ar-SA"/>
                      <w:highlight w:val="none"/>
                    </w:rPr>
                    <w:t>“</w:t>
                  </w:r>
                  <w:r>
                    <w:rPr>
                      <w:rFonts w:ascii="Times New Roman" w:eastAsia="宋体" w:cs="Times New Roman" w:hAnsi="Times New Roman"/>
                      <w:color w:val="auto"/>
                      <w:kern w:val="0"/>
                      <w:sz w:val="21"/>
                      <w:szCs w:val="21"/>
                      <w:lang w:val="en-US" w:eastAsia="zh-CN" w:bidi="ar-SA"/>
                      <w:highlight w:val="none"/>
                    </w:rPr>
                    <w:t>两高</w:t>
                  </w:r>
                  <w:r>
                    <w:rPr>
                      <w:rFonts w:cs="Times New Roman" w:hint="eastAsia"/>
                      <w:color w:val="auto"/>
                      <w:kern w:val="0"/>
                      <w:sz w:val="21"/>
                      <w:szCs w:val="21"/>
                      <w:lang w:val="en-US" w:eastAsia="zh-CN" w:bidi="ar-SA"/>
                      <w:highlight w:val="none"/>
                    </w:rPr>
                    <w:t>”</w:t>
                  </w:r>
                  <w:r>
                    <w:rPr>
                      <w:rFonts w:ascii="Times New Roman" w:eastAsia="宋体" w:cs="Times New Roman" w:hAnsi="Times New Roman"/>
                      <w:color w:val="auto"/>
                      <w:kern w:val="0"/>
                      <w:sz w:val="21"/>
                      <w:szCs w:val="21"/>
                      <w:lang w:val="en-US" w:eastAsia="zh-CN" w:bidi="ar-SA"/>
                      <w:highlight w:val="none"/>
                    </w:rPr>
                    <w:t>项目管理的通知》（冀发改环资[2022]691号）中的</w:t>
                  </w:r>
                  <w:r>
                    <w:rPr>
                      <w:rFonts w:cs="Times New Roman" w:hint="eastAsia"/>
                      <w:color w:val="auto"/>
                      <w:kern w:val="0"/>
                      <w:sz w:val="21"/>
                      <w:szCs w:val="21"/>
                      <w:lang w:val="en-US" w:eastAsia="zh-CN" w:bidi="ar-SA"/>
                      <w:highlight w:val="none"/>
                    </w:rPr>
                    <w:t>“</w:t>
                  </w:r>
                  <w:r>
                    <w:rPr>
                      <w:rFonts w:ascii="Times New Roman" w:eastAsia="宋体" w:cs="Times New Roman" w:hAnsi="Times New Roman"/>
                      <w:color w:val="auto"/>
                      <w:kern w:val="0"/>
                      <w:sz w:val="21"/>
                      <w:szCs w:val="21"/>
                      <w:lang w:val="en-US" w:eastAsia="zh-CN" w:bidi="ar-SA"/>
                      <w:highlight w:val="none"/>
                    </w:rPr>
                    <w:t>两高</w:t>
                  </w:r>
                  <w:r>
                    <w:rPr>
                      <w:rFonts w:cs="Times New Roman" w:hint="eastAsia"/>
                      <w:color w:val="auto"/>
                      <w:kern w:val="0"/>
                      <w:sz w:val="21"/>
                      <w:szCs w:val="21"/>
                      <w:lang w:val="en-US" w:eastAsia="zh-CN" w:bidi="ar-SA"/>
                      <w:highlight w:val="none"/>
                    </w:rPr>
                    <w:t>”</w:t>
                  </w:r>
                  <w:r>
                    <w:rPr>
                      <w:rFonts w:ascii="Times New Roman" w:eastAsia="宋体" w:cs="Times New Roman" w:hAnsi="Times New Roman"/>
                      <w:color w:val="auto"/>
                      <w:kern w:val="0"/>
                      <w:sz w:val="21"/>
                      <w:szCs w:val="21"/>
                      <w:lang w:val="en-US" w:eastAsia="zh-CN" w:bidi="ar-SA"/>
                      <w:highlight w:val="none"/>
                    </w:rPr>
                    <w:t>项目。</w:t>
                  </w:r>
                </w:p>
              </w:tc>
              <w:tc>
                <w:tcPr>
                  <w:tcW w:w="2152" w:type="pct"/>
                  <w:tcBorders>
                    <w:tl2br w:val="nil"/>
                    <w:tr2bl w:val="nil"/>
                  </w:tcBorders>
                  <w:vAlign w:val="center"/>
                </w:tcPr>
                <w:p>
                  <w:pPr>
                    <w:pStyle w:val="68"/>
                    <w:keepNext w:val="0"/>
                    <w:keepLines w:val="0"/>
                    <w:pageBreakBefore w:val="0"/>
                    <w:widowControl w:val="0"/>
                    <w:tabs>
                      <w:tab w:val="left" w:pos="0"/>
                      <w:tab w:val="left" w:pos="360"/>
                      <w:tab w:val="left" w:pos="900"/>
                    </w:tabs>
                    <w:kinsoku/>
                    <w:wordWrap/>
                    <w:overflowPunct/>
                    <w:topLinePunct/>
                    <w:autoSpaceDE w:val="0"/>
                    <w:autoSpaceDN w:val="0"/>
                    <w:bidi w:val="0"/>
                    <w:adjustRightInd w:val="0"/>
                    <w:snapToGrid w:val="0"/>
                    <w:spacing w:line="240" w:lineRule="auto"/>
                    <w:jc w:val="both"/>
                    <w:textAlignment w:val="baseline"/>
                    <w:rPr>
                      <w:rFonts w:ascii="Times New Roman" w:eastAsia="宋体" w:cs="Times New Roman" w:hAnsi="Times New Roman"/>
                      <w:color w:val="auto"/>
                      <w:kern w:val="0"/>
                      <w:sz w:val="21"/>
                      <w:szCs w:val="21"/>
                      <w:lang w:val="en-US" w:eastAsia="zh-CN" w:bidi="ar-SA"/>
                      <w:highlight w:val="none"/>
                    </w:rPr>
                  </w:pPr>
                  <w:r>
                    <w:rPr>
                      <w:rFonts w:ascii="Times New Roman" w:eastAsia="宋体" w:cs="Times New Roman" w:hAnsi="Times New Roman"/>
                      <w:color w:val="auto"/>
                      <w:kern w:val="0"/>
                      <w:sz w:val="21"/>
                      <w:szCs w:val="21"/>
                      <w:lang w:val="en-US" w:eastAsia="zh-CN" w:bidi="ar-SA"/>
                      <w:highlight w:val="none"/>
                    </w:rPr>
                    <w:t>项目符合</w:t>
                  </w:r>
                  <w:r>
                    <w:rPr>
                      <w:rFonts w:cs="Times New Roman" w:hint="eastAsia"/>
                      <w:color w:val="auto"/>
                      <w:kern w:val="0"/>
                      <w:sz w:val="21"/>
                      <w:szCs w:val="21"/>
                      <w:lang w:val="en-US" w:eastAsia="zh-CN" w:bidi="ar-SA"/>
                      <w:highlight w:val="none"/>
                    </w:rPr>
                    <w:t>“</w:t>
                  </w:r>
                  <w:r>
                    <w:rPr>
                      <w:rFonts w:ascii="Times New Roman" w:eastAsia="宋体" w:cs="Times New Roman" w:hAnsi="Times New Roman"/>
                      <w:color w:val="auto"/>
                      <w:kern w:val="0"/>
                      <w:sz w:val="21"/>
                      <w:szCs w:val="21"/>
                      <w:lang w:val="en-US" w:eastAsia="zh-CN" w:bidi="ar-SA"/>
                      <w:highlight w:val="none"/>
                    </w:rPr>
                    <w:t>石家庄市三线一单生态环境分区管控意见</w:t>
                  </w:r>
                  <w:r>
                    <w:rPr>
                      <w:rFonts w:cs="Times New Roman" w:hint="eastAsia"/>
                      <w:color w:val="auto"/>
                      <w:kern w:val="0"/>
                      <w:sz w:val="21"/>
                      <w:szCs w:val="21"/>
                      <w:lang w:val="en-US" w:eastAsia="zh-CN" w:bidi="ar-SA"/>
                      <w:highlight w:val="none"/>
                    </w:rPr>
                    <w:t>”</w:t>
                  </w:r>
                  <w:r>
                    <w:rPr>
                      <w:rFonts w:ascii="Times New Roman" w:eastAsia="宋体" w:cs="Times New Roman" w:hAnsi="Times New Roman"/>
                      <w:color w:val="auto"/>
                      <w:kern w:val="0"/>
                      <w:sz w:val="21"/>
                      <w:szCs w:val="21"/>
                      <w:lang w:val="en-US" w:eastAsia="zh-CN" w:bidi="ar-SA"/>
                      <w:highlight w:val="none"/>
                    </w:rPr>
                    <w:t>的动态更新成果中全市总体准入要求</w:t>
                  </w:r>
                  <w:r>
                    <w:rPr>
                      <w:rFonts w:ascii="Times New Roman" w:cs="Times New Roman" w:hAnsi="Times New Roman"/>
                      <w:color w:val="auto"/>
                      <w:kern w:val="0"/>
                      <w:sz w:val="21"/>
                      <w:szCs w:val="21"/>
                      <w:lang w:val="en-US" w:eastAsia="zh-CN" w:bidi="ar-SA"/>
                      <w:highlight w:val="none"/>
                    </w:rPr>
                    <w:t>；</w:t>
                  </w:r>
                  <w:r>
                    <w:rPr>
                      <w:rFonts w:ascii="Times New Roman" w:eastAsia="宋体" w:cs="Times New Roman" w:hAnsi="Times New Roman"/>
                      <w:color w:val="auto"/>
                      <w:kern w:val="0"/>
                      <w:sz w:val="21"/>
                      <w:szCs w:val="21"/>
                      <w:lang w:val="en-US" w:eastAsia="zh-CN" w:bidi="ar-SA"/>
                      <w:highlight w:val="none"/>
                    </w:rPr>
                    <w:t>本项目不属于</w:t>
                  </w:r>
                  <w:r>
                    <w:rPr>
                      <w:rFonts w:cs="Times New Roman" w:hint="eastAsia"/>
                      <w:color w:val="auto"/>
                      <w:kern w:val="0"/>
                      <w:sz w:val="21"/>
                      <w:szCs w:val="21"/>
                      <w:lang w:val="en-US" w:eastAsia="zh-CN" w:bidi="ar-SA"/>
                      <w:highlight w:val="none"/>
                    </w:rPr>
                    <w:t>“</w:t>
                  </w:r>
                  <w:r>
                    <w:rPr>
                      <w:rFonts w:ascii="Times New Roman" w:eastAsia="宋体" w:cs="Times New Roman" w:hAnsi="Times New Roman"/>
                      <w:color w:val="auto"/>
                      <w:kern w:val="0"/>
                      <w:sz w:val="21"/>
                      <w:szCs w:val="21"/>
                      <w:lang w:val="en-US" w:eastAsia="zh-CN" w:bidi="ar-SA"/>
                      <w:highlight w:val="none"/>
                    </w:rPr>
                    <w:t>两高</w:t>
                  </w:r>
                  <w:r>
                    <w:rPr>
                      <w:rFonts w:cs="Times New Roman" w:hint="eastAsia"/>
                      <w:color w:val="auto"/>
                      <w:kern w:val="0"/>
                      <w:sz w:val="21"/>
                      <w:szCs w:val="21"/>
                      <w:lang w:val="en-US" w:eastAsia="zh-CN" w:bidi="ar-SA"/>
                      <w:highlight w:val="none"/>
                    </w:rPr>
                    <w:t>”</w:t>
                  </w:r>
                  <w:r>
                    <w:rPr>
                      <w:rFonts w:ascii="Times New Roman" w:eastAsia="宋体" w:cs="Times New Roman" w:hAnsi="Times New Roman"/>
                      <w:color w:val="auto"/>
                      <w:kern w:val="0"/>
                      <w:sz w:val="21"/>
                      <w:szCs w:val="21"/>
                      <w:lang w:val="en-US" w:eastAsia="zh-CN" w:bidi="ar-SA"/>
                      <w:highlight w:val="none"/>
                    </w:rPr>
                    <w:t>项目</w:t>
                  </w:r>
                  <w:r>
                    <w:rPr>
                      <w:rFonts w:ascii="Times New Roman" w:cs="Times New Roman" w:hAnsi="Times New Roman"/>
                      <w:color w:val="auto"/>
                      <w:kern w:val="0"/>
                      <w:sz w:val="21"/>
                      <w:szCs w:val="21"/>
                      <w:lang w:val="en-US" w:eastAsia="zh-CN" w:bidi="ar-SA"/>
                      <w:highlight w:val="none"/>
                    </w:rPr>
                    <w:t>。</w:t>
                  </w:r>
                </w:p>
              </w:tc>
            </w:tr>
            <w:tr>
              <w:trPr>
                <w:trHeight w:val="397"/>
              </w:trPr>
              <w:tc>
                <w:tcPr>
                  <w:tcW w:w="229" w:type="pct"/>
                  <w:vMerge w:val="restart"/>
                  <w:tcBorders>
                    <w:tl2br w:val="nil"/>
                    <w:tr2bl w:val="nil"/>
                  </w:tcBorders>
                  <w:vAlign w:val="center"/>
                </w:tcPr>
                <w:p>
                  <w:pPr>
                    <w:keepNext w:val="0"/>
                    <w:keepLines w:val="0"/>
                    <w:pageBreakBefore w:val="0"/>
                    <w:widowControl/>
                    <w:suppressLineNumbers w:val="0"/>
                    <w:kinsoku/>
                    <w:wordWrap/>
                    <w:overflowPunct/>
                    <w:bidi w:val="0"/>
                    <w:jc w:val="center"/>
                    <w:rPr>
                      <w:rFonts w:ascii="Times New Roman" w:eastAsia="宋体" w:cs="Times New Roman" w:hAnsi="Times New Roman"/>
                      <w:color w:val="auto"/>
                      <w:kern w:val="0"/>
                      <w:sz w:val="21"/>
                      <w:szCs w:val="21"/>
                      <w:lang w:val="en-US" w:eastAsia="zh-CN" w:bidi="ar-SA"/>
                      <w:highlight w:val="none"/>
                    </w:rPr>
                  </w:pPr>
                  <w:r>
                    <w:rPr>
                      <w:rFonts w:ascii="Times New Roman" w:eastAsia="宋体" w:cs="Times New Roman" w:hAnsi="Times New Roman"/>
                      <w:color w:val="auto"/>
                      <w:kern w:val="0"/>
                      <w:sz w:val="21"/>
                      <w:szCs w:val="21"/>
                      <w:lang w:val="en-US" w:eastAsia="zh-CN" w:bidi="ar-SA"/>
                      <w:highlight w:val="none"/>
                    </w:rPr>
                    <w:t>河北石家庄装备制造产业园</w:t>
                  </w:r>
                </w:p>
              </w:tc>
              <w:tc>
                <w:tcPr>
                  <w:tcW w:w="356" w:type="pct"/>
                  <w:tcBorders>
                    <w:tl2br w:val="nil"/>
                    <w:tr2bl w:val="nil"/>
                  </w:tcBorders>
                  <w:vAlign w:val="center"/>
                </w:tcPr>
                <w:p>
                  <w:pPr>
                    <w:keepNext w:val="0"/>
                    <w:keepLines w:val="0"/>
                    <w:pageBreakBefore w:val="0"/>
                    <w:widowControl/>
                    <w:suppressLineNumbers w:val="0"/>
                    <w:kinsoku/>
                    <w:wordWrap/>
                    <w:overflowPunct/>
                    <w:bidi w:val="0"/>
                    <w:jc w:val="center"/>
                    <w:rPr>
                      <w:rFonts w:ascii="Times New Roman" w:eastAsia="宋体" w:cs="Times New Roman" w:hAnsi="Times New Roman"/>
                      <w:color w:val="auto"/>
                      <w:kern w:val="0"/>
                      <w:sz w:val="21"/>
                      <w:szCs w:val="21"/>
                      <w:lang w:val="en-US" w:eastAsia="zh-CN" w:bidi="ar-SA"/>
                      <w:highlight w:val="none"/>
                    </w:rPr>
                  </w:pPr>
                  <w:r>
                    <w:rPr>
                      <w:rFonts w:ascii="Times New Roman" w:eastAsia="宋体" w:cs="Times New Roman" w:hAnsi="Times New Roman"/>
                      <w:color w:val="auto"/>
                      <w:kern w:val="0"/>
                      <w:sz w:val="21"/>
                      <w:szCs w:val="21"/>
                      <w:lang w:val="en-US" w:eastAsia="zh-CN" w:bidi="ar-SA"/>
                      <w:highlight w:val="none"/>
                    </w:rPr>
                    <w:t>产业及政策准入管理要求</w:t>
                  </w:r>
                </w:p>
              </w:tc>
              <w:tc>
                <w:tcPr>
                  <w:tcW w:w="2261" w:type="pct"/>
                  <w:tcBorders>
                    <w:tl2br w:val="nil"/>
                    <w:tr2bl w:val="nil"/>
                  </w:tcBorders>
                  <w:vAlign w:val="center"/>
                </w:tcPr>
                <w:p>
                  <w:pPr>
                    <w:keepNext w:val="0"/>
                    <w:keepLines w:val="0"/>
                    <w:pageBreakBefore w:val="0"/>
                    <w:widowControl/>
                    <w:suppressLineNumbers w:val="0"/>
                    <w:kinsoku/>
                    <w:wordWrap/>
                    <w:overflowPunct/>
                    <w:bidi w:val="0"/>
                    <w:jc w:val="both"/>
                    <w:rPr>
                      <w:rFonts w:ascii="Times New Roman" w:eastAsia="宋体" w:cs="Times New Roman" w:hAnsi="Times New Roman"/>
                      <w:color w:val="auto"/>
                      <w:kern w:val="0"/>
                      <w:sz w:val="21"/>
                      <w:szCs w:val="21"/>
                      <w:lang w:val="en-US" w:eastAsia="zh-CN" w:bidi="ar-SA"/>
                      <w:highlight w:val="none"/>
                    </w:rPr>
                  </w:pPr>
                  <w:r>
                    <w:rPr>
                      <w:rFonts w:ascii="Times New Roman" w:eastAsia="宋体" w:cs="Times New Roman" w:hAnsi="Times New Roman"/>
                      <w:color w:val="auto"/>
                      <w:kern w:val="0"/>
                      <w:sz w:val="21"/>
                      <w:szCs w:val="21"/>
                      <w:lang w:val="en-US" w:eastAsia="zh-CN" w:bidi="ar-SA"/>
                      <w:highlight w:val="none"/>
                    </w:rPr>
                    <w:t>1、满足《产业结构调整指导目录》、《产业发展与转移指导目录》的要求。</w:t>
                  </w:r>
                </w:p>
                <w:p>
                  <w:pPr>
                    <w:keepNext w:val="0"/>
                    <w:keepLines w:val="0"/>
                    <w:pageBreakBefore w:val="0"/>
                    <w:widowControl/>
                    <w:suppressLineNumbers w:val="0"/>
                    <w:kinsoku/>
                    <w:wordWrap/>
                    <w:overflowPunct/>
                    <w:bidi w:val="0"/>
                    <w:jc w:val="both"/>
                    <w:rPr>
                      <w:rFonts w:ascii="Times New Roman" w:eastAsia="宋体" w:cs="Times New Roman" w:hAnsi="Times New Roman"/>
                      <w:color w:val="auto"/>
                      <w:kern w:val="0"/>
                      <w:sz w:val="21"/>
                      <w:szCs w:val="21"/>
                      <w:lang w:val="en-US" w:eastAsia="zh-CN" w:bidi="ar-SA"/>
                      <w:highlight w:val="none"/>
                    </w:rPr>
                  </w:pPr>
                  <w:r>
                    <w:rPr>
                      <w:rFonts w:ascii="Times New Roman" w:eastAsia="宋体" w:cs="Times New Roman" w:hAnsi="Times New Roman"/>
                      <w:color w:val="auto"/>
                      <w:kern w:val="0"/>
                      <w:sz w:val="21"/>
                      <w:szCs w:val="21"/>
                      <w:lang w:val="en-US" w:eastAsia="zh-CN" w:bidi="ar-SA"/>
                      <w:highlight w:val="none"/>
                    </w:rPr>
                    <w:t xml:space="preserve">2、入区项目各污染物排放指标必须满足清洁生产指标国内先进水平要求（如有）； </w:t>
                  </w:r>
                </w:p>
                <w:p>
                  <w:pPr>
                    <w:keepNext w:val="0"/>
                    <w:keepLines w:val="0"/>
                    <w:pageBreakBefore w:val="0"/>
                    <w:widowControl/>
                    <w:suppressLineNumbers w:val="0"/>
                    <w:kinsoku/>
                    <w:wordWrap/>
                    <w:overflowPunct/>
                    <w:bidi w:val="0"/>
                    <w:jc w:val="both"/>
                    <w:rPr>
                      <w:rFonts w:ascii="Times New Roman" w:eastAsia="宋体" w:cs="Times New Roman" w:hAnsi="Times New Roman"/>
                      <w:color w:val="auto"/>
                      <w:kern w:val="0"/>
                      <w:sz w:val="21"/>
                      <w:szCs w:val="21"/>
                      <w:lang w:val="en-US" w:eastAsia="zh-CN" w:bidi="ar-SA"/>
                      <w:highlight w:val="none"/>
                    </w:rPr>
                  </w:pPr>
                  <w:r>
                    <w:rPr>
                      <w:rFonts w:ascii="Times New Roman" w:eastAsia="宋体" w:cs="Times New Roman" w:hAnsi="Times New Roman"/>
                      <w:color w:val="auto"/>
                      <w:kern w:val="0"/>
                      <w:sz w:val="21"/>
                      <w:szCs w:val="21"/>
                      <w:lang w:val="en-US" w:eastAsia="zh-CN" w:bidi="ar-SA"/>
                      <w:highlight w:val="none"/>
                    </w:rPr>
                    <w:t>3、严格限制工业涂装、包装印刷等使用高VOCs排放的涂料、胶粘剂等。</w:t>
                  </w:r>
                </w:p>
                <w:p>
                  <w:pPr>
                    <w:keepNext w:val="0"/>
                    <w:keepLines w:val="0"/>
                    <w:pageBreakBefore w:val="0"/>
                    <w:widowControl/>
                    <w:suppressLineNumbers w:val="0"/>
                    <w:kinsoku/>
                    <w:wordWrap/>
                    <w:overflowPunct/>
                    <w:bidi w:val="0"/>
                    <w:jc w:val="both"/>
                    <w:rPr>
                      <w:rFonts w:ascii="Times New Roman" w:eastAsia="宋体" w:cs="Times New Roman" w:hAnsi="Times New Roman"/>
                      <w:color w:val="auto"/>
                      <w:kern w:val="0"/>
                      <w:sz w:val="21"/>
                      <w:szCs w:val="21"/>
                      <w:lang w:val="en-US" w:eastAsia="zh-CN" w:bidi="ar-SA"/>
                      <w:highlight w:val="none"/>
                    </w:rPr>
                  </w:pPr>
                  <w:r>
                    <w:rPr>
                      <w:rFonts w:ascii="Times New Roman" w:eastAsia="宋体" w:cs="Times New Roman" w:hAnsi="Times New Roman"/>
                      <w:color w:val="auto"/>
                      <w:kern w:val="0"/>
                      <w:sz w:val="21"/>
                      <w:szCs w:val="21"/>
                      <w:lang w:val="en-US" w:eastAsia="zh-CN" w:bidi="ar-SA"/>
                      <w:highlight w:val="none"/>
                    </w:rPr>
                    <w:t>4、铸造企业应满足《〈关于推动铸造和锻压行业高质量发展的若干措施〉的通知》（冀工信装[2023]127 号）等动态更新文件的要求。</w:t>
                  </w:r>
                </w:p>
                <w:p>
                  <w:pPr>
                    <w:keepNext w:val="0"/>
                    <w:keepLines w:val="0"/>
                    <w:pageBreakBefore w:val="0"/>
                    <w:widowControl/>
                    <w:suppressLineNumbers w:val="0"/>
                    <w:kinsoku/>
                    <w:wordWrap/>
                    <w:overflowPunct/>
                    <w:bidi w:val="0"/>
                    <w:jc w:val="both"/>
                    <w:rPr>
                      <w:rFonts w:ascii="Times New Roman" w:eastAsia="宋体" w:cs="Times New Roman" w:hAnsi="Times New Roman"/>
                      <w:color w:val="auto"/>
                      <w:kern w:val="0"/>
                      <w:sz w:val="21"/>
                      <w:szCs w:val="21"/>
                      <w:lang w:val="en-US" w:eastAsia="zh-CN" w:bidi="ar-SA"/>
                      <w:highlight w:val="none"/>
                    </w:rPr>
                  </w:pPr>
                  <w:r>
                    <w:rPr>
                      <w:rFonts w:ascii="Times New Roman" w:eastAsia="宋体" w:cs="Times New Roman" w:hAnsi="Times New Roman"/>
                      <w:color w:val="auto"/>
                      <w:kern w:val="0"/>
                      <w:sz w:val="21"/>
                      <w:szCs w:val="21"/>
                      <w:lang w:val="en-US" w:eastAsia="zh-CN" w:bidi="ar-SA"/>
                      <w:highlight w:val="none"/>
                    </w:rPr>
                    <w:t xml:space="preserve">5、禁燃区内任何单位不得新建、扩建高污染燃料燃用设施，不得将其他燃料设施改造为高污染燃料燃用设施。 </w:t>
                  </w:r>
                </w:p>
                <w:p>
                  <w:pPr>
                    <w:keepNext w:val="0"/>
                    <w:keepLines w:val="0"/>
                    <w:pageBreakBefore w:val="0"/>
                    <w:widowControl/>
                    <w:suppressLineNumbers w:val="0"/>
                    <w:kinsoku/>
                    <w:wordWrap/>
                    <w:overflowPunct/>
                    <w:bidi w:val="0"/>
                    <w:jc w:val="both"/>
                    <w:rPr>
                      <w:rFonts w:ascii="Times New Roman" w:eastAsia="宋体" w:cs="Times New Roman" w:hAnsi="Times New Roman"/>
                      <w:color w:val="auto"/>
                      <w:kern w:val="0"/>
                      <w:sz w:val="21"/>
                      <w:szCs w:val="21"/>
                      <w:lang w:val="en-US" w:eastAsia="zh-CN" w:bidi="ar-SA"/>
                      <w:highlight w:val="none"/>
                    </w:rPr>
                  </w:pPr>
                  <w:r>
                    <w:rPr>
                      <w:rFonts w:ascii="Times New Roman" w:eastAsia="宋体" w:cs="Times New Roman" w:hAnsi="Times New Roman"/>
                      <w:color w:val="auto"/>
                      <w:kern w:val="0"/>
                      <w:sz w:val="21"/>
                      <w:szCs w:val="21"/>
                      <w:lang w:val="en-US" w:eastAsia="zh-CN" w:bidi="ar-SA"/>
                      <w:highlight w:val="none"/>
                    </w:rPr>
                    <w:t>6、按照《河北省化工重点监控点认定办法》、《石家庄市化工重点监控点认定程序和管理办法（试行）》要求执行。列入重点化工监控点的企业，在项目审批、建设和管理方面参照化工园区内企业执行。化工重点监控点现状产品中百草枯、可可碱、咖啡因属于《产业结构调整指导目录》（2024版）限制类产品。①石家庄杰克化工有限公司、河北圣泰材料股份有限公司、石家庄驰远化工有限公司（及第一分公司）、河北三农农用化工有限公司、石家庄宝丰化工有限公司、石药创新制药股份有限公司、河北科硕化工有限公司周边无可发展用地，在无用地指标前，用地规模及范围控制在现有厂区内，可根据《石家庄市化工重点监控点认定程序和管理办法》，依法依规在厂区内新建、改建、扩建现有装备产品和产业链上下游项目。②河北圣泰材料股份有限公司子公司河北圣泰锂化新材料科技有限公司周边有闲置用地，在无用地指标前，用地规模及范围控制在现有厂区内，用地指标落实后可根据《石家庄市化工重点监控点认定程序和管理办法》，可依法依规在厂区内或紧邻厂区新建、改建、扩建现有装备产品和产业链上下游项目。</w:t>
                  </w:r>
                </w:p>
                <w:p>
                  <w:pPr>
                    <w:keepNext w:val="0"/>
                    <w:keepLines w:val="0"/>
                    <w:pageBreakBefore w:val="0"/>
                    <w:widowControl/>
                    <w:suppressLineNumbers w:val="0"/>
                    <w:kinsoku/>
                    <w:wordWrap/>
                    <w:overflowPunct/>
                    <w:bidi w:val="0"/>
                    <w:jc w:val="both"/>
                    <w:rPr>
                      <w:rFonts w:ascii="Times New Roman" w:eastAsia="宋体" w:cs="Times New Roman" w:hAnsi="Times New Roman"/>
                      <w:color w:val="auto"/>
                      <w:kern w:val="0"/>
                      <w:sz w:val="21"/>
                      <w:szCs w:val="21"/>
                      <w:lang w:val="en-US" w:eastAsia="zh-CN" w:bidi="ar-SA"/>
                      <w:highlight w:val="none"/>
                    </w:rPr>
                  </w:pPr>
                  <w:r>
                    <w:rPr>
                      <w:rFonts w:ascii="Times New Roman" w:eastAsia="宋体" w:cs="Times New Roman" w:hAnsi="Times New Roman"/>
                      <w:color w:val="auto"/>
                      <w:kern w:val="0"/>
                      <w:sz w:val="21"/>
                      <w:szCs w:val="21"/>
                      <w:lang w:val="en-US" w:eastAsia="zh-CN" w:bidi="ar-SA"/>
                      <w:highlight w:val="none"/>
                    </w:rPr>
                    <w:t xml:space="preserve">7、严格建设用地土壤环境准入。在永久基本农田集中区域禁止新建重金属、持久性有机污染物类项目。装备制造行业禁止建设集中电镀、镀层、阳极氧化的金属表面处理及热处理加工企业。战略性新兴产业和高新技术产业，新、改、扩建项目包括少量电镀、涂装、酸洗等表面处理工艺，但不属于主要生产工序的，不视为表面处理建设项目，新增少量电镀工序企业，不排放含重金属的废水（采用无氰电镀，禁止采用剧毒的氰化物电解液）。 </w:t>
                  </w:r>
                </w:p>
                <w:p>
                  <w:pPr>
                    <w:keepNext w:val="0"/>
                    <w:keepLines w:val="0"/>
                    <w:pageBreakBefore w:val="0"/>
                    <w:widowControl/>
                    <w:suppressLineNumbers w:val="0"/>
                    <w:kinsoku/>
                    <w:wordWrap/>
                    <w:overflowPunct/>
                    <w:bidi w:val="0"/>
                    <w:jc w:val="both"/>
                    <w:rPr>
                      <w:rFonts w:ascii="Times New Roman" w:eastAsia="宋体" w:cs="Times New Roman" w:hAnsi="Times New Roman"/>
                      <w:color w:val="auto"/>
                      <w:kern w:val="0"/>
                      <w:sz w:val="21"/>
                      <w:szCs w:val="21"/>
                      <w:lang w:val="en-US" w:eastAsia="zh-CN" w:bidi="ar-SA"/>
                      <w:highlight w:val="none"/>
                    </w:rPr>
                  </w:pPr>
                  <w:r>
                    <w:rPr>
                      <w:rFonts w:ascii="Times New Roman" w:eastAsia="宋体" w:cs="Times New Roman" w:hAnsi="Times New Roman"/>
                      <w:color w:val="auto"/>
                      <w:kern w:val="0"/>
                      <w:sz w:val="21"/>
                      <w:szCs w:val="21"/>
                      <w:lang w:val="en-US" w:eastAsia="zh-CN" w:bidi="ar-SA"/>
                      <w:highlight w:val="none"/>
                    </w:rPr>
                    <w:t>8、现有化工企业在不增加污染物的情况下，允许原厂区内改扩建。</w:t>
                  </w:r>
                </w:p>
                <w:p>
                  <w:pPr>
                    <w:keepNext w:val="0"/>
                    <w:keepLines w:val="0"/>
                    <w:pageBreakBefore w:val="0"/>
                    <w:widowControl/>
                    <w:suppressLineNumbers w:val="0"/>
                    <w:kinsoku/>
                    <w:wordWrap/>
                    <w:overflowPunct/>
                    <w:bidi w:val="0"/>
                    <w:jc w:val="both"/>
                    <w:rPr>
                      <w:rFonts w:ascii="Times New Roman" w:eastAsia="宋体" w:cs="Times New Roman" w:hAnsi="Times New Roman"/>
                      <w:color w:val="auto"/>
                      <w:kern w:val="0"/>
                      <w:sz w:val="21"/>
                      <w:szCs w:val="21"/>
                      <w:lang w:val="en-US" w:eastAsia="zh-CN" w:bidi="ar-SA"/>
                      <w:highlight w:val="none"/>
                    </w:rPr>
                  </w:pPr>
                  <w:r>
                    <w:rPr>
                      <w:rFonts w:ascii="Times New Roman" w:eastAsia="宋体" w:cs="Times New Roman" w:hAnsi="Times New Roman"/>
                      <w:color w:val="auto"/>
                      <w:kern w:val="0"/>
                      <w:sz w:val="21"/>
                      <w:szCs w:val="21"/>
                      <w:lang w:val="en-US" w:eastAsia="zh-CN" w:bidi="ar-SA"/>
                      <w:highlight w:val="none"/>
                    </w:rPr>
                    <w:t>9、根据《河北省生态环境分区管控更新成果（2023版）》、《石家庄市生态环境准入清单（2023版）》中地表水环境总体管控要求，严格控制高污染、高耗水行业新增产能。食品加工业根据《关于印发钢铁等十八项工业用水定额的通知》，禁止建设高耗水项目。</w:t>
                  </w:r>
                </w:p>
                <w:p>
                  <w:pPr>
                    <w:keepNext w:val="0"/>
                    <w:keepLines w:val="0"/>
                    <w:pageBreakBefore w:val="0"/>
                    <w:widowControl/>
                    <w:suppressLineNumbers w:val="0"/>
                    <w:kinsoku/>
                    <w:wordWrap/>
                    <w:overflowPunct/>
                    <w:bidi w:val="0"/>
                    <w:jc w:val="both"/>
                    <w:rPr>
                      <w:rFonts w:ascii="Times New Roman" w:eastAsia="宋体" w:cs="Times New Roman" w:hAnsi="Times New Roman"/>
                      <w:color w:val="auto"/>
                      <w:kern w:val="0"/>
                      <w:sz w:val="21"/>
                      <w:szCs w:val="21"/>
                      <w:lang w:val="en-US" w:eastAsia="zh-CN" w:bidi="ar-SA"/>
                      <w:highlight w:val="none"/>
                    </w:rPr>
                  </w:pPr>
                  <w:r>
                    <w:rPr>
                      <w:rFonts w:ascii="Times New Roman" w:eastAsia="宋体" w:cs="Times New Roman" w:hAnsi="Times New Roman"/>
                      <w:color w:val="auto"/>
                      <w:kern w:val="0"/>
                      <w:sz w:val="21"/>
                      <w:szCs w:val="21"/>
                      <w:lang w:val="en-US" w:eastAsia="zh-CN" w:bidi="ar-SA"/>
                      <w:highlight w:val="none"/>
                    </w:rPr>
                    <w:t>10、医药制造业：禁止建设《产业结构调整指导目录（2024 本）》限制类和淘汰类原料药。</w:t>
                  </w:r>
                </w:p>
              </w:tc>
              <w:tc>
                <w:tcPr>
                  <w:tcW w:w="2152" w:type="pct"/>
                  <w:tcBorders>
                    <w:tl2br w:val="nil"/>
                    <w:tr2bl w:val="nil"/>
                  </w:tcBorders>
                  <w:vAlign w:val="center"/>
                </w:tcPr>
                <w:p>
                  <w:pPr>
                    <w:keepNext w:val="0"/>
                    <w:keepLines w:val="0"/>
                    <w:pageBreakBefore w:val="0"/>
                    <w:widowControl/>
                    <w:suppressLineNumbers w:val="0"/>
                    <w:kinsoku/>
                    <w:wordWrap/>
                    <w:overflowPunct/>
                    <w:bidi w:val="0"/>
                    <w:jc w:val="both"/>
                    <w:rPr>
                      <w:rFonts w:ascii="Times New Roman" w:eastAsia="宋体" w:cs="Times New Roman" w:hAnsi="Times New Roman"/>
                      <w:color w:val="auto"/>
                      <w:kern w:val="0"/>
                      <w:sz w:val="21"/>
                      <w:szCs w:val="21"/>
                      <w:lang w:val="en-US" w:eastAsia="zh-CN" w:bidi="ar-SA"/>
                      <w:highlight w:val="none"/>
                    </w:rPr>
                  </w:pPr>
                  <w:r>
                    <w:rPr>
                      <w:rFonts w:ascii="Times New Roman" w:eastAsia="宋体" w:cs="Times New Roman" w:hAnsi="Times New Roman"/>
                      <w:color w:val="auto"/>
                      <w:kern w:val="0"/>
                      <w:sz w:val="21"/>
                      <w:szCs w:val="21"/>
                      <w:lang w:val="en-US" w:eastAsia="zh-CN" w:bidi="ar-SA"/>
                      <w:highlight w:val="none"/>
                    </w:rPr>
                    <w:t>1、项目不属于《产业结构调整指导目录（2024年本）》中限制类、淘汰类项目；</w:t>
                  </w:r>
                </w:p>
                <w:p>
                  <w:pPr>
                    <w:keepNext w:val="0"/>
                    <w:keepLines w:val="0"/>
                    <w:pageBreakBefore w:val="0"/>
                    <w:widowControl/>
                    <w:suppressLineNumbers w:val="0"/>
                    <w:kinsoku/>
                    <w:wordWrap/>
                    <w:overflowPunct/>
                    <w:bidi w:val="0"/>
                    <w:jc w:val="both"/>
                    <w:rPr>
                      <w:rFonts w:ascii="Times New Roman" w:cs="Times New Roman" w:hAnsi="Times New Roman"/>
                      <w:color w:val="auto"/>
                      <w:sz w:val="21"/>
                      <w:szCs w:val="21"/>
                      <w:highlight w:val="none"/>
                    </w:rPr>
                  </w:pPr>
                  <w:r>
                    <w:rPr>
                      <w:rFonts w:ascii="Times New Roman" w:eastAsia="宋体" w:cs="Times New Roman" w:hAnsi="Times New Roman"/>
                      <w:color w:val="auto"/>
                      <w:kern w:val="0"/>
                      <w:sz w:val="21"/>
                      <w:szCs w:val="21"/>
                      <w:lang w:val="en-US" w:eastAsia="zh-CN"/>
                      <w:highlight w:val="none"/>
                    </w:rPr>
                    <w:t>2、不涉及；</w:t>
                  </w:r>
                </w:p>
                <w:p>
                  <w:pPr>
                    <w:keepNext w:val="0"/>
                    <w:keepLines w:val="0"/>
                    <w:pageBreakBefore w:val="0"/>
                    <w:widowControl/>
                    <w:suppressLineNumbers w:val="0"/>
                    <w:kinsoku/>
                    <w:wordWrap/>
                    <w:overflowPunct/>
                    <w:bidi w:val="0"/>
                    <w:jc w:val="both"/>
                    <w:rPr>
                      <w:rFonts w:ascii="Times New Roman" w:cs="Times New Roman" w:hAnsi="Times New Roman"/>
                      <w:color w:val="auto"/>
                      <w:sz w:val="21"/>
                      <w:szCs w:val="21"/>
                      <w:highlight w:val="none"/>
                    </w:rPr>
                  </w:pPr>
                  <w:r>
                    <w:rPr>
                      <w:rFonts w:ascii="Times New Roman" w:eastAsia="宋体" w:cs="Times New Roman" w:hAnsi="Times New Roman"/>
                      <w:color w:val="auto"/>
                      <w:kern w:val="0"/>
                      <w:sz w:val="21"/>
                      <w:szCs w:val="21"/>
                      <w:lang w:val="en-US" w:eastAsia="zh-CN"/>
                      <w:highlight w:val="none"/>
                    </w:rPr>
                    <w:t>3、不涉及；</w:t>
                  </w:r>
                </w:p>
                <w:p>
                  <w:pPr>
                    <w:keepNext w:val="0"/>
                    <w:keepLines w:val="0"/>
                    <w:pageBreakBefore w:val="0"/>
                    <w:widowControl/>
                    <w:suppressLineNumbers w:val="0"/>
                    <w:kinsoku/>
                    <w:wordWrap/>
                    <w:overflowPunct/>
                    <w:bidi w:val="0"/>
                    <w:jc w:val="left"/>
                    <w:rPr>
                      <w:rFonts w:ascii="Times New Roman" w:cs="Times New Roman" w:hAnsi="Times New Roman"/>
                      <w:color w:val="auto"/>
                      <w:sz w:val="21"/>
                      <w:szCs w:val="21"/>
                      <w:highlight w:val="none"/>
                    </w:rPr>
                  </w:pPr>
                  <w:r>
                    <w:rPr>
                      <w:rFonts w:ascii="Times New Roman" w:eastAsia="宋体" w:cs="Times New Roman" w:hAnsi="Times New Roman"/>
                      <w:color w:val="auto"/>
                      <w:kern w:val="0"/>
                      <w:sz w:val="21"/>
                      <w:szCs w:val="21"/>
                      <w:lang w:val="en-US" w:eastAsia="zh-CN"/>
                      <w:highlight w:val="none"/>
                    </w:rPr>
                    <w:t>4、不涉及；</w:t>
                  </w:r>
                </w:p>
                <w:p>
                  <w:pPr>
                    <w:keepNext w:val="0"/>
                    <w:keepLines w:val="0"/>
                    <w:pageBreakBefore w:val="0"/>
                    <w:widowControl/>
                    <w:suppressLineNumbers w:val="0"/>
                    <w:kinsoku/>
                    <w:wordWrap/>
                    <w:overflowPunct/>
                    <w:bidi w:val="0"/>
                    <w:jc w:val="left"/>
                    <w:rPr>
                      <w:rFonts w:ascii="Times New Roman" w:cs="Times New Roman" w:hAnsi="Times New Roman"/>
                      <w:color w:val="auto"/>
                      <w:sz w:val="21"/>
                      <w:szCs w:val="21"/>
                      <w:highlight w:val="none"/>
                    </w:rPr>
                  </w:pPr>
                  <w:r>
                    <w:rPr>
                      <w:rFonts w:ascii="Times New Roman" w:eastAsia="宋体" w:cs="Times New Roman" w:hAnsi="Times New Roman"/>
                      <w:color w:val="auto"/>
                      <w:kern w:val="0"/>
                      <w:sz w:val="21"/>
                      <w:szCs w:val="21"/>
                      <w:lang w:val="en-US" w:eastAsia="zh-CN"/>
                      <w:highlight w:val="none"/>
                    </w:rPr>
                    <w:t>5、不涉及；</w:t>
                  </w:r>
                </w:p>
                <w:p>
                  <w:pPr>
                    <w:keepNext w:val="0"/>
                    <w:keepLines w:val="0"/>
                    <w:pageBreakBefore w:val="0"/>
                    <w:widowControl/>
                    <w:suppressLineNumbers w:val="0"/>
                    <w:kinsoku/>
                    <w:wordWrap/>
                    <w:overflowPunct/>
                    <w:bidi w:val="0"/>
                    <w:jc w:val="left"/>
                    <w:rPr>
                      <w:rFonts w:ascii="Times New Roman" w:cs="Times New Roman" w:hAnsi="Times New Roman"/>
                      <w:color w:val="auto"/>
                      <w:sz w:val="21"/>
                      <w:szCs w:val="21"/>
                      <w:highlight w:val="none"/>
                    </w:rPr>
                  </w:pPr>
                  <w:r>
                    <w:rPr>
                      <w:rFonts w:ascii="Times New Roman" w:eastAsia="宋体" w:cs="Times New Roman" w:hAnsi="Times New Roman"/>
                      <w:color w:val="auto"/>
                      <w:kern w:val="0"/>
                      <w:sz w:val="21"/>
                      <w:szCs w:val="21"/>
                      <w:lang w:val="en-US" w:eastAsia="zh-CN"/>
                      <w:highlight w:val="none"/>
                    </w:rPr>
                    <w:t xml:space="preserve">6、不涉及； </w:t>
                  </w:r>
                </w:p>
                <w:p>
                  <w:pPr>
                    <w:keepNext w:val="0"/>
                    <w:keepLines w:val="0"/>
                    <w:pageBreakBefore w:val="0"/>
                    <w:widowControl/>
                    <w:suppressLineNumbers w:val="0"/>
                    <w:kinsoku/>
                    <w:wordWrap/>
                    <w:overflowPunct/>
                    <w:bidi w:val="0"/>
                    <w:jc w:val="both"/>
                    <w:rPr>
                      <w:rFonts w:ascii="Times New Roman" w:cs="Times New Roman" w:hAnsi="Times New Roman"/>
                      <w:color w:val="auto"/>
                      <w:sz w:val="21"/>
                      <w:szCs w:val="21"/>
                      <w:highlight w:val="none"/>
                    </w:rPr>
                  </w:pPr>
                  <w:r>
                    <w:rPr>
                      <w:rFonts w:ascii="Times New Roman" w:eastAsia="宋体" w:cs="Times New Roman" w:hAnsi="Times New Roman"/>
                      <w:color w:val="auto"/>
                      <w:kern w:val="0"/>
                      <w:sz w:val="21"/>
                      <w:szCs w:val="21"/>
                      <w:lang w:val="en-US" w:eastAsia="zh-CN"/>
                      <w:highlight w:val="none"/>
                    </w:rPr>
                    <w:t xml:space="preserve">7、项目占地为工业用地，不占用永久基本农田，本项目不属于电镀、镀层、阳极氧化的金属表面处理及热处理加工项目； </w:t>
                  </w:r>
                </w:p>
                <w:p>
                  <w:pPr>
                    <w:keepNext w:val="0"/>
                    <w:keepLines w:val="0"/>
                    <w:pageBreakBefore w:val="0"/>
                    <w:widowControl/>
                    <w:suppressLineNumbers w:val="0"/>
                    <w:kinsoku/>
                    <w:wordWrap/>
                    <w:overflowPunct/>
                    <w:bidi w:val="0"/>
                    <w:jc w:val="left"/>
                    <w:rPr>
                      <w:rFonts w:ascii="Times New Roman" w:cs="Times New Roman" w:hAnsi="Times New Roman"/>
                      <w:color w:val="auto"/>
                      <w:sz w:val="21"/>
                      <w:szCs w:val="21"/>
                      <w:highlight w:val="none"/>
                    </w:rPr>
                  </w:pPr>
                  <w:r>
                    <w:rPr>
                      <w:rFonts w:ascii="Times New Roman" w:eastAsia="宋体" w:cs="Times New Roman" w:hAnsi="Times New Roman"/>
                      <w:color w:val="auto"/>
                      <w:kern w:val="0"/>
                      <w:sz w:val="21"/>
                      <w:szCs w:val="21"/>
                      <w:lang w:val="en-US" w:eastAsia="zh-CN"/>
                      <w:highlight w:val="none"/>
                    </w:rPr>
                    <w:t>8、不涉及；</w:t>
                  </w:r>
                </w:p>
                <w:p>
                  <w:pPr>
                    <w:keepNext w:val="0"/>
                    <w:keepLines w:val="0"/>
                    <w:pageBreakBefore w:val="0"/>
                    <w:widowControl/>
                    <w:suppressLineNumbers w:val="0"/>
                    <w:kinsoku/>
                    <w:wordWrap/>
                    <w:overflowPunct/>
                    <w:bidi w:val="0"/>
                    <w:jc w:val="left"/>
                    <w:rPr>
                      <w:rFonts w:ascii="Times New Roman" w:cs="Times New Roman" w:hAnsi="Times New Roman"/>
                      <w:color w:val="auto"/>
                      <w:sz w:val="21"/>
                      <w:szCs w:val="21"/>
                      <w:highlight w:val="none"/>
                    </w:rPr>
                  </w:pPr>
                  <w:r>
                    <w:rPr>
                      <w:rFonts w:ascii="Times New Roman" w:eastAsia="宋体" w:cs="Times New Roman" w:hAnsi="Times New Roman"/>
                      <w:color w:val="auto"/>
                      <w:kern w:val="0"/>
                      <w:sz w:val="21"/>
                      <w:szCs w:val="21"/>
                      <w:lang w:val="en-US" w:eastAsia="zh-CN"/>
                      <w:highlight w:val="none"/>
                    </w:rPr>
                    <w:t>9、本项目不属于高耗水项目；</w:t>
                  </w:r>
                </w:p>
                <w:p>
                  <w:pPr>
                    <w:keepNext w:val="0"/>
                    <w:keepLines w:val="0"/>
                    <w:pageBreakBefore w:val="0"/>
                    <w:widowControl/>
                    <w:suppressLineNumbers w:val="0"/>
                    <w:kinsoku/>
                    <w:wordWrap/>
                    <w:overflowPunct/>
                    <w:bidi w:val="0"/>
                    <w:jc w:val="left"/>
                    <w:rPr>
                      <w:rFonts w:ascii="Times New Roman" w:cs="Times New Roman" w:hAnsi="Times New Roman"/>
                      <w:color w:val="auto"/>
                      <w:sz w:val="21"/>
                      <w:szCs w:val="21"/>
                      <w:highlight w:val="none"/>
                    </w:rPr>
                  </w:pPr>
                  <w:r>
                    <w:rPr>
                      <w:rFonts w:ascii="Times New Roman" w:eastAsia="宋体" w:cs="Times New Roman" w:hAnsi="Times New Roman"/>
                      <w:color w:val="auto"/>
                      <w:kern w:val="0"/>
                      <w:sz w:val="21"/>
                      <w:szCs w:val="21"/>
                      <w:lang w:val="en-US" w:eastAsia="zh-CN"/>
                      <w:highlight w:val="none"/>
                    </w:rPr>
                    <w:t>10、不涉及</w:t>
                  </w:r>
                  <w:r>
                    <w:rPr>
                      <w:rFonts w:ascii="Times New Roman" w:eastAsia="宋体" w:cs="Times New Roman" w:hAnsi="Times New Roman" w:hint="eastAsia"/>
                      <w:color w:val="auto"/>
                      <w:kern w:val="0"/>
                      <w:sz w:val="21"/>
                      <w:szCs w:val="21"/>
                      <w:lang w:val="en-US" w:eastAsia="zh-CN"/>
                      <w:highlight w:val="none"/>
                    </w:rPr>
                    <w:t>。</w:t>
                  </w:r>
                </w:p>
              </w:tc>
            </w:tr>
            <w:tr>
              <w:trPr>
                <w:trHeight w:val="397"/>
              </w:trPr>
              <w:tc>
                <w:tcPr>
                  <w:tcW w:w="229" w:type="pct"/>
                  <w:vMerge/>
                  <w:tcBorders>
                    <w:tl2br w:val="nil"/>
                    <w:tr2bl w:val="nil"/>
                  </w:tcBorders>
                  <w:vAlign w:val="center"/>
                </w:tcPr>
                <w:p/>
              </w:tc>
              <w:tc>
                <w:tcPr>
                  <w:tcW w:w="356" w:type="pct"/>
                  <w:tcBorders>
                    <w:tl2br w:val="nil"/>
                    <w:tr2bl w:val="nil"/>
                  </w:tcBorders>
                  <w:vAlign w:val="center"/>
                </w:tcPr>
                <w:p>
                  <w:pPr>
                    <w:keepNext w:val="0"/>
                    <w:keepLines w:val="0"/>
                    <w:pageBreakBefore w:val="0"/>
                    <w:widowControl/>
                    <w:suppressLineNumbers w:val="0"/>
                    <w:kinsoku/>
                    <w:wordWrap/>
                    <w:overflowPunct/>
                    <w:bidi w:val="0"/>
                    <w:jc w:val="center"/>
                    <w:rPr>
                      <w:rFonts w:ascii="Times New Roman" w:eastAsia="宋体" w:cs="Times New Roman" w:hAnsi="Times New Roman"/>
                      <w:color w:val="auto"/>
                      <w:kern w:val="0"/>
                      <w:sz w:val="21"/>
                      <w:szCs w:val="21"/>
                      <w:lang w:val="en-US" w:eastAsia="zh-CN" w:bidi="ar-SA"/>
                      <w:highlight w:val="none"/>
                    </w:rPr>
                  </w:pPr>
                  <w:r>
                    <w:rPr>
                      <w:rFonts w:ascii="Times New Roman" w:eastAsia="宋体" w:cs="Times New Roman" w:hAnsi="Times New Roman"/>
                      <w:color w:val="auto"/>
                      <w:kern w:val="0"/>
                      <w:sz w:val="21"/>
                      <w:szCs w:val="21"/>
                      <w:lang w:val="en-US" w:eastAsia="zh-CN" w:bidi="ar-SA"/>
                      <w:highlight w:val="none"/>
                    </w:rPr>
                    <w:t>空间布局约束</w:t>
                  </w:r>
                </w:p>
              </w:tc>
              <w:tc>
                <w:tcPr>
                  <w:tcW w:w="2261" w:type="pct"/>
                  <w:tcBorders>
                    <w:tl2br w:val="nil"/>
                    <w:tr2bl w:val="nil"/>
                  </w:tcBorders>
                  <w:vAlign w:val="center"/>
                </w:tcPr>
                <w:p>
                  <w:pPr>
                    <w:keepNext w:val="0"/>
                    <w:keepLines w:val="0"/>
                    <w:pageBreakBefore w:val="0"/>
                    <w:widowControl/>
                    <w:suppressLineNumbers w:val="0"/>
                    <w:kinsoku/>
                    <w:wordWrap/>
                    <w:overflowPunct/>
                    <w:bidi w:val="0"/>
                    <w:jc w:val="both"/>
                    <w:rPr>
                      <w:rFonts w:ascii="Times New Roman" w:eastAsia="宋体" w:cs="Times New Roman" w:hAnsi="Times New Roman"/>
                      <w:color w:val="auto"/>
                      <w:kern w:val="0"/>
                      <w:sz w:val="21"/>
                      <w:szCs w:val="21"/>
                      <w:lang w:val="en-US" w:eastAsia="zh-CN" w:bidi="ar-SA"/>
                      <w:highlight w:val="none"/>
                    </w:rPr>
                  </w:pPr>
                  <w:r>
                    <w:rPr>
                      <w:rFonts w:ascii="Times New Roman" w:eastAsia="宋体" w:cs="Times New Roman" w:hAnsi="Times New Roman"/>
                      <w:color w:val="auto"/>
                      <w:kern w:val="0"/>
                      <w:sz w:val="21"/>
                      <w:szCs w:val="21"/>
                      <w:lang w:val="en-US" w:eastAsia="zh-CN" w:bidi="ar-SA"/>
                      <w:highlight w:val="none"/>
                    </w:rPr>
                    <w:t xml:space="preserve">1、禁止在公园绿地、防护绿地等规划绿地范围内开展与绿地无关的建设活动。 </w:t>
                  </w:r>
                </w:p>
                <w:p>
                  <w:pPr>
                    <w:keepNext w:val="0"/>
                    <w:keepLines w:val="0"/>
                    <w:pageBreakBefore w:val="0"/>
                    <w:widowControl/>
                    <w:suppressLineNumbers w:val="0"/>
                    <w:kinsoku/>
                    <w:wordWrap/>
                    <w:overflowPunct/>
                    <w:bidi w:val="0"/>
                    <w:jc w:val="both"/>
                    <w:rPr>
                      <w:rFonts w:ascii="Times New Roman" w:eastAsia="宋体" w:cs="Times New Roman" w:hAnsi="Times New Roman"/>
                      <w:color w:val="auto"/>
                      <w:kern w:val="0"/>
                      <w:sz w:val="21"/>
                      <w:szCs w:val="21"/>
                      <w:lang w:val="en-US" w:eastAsia="zh-CN" w:bidi="ar-SA"/>
                      <w:highlight w:val="none"/>
                    </w:rPr>
                  </w:pPr>
                  <w:r>
                    <w:rPr>
                      <w:rFonts w:ascii="Times New Roman" w:eastAsia="宋体" w:cs="Times New Roman" w:hAnsi="Times New Roman"/>
                      <w:color w:val="auto"/>
                      <w:kern w:val="0"/>
                      <w:sz w:val="21"/>
                      <w:szCs w:val="21"/>
                      <w:lang w:val="en-US" w:eastAsia="zh-CN" w:bidi="ar-SA"/>
                      <w:highlight w:val="none"/>
                    </w:rPr>
                    <w:t>2、禁止占用公路用地红线，在公路两侧建筑控制线范围内，禁止建设除公路附属设施外的其他永久性建筑物、构筑物和设施。</w:t>
                  </w:r>
                </w:p>
                <w:p>
                  <w:pPr>
                    <w:keepNext w:val="0"/>
                    <w:keepLines w:val="0"/>
                    <w:pageBreakBefore w:val="0"/>
                    <w:widowControl/>
                    <w:suppressLineNumbers w:val="0"/>
                    <w:kinsoku/>
                    <w:wordWrap/>
                    <w:overflowPunct/>
                    <w:bidi w:val="0"/>
                    <w:jc w:val="both"/>
                    <w:rPr>
                      <w:rFonts w:ascii="Times New Roman" w:eastAsia="宋体" w:cs="Times New Roman" w:hAnsi="Times New Roman"/>
                      <w:color w:val="auto"/>
                      <w:kern w:val="0"/>
                      <w:sz w:val="21"/>
                      <w:szCs w:val="21"/>
                      <w:lang w:val="en-US" w:eastAsia="zh-CN" w:bidi="ar-SA"/>
                      <w:highlight w:val="none"/>
                    </w:rPr>
                  </w:pPr>
                  <w:r>
                    <w:rPr>
                      <w:rFonts w:ascii="Times New Roman" w:eastAsia="宋体" w:cs="Times New Roman" w:hAnsi="Times New Roman"/>
                      <w:color w:val="auto"/>
                      <w:kern w:val="0"/>
                      <w:sz w:val="21"/>
                      <w:szCs w:val="21"/>
                      <w:lang w:val="en-US" w:eastAsia="zh-CN" w:bidi="ar-SA"/>
                      <w:highlight w:val="none"/>
                    </w:rPr>
                    <w:t>3、产业园区及周边划定了2处饮用水源地一级保护区，石家庄市栾城区水利局第一供水厂水源地一级保护区、交通公园水源井（1#）一级保护区。①在饮用水水源保护区内，禁止设置排污口。②禁止在饮用水水源一级保护区内新建、改建、扩建与供水设施和保护水源无关的建设项目；已建成的与供水设施和保护水源无关的建设项目，由县级以上人民政府责令拆除或者关闭2处饮用水源地未划定二级保护区，现状一级保护区内均未建设与供水设施和保护水源无关的建设项目）。③禁止在饮用水水源一级保护区内从事网箱养殖、旅游、游泳、垂钓或者其他可能污染饮用水水体的活动。</w:t>
                  </w:r>
                </w:p>
                <w:p>
                  <w:pPr>
                    <w:keepNext w:val="0"/>
                    <w:keepLines w:val="0"/>
                    <w:pageBreakBefore w:val="0"/>
                    <w:widowControl/>
                    <w:suppressLineNumbers w:val="0"/>
                    <w:kinsoku/>
                    <w:wordWrap/>
                    <w:overflowPunct/>
                    <w:bidi w:val="0"/>
                    <w:jc w:val="both"/>
                    <w:rPr>
                      <w:rFonts w:ascii="Times New Roman" w:eastAsia="宋体" w:cs="Times New Roman" w:hAnsi="Times New Roman"/>
                      <w:color w:val="auto"/>
                      <w:kern w:val="0"/>
                      <w:sz w:val="21"/>
                      <w:szCs w:val="21"/>
                      <w:lang w:val="en-US" w:eastAsia="zh-CN" w:bidi="ar-SA"/>
                      <w:highlight w:val="none"/>
                    </w:rPr>
                  </w:pPr>
                  <w:r>
                    <w:rPr>
                      <w:rFonts w:ascii="Times New Roman" w:eastAsia="宋体" w:cs="Times New Roman" w:hAnsi="Times New Roman"/>
                      <w:color w:val="auto"/>
                      <w:kern w:val="0"/>
                      <w:sz w:val="21"/>
                      <w:szCs w:val="21"/>
                      <w:lang w:val="en-US" w:eastAsia="zh-CN" w:bidi="ar-SA"/>
                      <w:highlight w:val="none"/>
                    </w:rPr>
                    <w:t>4、产业园区及周边划定了1处饮用水源地准保护区，交通公园水源井（1#）准保护区。禁止在饮用水水源准保护区内新建、扩建对水体污染严重的建设项目；改建建设项目，不得增加排污量（交通公园水源井（1#）准保护区现状未建设有建设项目）。</w:t>
                  </w:r>
                </w:p>
                <w:p>
                  <w:pPr>
                    <w:keepNext w:val="0"/>
                    <w:keepLines w:val="0"/>
                    <w:pageBreakBefore w:val="0"/>
                    <w:widowControl/>
                    <w:suppressLineNumbers w:val="0"/>
                    <w:kinsoku/>
                    <w:wordWrap/>
                    <w:overflowPunct/>
                    <w:bidi w:val="0"/>
                    <w:jc w:val="both"/>
                    <w:rPr>
                      <w:rFonts w:ascii="Times New Roman" w:eastAsia="宋体" w:cs="Times New Roman" w:hAnsi="Times New Roman"/>
                      <w:color w:val="auto"/>
                      <w:kern w:val="0"/>
                      <w:sz w:val="21"/>
                      <w:szCs w:val="21"/>
                      <w:lang w:val="en-US" w:eastAsia="zh-CN" w:bidi="ar-SA"/>
                      <w:highlight w:val="none"/>
                    </w:rPr>
                  </w:pPr>
                  <w:r>
                    <w:rPr>
                      <w:rFonts w:ascii="Times New Roman" w:eastAsia="宋体" w:cs="Times New Roman" w:hAnsi="Times New Roman"/>
                      <w:color w:val="auto"/>
                      <w:kern w:val="0"/>
                      <w:sz w:val="21"/>
                      <w:szCs w:val="21"/>
                      <w:lang w:val="en-US" w:eastAsia="zh-CN" w:bidi="ar-SA"/>
                      <w:highlight w:val="none"/>
                    </w:rPr>
                    <w:t>5、栾武台保护范围：以栾武台台基边线为基线，向东150米至栾城镇加油站西侧，向南100米至内营村农田，向西150米至小裴村农田，向北100米至小裴村农田。建设控制地带：以栾武台保护范围边线为基线，向东150米至308国道，向南100米至内营村农田，向西150米至小裴村村中，向北100米至小裴村农田。栾武台遗址为省级重点文物保护单位。</w:t>
                  </w:r>
                </w:p>
                <w:p>
                  <w:pPr>
                    <w:keepNext w:val="0"/>
                    <w:keepLines w:val="0"/>
                    <w:pageBreakBefore w:val="0"/>
                    <w:widowControl/>
                    <w:suppressLineNumbers w:val="0"/>
                    <w:kinsoku/>
                    <w:wordWrap/>
                    <w:overflowPunct/>
                    <w:bidi w:val="0"/>
                    <w:jc w:val="both"/>
                    <w:rPr>
                      <w:rFonts w:ascii="Times New Roman" w:eastAsia="宋体" w:cs="Times New Roman" w:hAnsi="Times New Roman"/>
                      <w:color w:val="auto"/>
                      <w:kern w:val="0"/>
                      <w:sz w:val="21"/>
                      <w:szCs w:val="21"/>
                      <w:lang w:val="en-US" w:eastAsia="zh-CN" w:bidi="ar-SA"/>
                      <w:highlight w:val="none"/>
                    </w:rPr>
                  </w:pPr>
                  <w:r>
                    <w:rPr>
                      <w:rFonts w:ascii="Times New Roman" w:eastAsia="宋体" w:cs="Times New Roman" w:hAnsi="Times New Roman"/>
                      <w:color w:val="auto"/>
                      <w:kern w:val="0"/>
                      <w:sz w:val="21"/>
                      <w:szCs w:val="21"/>
                      <w:lang w:val="en-US" w:eastAsia="zh-CN" w:bidi="ar-SA"/>
                      <w:highlight w:val="none"/>
                    </w:rPr>
                    <w:t>6、入区企业应优先选址于距离居住区等环境敏感点较远区域；选址于居住区等环境敏感点周边的应设置绿化隔离带，工业用地靠近居住区一侧在布置工业项目时重点考虑对居住区的环境影响分析，需满足大气环境防护距离和风险防护距离要求。距离居住用地、教育用地0～50m范围内禁止新上涉及废气排放的工序；50～100m范围内新上涉及废气排放的工序应执行A级企业管控要求，并严格控制恶臭异味物质排放，以减少工业活动对居民生活的影响。新上企业应将污染物产生量少、环境影响轻的建筑物（如包装车间、仓库等）、办公楼等靠近居住区布置；强化废气处理设施，加强车间密闭，确保达标排放。新规划居住用地、教育用地与工业用地之间至少保留50m防护绿地。</w:t>
                  </w:r>
                </w:p>
                <w:p>
                  <w:pPr>
                    <w:keepNext w:val="0"/>
                    <w:keepLines w:val="0"/>
                    <w:pageBreakBefore w:val="0"/>
                    <w:widowControl/>
                    <w:suppressLineNumbers w:val="0"/>
                    <w:kinsoku/>
                    <w:wordWrap/>
                    <w:overflowPunct/>
                    <w:bidi w:val="0"/>
                    <w:jc w:val="both"/>
                    <w:rPr>
                      <w:rFonts w:ascii="Times New Roman" w:eastAsia="宋体" w:cs="Times New Roman" w:hAnsi="Times New Roman"/>
                      <w:color w:val="auto"/>
                      <w:kern w:val="0"/>
                      <w:sz w:val="21"/>
                      <w:szCs w:val="21"/>
                      <w:lang w:val="en-US" w:eastAsia="zh-CN" w:bidi="ar-SA"/>
                      <w:highlight w:val="none"/>
                    </w:rPr>
                  </w:pPr>
                  <w:r>
                    <w:rPr>
                      <w:rFonts w:ascii="Times New Roman" w:eastAsia="宋体" w:cs="Times New Roman" w:hAnsi="Times New Roman"/>
                      <w:color w:val="auto"/>
                      <w:kern w:val="0"/>
                      <w:sz w:val="21"/>
                      <w:szCs w:val="21"/>
                      <w:lang w:val="en-US" w:eastAsia="zh-CN" w:bidi="ar-SA"/>
                      <w:highlight w:val="none"/>
                    </w:rPr>
                    <w:t xml:space="preserve">7、入区项目按照规划产业定位和布局进行选址；不符合产业规划的现有企业在不影响规划产业园区主导功能的情况下可在现有厂区范围内改扩建，强化污染物排放控制要求；对于污染轻微附加值高且符合相关产业政策要求的项目在不影响规划产业园区主导功能的情况下可适度入驻。 </w:t>
                  </w:r>
                </w:p>
                <w:p>
                  <w:pPr>
                    <w:keepNext w:val="0"/>
                    <w:keepLines w:val="0"/>
                    <w:pageBreakBefore w:val="0"/>
                    <w:widowControl/>
                    <w:suppressLineNumbers w:val="0"/>
                    <w:kinsoku/>
                    <w:wordWrap/>
                    <w:overflowPunct/>
                    <w:bidi w:val="0"/>
                    <w:jc w:val="both"/>
                    <w:rPr>
                      <w:rFonts w:ascii="Times New Roman" w:eastAsia="宋体" w:cs="Times New Roman" w:hAnsi="Times New Roman"/>
                      <w:color w:val="auto"/>
                      <w:kern w:val="0"/>
                      <w:sz w:val="21"/>
                      <w:szCs w:val="21"/>
                      <w:lang w:val="en-US" w:eastAsia="zh-CN" w:bidi="ar-SA"/>
                      <w:highlight w:val="none"/>
                    </w:rPr>
                  </w:pPr>
                  <w:r>
                    <w:rPr>
                      <w:rFonts w:ascii="Times New Roman" w:eastAsia="宋体" w:cs="Times New Roman" w:hAnsi="Times New Roman"/>
                      <w:color w:val="auto"/>
                      <w:kern w:val="0"/>
                      <w:sz w:val="21"/>
                      <w:szCs w:val="21"/>
                      <w:lang w:val="en-US" w:eastAsia="zh-CN" w:bidi="ar-SA"/>
                      <w:highlight w:val="none"/>
                    </w:rPr>
                    <w:t>8、保留的与规划不符现有企业应严格落实排污许可、国家及地方环保要求，达标排放，通过不断提升环保措施及管理水平，最大限度降低环境污染影响，鼓励其通过技术革新，实现经济效益和环境效益的双赢，促进产业园区绿色发展。</w:t>
                  </w:r>
                </w:p>
                <w:p>
                  <w:pPr>
                    <w:keepNext w:val="0"/>
                    <w:keepLines w:val="0"/>
                    <w:pageBreakBefore w:val="0"/>
                    <w:widowControl/>
                    <w:suppressLineNumbers w:val="0"/>
                    <w:kinsoku/>
                    <w:wordWrap/>
                    <w:overflowPunct/>
                    <w:bidi w:val="0"/>
                    <w:jc w:val="both"/>
                    <w:rPr>
                      <w:rFonts w:ascii="Times New Roman" w:eastAsia="宋体" w:cs="Times New Roman" w:hAnsi="Times New Roman"/>
                      <w:color w:val="auto"/>
                      <w:kern w:val="0"/>
                      <w:sz w:val="21"/>
                      <w:szCs w:val="21"/>
                      <w:lang w:val="en-US" w:eastAsia="zh-CN" w:bidi="ar-SA"/>
                      <w:highlight w:val="none"/>
                    </w:rPr>
                  </w:pPr>
                  <w:r>
                    <w:rPr>
                      <w:rFonts w:ascii="Times New Roman" w:eastAsia="宋体" w:cs="Times New Roman" w:hAnsi="Times New Roman"/>
                      <w:color w:val="auto"/>
                      <w:kern w:val="0"/>
                      <w:sz w:val="21"/>
                      <w:szCs w:val="21"/>
                      <w:lang w:val="en-US" w:eastAsia="zh-CN" w:bidi="ar-SA"/>
                      <w:highlight w:val="none"/>
                    </w:rPr>
                    <w:t>9、对于现有工业企业后续退出的遗留用地，应按照《中华人民共和国土壤污染防治法》《关于贯彻落实土壤污染防治法推动解决突出土壤污染问题的实施意见》（环办土壤[2019]47 号）要求，土地用途变更为住宅、公共管理与公共服务用地的，变更前应当按照规定进行土壤污染状况调查，编制土壤污染状况调查报告。</w:t>
                  </w:r>
                </w:p>
              </w:tc>
              <w:tc>
                <w:tcPr>
                  <w:tcW w:w="2152" w:type="pct"/>
                  <w:tcBorders>
                    <w:tl2br w:val="nil"/>
                    <w:tr2bl w:val="nil"/>
                  </w:tcBorders>
                  <w:vAlign w:val="center"/>
                </w:tcPr>
                <w:p>
                  <w:pPr>
                    <w:pStyle w:val="68"/>
                    <w:keepNext w:val="0"/>
                    <w:keepLines w:val="0"/>
                    <w:pageBreakBefore w:val="0"/>
                    <w:widowControl w:val="0"/>
                    <w:tabs>
                      <w:tab w:val="left" w:pos="0"/>
                      <w:tab w:val="left" w:pos="360"/>
                      <w:tab w:val="left" w:pos="900"/>
                    </w:tabs>
                    <w:kinsoku/>
                    <w:wordWrap/>
                    <w:overflowPunct/>
                    <w:topLinePunct/>
                    <w:autoSpaceDE w:val="0"/>
                    <w:autoSpaceDN w:val="0"/>
                    <w:bidi w:val="0"/>
                    <w:adjustRightInd w:val="0"/>
                    <w:snapToGrid w:val="0"/>
                    <w:spacing w:line="240" w:lineRule="auto"/>
                    <w:jc w:val="both"/>
                    <w:textAlignment w:val="baseline"/>
                    <w:rPr>
                      <w:rFonts w:cs="Times New Roman" w:hint="eastAsia"/>
                      <w:color w:val="auto"/>
                      <w:kern w:val="0"/>
                      <w:sz w:val="21"/>
                      <w:szCs w:val="21"/>
                      <w:lang w:val="en-US" w:eastAsia="zh-CN" w:bidi="ar-SA"/>
                      <w:highlight w:val="none"/>
                    </w:rPr>
                  </w:pPr>
                  <w:r>
                    <w:rPr>
                      <w:rFonts w:ascii="Times New Roman" w:eastAsia="宋体" w:cs="Times New Roman" w:hAnsi="Times New Roman" w:hint="eastAsia"/>
                      <w:bCs/>
                      <w:color w:val="auto"/>
                      <w:kern w:val="0"/>
                      <w:sz w:val="21"/>
                      <w:szCs w:val="21"/>
                      <w:lang w:val="en-US" w:eastAsia="zh-CN" w:bidi="ar-SA"/>
                      <w:highlight w:val="none"/>
                    </w:rPr>
                    <w:t>1、</w:t>
                  </w:r>
                  <w:r>
                    <w:rPr>
                      <w:rFonts w:cs="Times New Roman" w:hint="eastAsia"/>
                      <w:color w:val="auto"/>
                      <w:kern w:val="0"/>
                      <w:sz w:val="21"/>
                      <w:szCs w:val="21"/>
                      <w:lang w:val="en-US" w:eastAsia="zh-CN" w:bidi="ar-SA"/>
                      <w:highlight w:val="none"/>
                    </w:rPr>
                    <w:t>不涉及；</w:t>
                  </w:r>
                </w:p>
                <w:p>
                  <w:pPr>
                    <w:pStyle w:val="68"/>
                    <w:keepNext w:val="0"/>
                    <w:keepLines w:val="0"/>
                    <w:pageBreakBefore w:val="0"/>
                    <w:widowControl w:val="0"/>
                    <w:tabs>
                      <w:tab w:val="left" w:pos="0"/>
                      <w:tab w:val="left" w:pos="360"/>
                      <w:tab w:val="left" w:pos="900"/>
                    </w:tabs>
                    <w:kinsoku/>
                    <w:wordWrap/>
                    <w:overflowPunct/>
                    <w:topLinePunct/>
                    <w:autoSpaceDE w:val="0"/>
                    <w:autoSpaceDN w:val="0"/>
                    <w:bidi w:val="0"/>
                    <w:adjustRightInd w:val="0"/>
                    <w:snapToGrid w:val="0"/>
                    <w:spacing w:line="240" w:lineRule="auto"/>
                    <w:jc w:val="both"/>
                    <w:textAlignment w:val="baseline"/>
                    <w:rPr>
                      <w:rFonts w:cs="Times New Roman" w:hint="eastAsia"/>
                      <w:color w:val="auto"/>
                      <w:kern w:val="0"/>
                      <w:sz w:val="21"/>
                      <w:szCs w:val="21"/>
                      <w:lang w:val="en-US" w:eastAsia="zh-CN" w:bidi="ar-SA"/>
                      <w:highlight w:val="none"/>
                    </w:rPr>
                  </w:pPr>
                  <w:r>
                    <w:rPr>
                      <w:rFonts w:ascii="Times New Roman" w:eastAsia="宋体" w:cs="Times New Roman" w:hAnsi="Times New Roman" w:hint="eastAsia"/>
                      <w:bCs/>
                      <w:color w:val="auto"/>
                      <w:kern w:val="0"/>
                      <w:sz w:val="21"/>
                      <w:szCs w:val="21"/>
                      <w:lang w:val="en-US" w:eastAsia="zh-CN" w:bidi="ar-SA"/>
                      <w:highlight w:val="none"/>
                    </w:rPr>
                    <w:t>2、</w:t>
                  </w:r>
                  <w:r>
                    <w:rPr>
                      <w:rFonts w:cs="Times New Roman" w:hint="eastAsia"/>
                      <w:color w:val="auto"/>
                      <w:kern w:val="0"/>
                      <w:sz w:val="21"/>
                      <w:szCs w:val="21"/>
                      <w:lang w:val="en-US" w:eastAsia="zh-CN" w:bidi="ar-SA"/>
                      <w:highlight w:val="none"/>
                    </w:rPr>
                    <w:t>不涉及；</w:t>
                  </w:r>
                </w:p>
                <w:p>
                  <w:pPr>
                    <w:pStyle w:val="68"/>
                    <w:keepNext w:val="0"/>
                    <w:keepLines w:val="0"/>
                    <w:pageBreakBefore w:val="0"/>
                    <w:widowControl w:val="0"/>
                    <w:tabs>
                      <w:tab w:val="left" w:pos="0"/>
                      <w:tab w:val="left" w:pos="360"/>
                      <w:tab w:val="left" w:pos="900"/>
                    </w:tabs>
                    <w:kinsoku/>
                    <w:wordWrap/>
                    <w:overflowPunct/>
                    <w:topLinePunct/>
                    <w:autoSpaceDE w:val="0"/>
                    <w:autoSpaceDN w:val="0"/>
                    <w:bidi w:val="0"/>
                    <w:adjustRightInd w:val="0"/>
                    <w:snapToGrid w:val="0"/>
                    <w:spacing w:line="240" w:lineRule="auto"/>
                    <w:jc w:val="both"/>
                    <w:textAlignment w:val="baseline"/>
                    <w:rPr>
                      <w:rFonts w:cs="Times New Roman"/>
                      <w:color w:val="auto"/>
                      <w:kern w:val="0"/>
                      <w:sz w:val="21"/>
                      <w:szCs w:val="21"/>
                      <w:lang w:val="en-US" w:eastAsia="zh-CN" w:bidi="ar-SA"/>
                      <w:highlight w:val="none"/>
                    </w:rPr>
                  </w:pPr>
                  <w:r>
                    <w:rPr>
                      <w:rFonts w:ascii="Times New Roman" w:eastAsia="宋体" w:cs="Times New Roman" w:hAnsi="Times New Roman"/>
                      <w:bCs/>
                      <w:color w:val="auto"/>
                      <w:kern w:val="0"/>
                      <w:sz w:val="21"/>
                      <w:szCs w:val="21"/>
                      <w:lang w:val="en-US" w:eastAsia="zh-CN" w:bidi="ar-SA"/>
                      <w:highlight w:val="none"/>
                    </w:rPr>
                    <w:t>3、</w:t>
                  </w:r>
                  <w:r>
                    <w:rPr>
                      <w:rFonts w:cs="Times New Roman" w:hint="eastAsia"/>
                      <w:bCs/>
                      <w:color w:val="auto"/>
                      <w:kern w:val="0"/>
                      <w:sz w:val="21"/>
                      <w:szCs w:val="21"/>
                      <w:lang w:val="en-US" w:eastAsia="zh-CN" w:bidi="ar-SA"/>
                      <w:highlight w:val="none"/>
                    </w:rPr>
                    <w:t>4、5、</w:t>
                  </w:r>
                  <w:r>
                    <w:rPr>
                      <w:rFonts w:cs="Times New Roman" w:hint="eastAsia"/>
                      <w:color w:val="auto"/>
                      <w:kern w:val="0"/>
                      <w:sz w:val="21"/>
                      <w:szCs w:val="21"/>
                      <w:lang w:val="en-US" w:eastAsia="zh-CN" w:bidi="ar-SA"/>
                      <w:highlight w:val="none"/>
                    </w:rPr>
                    <w:t>项目不在</w:t>
                  </w:r>
                  <w:r>
                    <w:rPr>
                      <w:rFonts w:cs="Times New Roman"/>
                      <w:color w:val="auto"/>
                      <w:kern w:val="0"/>
                      <w:sz w:val="21"/>
                      <w:szCs w:val="21"/>
                      <w:lang w:val="en-US" w:eastAsia="zh-CN" w:bidi="ar-SA"/>
                      <w:highlight w:val="none"/>
                    </w:rPr>
                    <w:t>饮用水源地一级保护区</w:t>
                  </w:r>
                  <w:r>
                    <w:rPr>
                      <w:rFonts w:cs="Times New Roman" w:hint="eastAsia"/>
                      <w:color w:val="auto"/>
                      <w:kern w:val="0"/>
                      <w:sz w:val="21"/>
                      <w:szCs w:val="21"/>
                      <w:lang w:val="en-US" w:eastAsia="zh-CN" w:bidi="ar-SA"/>
                      <w:highlight w:val="none"/>
                    </w:rPr>
                    <w:t>、</w:t>
                  </w:r>
                  <w:r>
                    <w:rPr>
                      <w:rFonts w:ascii="Times New Roman" w:eastAsia="宋体" w:cs="Times New Roman" w:hAnsi="Times New Roman"/>
                      <w:color w:val="auto"/>
                      <w:kern w:val="0"/>
                      <w:sz w:val="21"/>
                      <w:szCs w:val="21"/>
                      <w:lang w:val="en-US" w:eastAsia="zh-CN" w:bidi="ar-SA"/>
                      <w:highlight w:val="none"/>
                    </w:rPr>
                    <w:t>饮用水源地准保护区</w:t>
                  </w:r>
                  <w:r>
                    <w:rPr>
                      <w:rFonts w:cs="Times New Roman" w:hint="eastAsia"/>
                      <w:color w:val="auto"/>
                      <w:kern w:val="0"/>
                      <w:sz w:val="21"/>
                      <w:szCs w:val="21"/>
                      <w:lang w:val="en-US" w:eastAsia="zh-CN" w:bidi="ar-SA"/>
                      <w:highlight w:val="none"/>
                    </w:rPr>
                    <w:t>、</w:t>
                  </w:r>
                  <w:r>
                    <w:rPr>
                      <w:rFonts w:ascii="Times New Roman" w:eastAsia="宋体" w:cs="Times New Roman" w:hAnsi="Times New Roman"/>
                      <w:color w:val="auto"/>
                      <w:kern w:val="0"/>
                      <w:sz w:val="21"/>
                      <w:szCs w:val="21"/>
                      <w:lang w:val="en-US" w:eastAsia="zh-CN" w:bidi="ar-SA"/>
                      <w:highlight w:val="none"/>
                    </w:rPr>
                    <w:t>栾武台遗址</w:t>
                  </w:r>
                  <w:r>
                    <w:rPr>
                      <w:rFonts w:cs="Times New Roman" w:hint="eastAsia"/>
                      <w:color w:val="auto"/>
                      <w:kern w:val="0"/>
                      <w:sz w:val="21"/>
                      <w:szCs w:val="21"/>
                      <w:lang w:val="en-US" w:eastAsia="zh-CN" w:bidi="ar-SA"/>
                      <w:highlight w:val="none"/>
                    </w:rPr>
                    <w:t>文物保护范围内，项目废水</w:t>
                  </w:r>
                  <w:r>
                    <w:rPr>
                      <w:rFonts w:cs="Times New Roman"/>
                      <w:color w:val="auto"/>
                      <w:kern w:val="0"/>
                      <w:sz w:val="21"/>
                      <w:szCs w:val="21"/>
                      <w:lang w:val="en-US" w:eastAsia="zh-CN" w:bidi="ar-SA"/>
                      <w:highlight w:val="none"/>
                    </w:rPr>
                    <w:t>排入</w:t>
                  </w:r>
                  <w:r>
                    <w:rPr>
                      <w:rFonts w:cs="Times New Roman" w:hint="eastAsia"/>
                      <w:color w:val="auto"/>
                      <w:kern w:val="0"/>
                      <w:sz w:val="21"/>
                      <w:szCs w:val="21"/>
                      <w:lang w:val="en-US" w:eastAsia="zh-CN" w:bidi="ar-SA"/>
                      <w:highlight w:val="none"/>
                    </w:rPr>
                    <w:t>园区</w:t>
                  </w:r>
                  <w:r>
                    <w:rPr>
                      <w:rFonts w:cs="Times New Roman"/>
                      <w:color w:val="auto"/>
                      <w:kern w:val="0"/>
                      <w:sz w:val="21"/>
                      <w:szCs w:val="21"/>
                      <w:lang w:val="en-US" w:eastAsia="zh-CN" w:bidi="ar-SA"/>
                      <w:highlight w:val="none"/>
                    </w:rPr>
                    <w:t>污水管网，</w:t>
                  </w:r>
                  <w:r>
                    <w:rPr>
                      <w:rFonts w:cs="Times New Roman" w:hint="eastAsia"/>
                      <w:color w:val="auto"/>
                      <w:kern w:val="0"/>
                      <w:sz w:val="21"/>
                      <w:szCs w:val="21"/>
                      <w:lang w:val="en-US" w:eastAsia="zh-CN" w:bidi="ar-SA"/>
                      <w:highlight w:val="none"/>
                    </w:rPr>
                    <w:t>再</w:t>
                  </w:r>
                  <w:r>
                    <w:rPr>
                      <w:rFonts w:cs="Times New Roman"/>
                      <w:color w:val="auto"/>
                      <w:kern w:val="0"/>
                      <w:sz w:val="21"/>
                      <w:szCs w:val="21"/>
                      <w:lang w:val="en-US" w:eastAsia="zh-CN" w:bidi="ar-SA"/>
                      <w:highlight w:val="none"/>
                    </w:rPr>
                    <w:t>送至</w:t>
                  </w:r>
                  <w:r>
                    <w:rPr>
                      <w:rFonts w:cs="Times New Roman" w:hint="eastAsia"/>
                      <w:color w:val="auto"/>
                      <w:kern w:val="0"/>
                      <w:sz w:val="21"/>
                      <w:szCs w:val="21"/>
                      <w:lang w:val="en-US" w:eastAsia="zh-CN" w:bidi="ar-SA"/>
                      <w:highlight w:val="none"/>
                    </w:rPr>
                    <w:t>洨河西污水处理厂（栾城区绿源污水处理厂）</w:t>
                  </w:r>
                  <w:r>
                    <w:rPr>
                      <w:rFonts w:cs="Times New Roman"/>
                      <w:color w:val="auto"/>
                      <w:kern w:val="0"/>
                      <w:sz w:val="21"/>
                      <w:szCs w:val="21"/>
                      <w:lang w:val="en-US" w:eastAsia="zh-CN" w:bidi="ar-SA"/>
                      <w:highlight w:val="none"/>
                    </w:rPr>
                    <w:t>进行深度处理</w:t>
                  </w:r>
                  <w:r>
                    <w:rPr>
                      <w:rFonts w:cs="Times New Roman" w:hint="eastAsia"/>
                      <w:color w:val="auto"/>
                      <w:kern w:val="0"/>
                      <w:sz w:val="21"/>
                      <w:szCs w:val="21"/>
                      <w:lang w:val="en-US" w:eastAsia="zh-CN" w:bidi="ar-SA"/>
                      <w:highlight w:val="none"/>
                    </w:rPr>
                    <w:t>，不设置直接排污口；</w:t>
                  </w:r>
                </w:p>
                <w:p>
                  <w:pPr>
                    <w:pStyle w:val="68"/>
                    <w:keepNext w:val="0"/>
                    <w:keepLines w:val="0"/>
                    <w:pageBreakBefore w:val="0"/>
                    <w:widowControl w:val="0"/>
                    <w:tabs>
                      <w:tab w:val="left" w:pos="0"/>
                      <w:tab w:val="left" w:pos="360"/>
                      <w:tab w:val="left" w:pos="900"/>
                    </w:tabs>
                    <w:kinsoku/>
                    <w:wordWrap/>
                    <w:overflowPunct/>
                    <w:topLinePunct/>
                    <w:autoSpaceDE w:val="0"/>
                    <w:autoSpaceDN w:val="0"/>
                    <w:bidi w:val="0"/>
                    <w:adjustRightInd w:val="0"/>
                    <w:snapToGrid w:val="0"/>
                    <w:spacing w:line="240" w:lineRule="auto"/>
                    <w:jc w:val="both"/>
                    <w:textAlignment w:val="baseline"/>
                    <w:rPr>
                      <w:rFonts w:cs="Times New Roman"/>
                      <w:color w:val="auto"/>
                      <w:kern w:val="0"/>
                      <w:sz w:val="21"/>
                      <w:szCs w:val="21"/>
                      <w:lang w:val="en-US" w:eastAsia="zh-CN" w:bidi="ar-SA"/>
                      <w:highlight w:val="none"/>
                    </w:rPr>
                  </w:pPr>
                  <w:r>
                    <w:rPr>
                      <w:rFonts w:cs="Times New Roman" w:hint="eastAsia"/>
                      <w:color w:val="auto"/>
                      <w:kern w:val="0"/>
                      <w:sz w:val="21"/>
                      <w:szCs w:val="21"/>
                      <w:lang w:val="en-US" w:eastAsia="zh-CN" w:bidi="ar-SA"/>
                      <w:highlight w:val="none"/>
                    </w:rPr>
                    <w:t>6、项目各污染物均设置在厂房内，污染物经采取措施后达标排放，不会对周围居民产生明显影响。</w:t>
                  </w:r>
                </w:p>
                <w:p>
                  <w:pPr>
                    <w:keepNext w:val="0"/>
                    <w:keepLines w:val="0"/>
                    <w:pageBreakBefore w:val="0"/>
                    <w:kinsoku/>
                    <w:wordWrap/>
                    <w:overflowPunct/>
                    <w:bidi w:val="0"/>
                    <w:rPr>
                      <w:rFonts w:ascii="Times New Roman" w:cs="Times New Roman" w:hAnsi="Times New Roman"/>
                      <w:color w:val="auto"/>
                      <w:sz w:val="21"/>
                      <w:szCs w:val="21"/>
                      <w:highlight w:val="none"/>
                    </w:rPr>
                  </w:pPr>
                  <w:r>
                    <w:rPr>
                      <w:rFonts w:hint="eastAsia"/>
                      <w:color w:val="auto"/>
                      <w:lang w:val="en-US" w:eastAsia="zh-CN"/>
                      <w:highlight w:val="none"/>
                    </w:rPr>
                    <w:t>7、</w:t>
                  </w:r>
                  <w:r>
                    <w:rPr>
                      <w:rFonts w:cs="Times New Roman" w:hint="eastAsia"/>
                      <w:color w:val="auto"/>
                      <w:sz w:val="21"/>
                      <w:szCs w:val="21"/>
                      <w:lang w:val="en-US" w:eastAsia="zh-CN"/>
                      <w:highlight w:val="none"/>
                    </w:rPr>
                    <w:t>项目位于</w:t>
                  </w:r>
                  <w:r>
                    <w:rPr>
                      <w:rFonts w:ascii="Times New Roman" w:cs="Times New Roman" w:hAnsi="Times New Roman" w:hint="eastAsia"/>
                      <w:color w:val="auto"/>
                      <w:sz w:val="21"/>
                      <w:szCs w:val="21"/>
                      <w:lang w:val="en-US" w:eastAsia="zh-CN"/>
                      <w:highlight w:val="none"/>
                    </w:rPr>
                    <w:t>装备制造产业园区</w:t>
                  </w:r>
                  <w:r>
                    <w:rPr>
                      <w:rFonts w:cs="Times New Roman" w:hint="eastAsia"/>
                      <w:color w:val="auto"/>
                      <w:sz w:val="21"/>
                      <w:szCs w:val="21"/>
                      <w:lang w:val="en-US" w:eastAsia="zh-CN"/>
                      <w:highlight w:val="none"/>
                    </w:rPr>
                    <w:t>，涉</w:t>
                  </w:r>
                  <w:r>
                    <w:rPr>
                      <w:rFonts w:ascii="Times New Roman" w:cs="Times New Roman" w:hAnsi="Times New Roman" w:hint="eastAsia"/>
                      <w:color w:val="auto"/>
                      <w:sz w:val="21"/>
                      <w:szCs w:val="21"/>
                      <w:lang w:val="en-US" w:eastAsia="zh-CN"/>
                      <w:highlight w:val="none"/>
                    </w:rPr>
                    <w:t>及行业为生态保护和环境治理业</w:t>
                  </w:r>
                  <w:r>
                    <w:rPr>
                      <w:rFonts w:cs="Times New Roman" w:hint="eastAsia"/>
                      <w:color w:val="auto"/>
                      <w:sz w:val="21"/>
                      <w:szCs w:val="21"/>
                      <w:lang w:val="en-US" w:eastAsia="zh-CN"/>
                      <w:highlight w:val="none"/>
                    </w:rPr>
                    <w:t>、</w:t>
                  </w:r>
                  <w:r>
                    <w:rPr>
                      <w:rFonts w:ascii="Times New Roman" w:cs="Times New Roman" w:hAnsi="Times New Roman" w:hint="eastAsia"/>
                      <w:color w:val="auto"/>
                      <w:sz w:val="21"/>
                      <w:szCs w:val="21"/>
                      <w:lang w:val="en-US" w:eastAsia="zh-CN"/>
                      <w:highlight w:val="none"/>
                    </w:rPr>
                    <w:t>仓储业</w:t>
                  </w:r>
                  <w:r>
                    <w:rPr>
                      <w:rFonts w:ascii="Times New Roman" w:eastAsia="宋体" w:cs="Times New Roman" w:hAnsi="Times New Roman" w:hint="eastAsia"/>
                      <w:color w:val="auto"/>
                      <w:spacing w:val="-6"/>
                      <w:sz w:val="21"/>
                      <w:szCs w:val="21"/>
                      <w:lang w:eastAsia="zh-CN"/>
                      <w:highlight w:val="none"/>
                    </w:rPr>
                    <w:t>，</w:t>
                  </w:r>
                  <w:r>
                    <w:rPr>
                      <w:rFonts w:cs="Times New Roman" w:hint="eastAsia"/>
                      <w:color w:val="auto"/>
                      <w:spacing w:val="-6"/>
                      <w:sz w:val="21"/>
                      <w:szCs w:val="21"/>
                      <w:lang w:eastAsia="zh-CN"/>
                      <w:highlight w:val="none"/>
                    </w:rPr>
                    <w:t>属于园区</w:t>
                  </w:r>
                  <w:r>
                    <w:rPr>
                      <w:rFonts w:ascii="Times New Roman" w:cs="Times New Roman" w:hAnsi="Times New Roman"/>
                      <w:color w:val="auto"/>
                      <w:sz w:val="21"/>
                      <w:szCs w:val="21"/>
                      <w:highlight w:val="none"/>
                    </w:rPr>
                    <w:t>配套服务产业</w:t>
                  </w:r>
                  <w:r>
                    <w:rPr>
                      <w:rFonts w:cs="Times New Roman" w:hint="eastAsia"/>
                      <w:color w:val="auto"/>
                      <w:sz w:val="21"/>
                      <w:szCs w:val="21"/>
                      <w:lang w:eastAsia="zh-CN"/>
                      <w:highlight w:val="none"/>
                    </w:rPr>
                    <w:t>，本项目污染轻微，附加值高，能够为园区产生的废铅蓄电池提供中转场所，提高固废综合利用率</w:t>
                  </w:r>
                  <w:r>
                    <w:rPr>
                      <w:rFonts w:ascii="Times New Roman" w:cs="Times New Roman" w:hAnsi="Times New Roman"/>
                      <w:color w:val="auto"/>
                      <w:sz w:val="21"/>
                      <w:szCs w:val="21"/>
                      <w:highlight w:val="none"/>
                    </w:rPr>
                    <w:t>。</w:t>
                  </w:r>
                </w:p>
                <w:p>
                  <w:pPr>
                    <w:keepNext w:val="0"/>
                    <w:keepLines w:val="0"/>
                    <w:pageBreakBefore w:val="0"/>
                    <w:kinsoku/>
                    <w:wordWrap/>
                    <w:overflowPunct/>
                    <w:bidi w:val="0"/>
                    <w:rPr>
                      <w:color w:val="auto"/>
                      <w:lang w:eastAsia="zh-CN"/>
                      <w:highlight w:val="none"/>
                    </w:rPr>
                  </w:pPr>
                  <w:r>
                    <w:rPr>
                      <w:rFonts w:ascii="Times New Roman" w:cs="Times New Roman" w:hAnsi="Times New Roman" w:hint="eastAsia"/>
                      <w:color w:val="auto"/>
                      <w:sz w:val="21"/>
                      <w:szCs w:val="21"/>
                      <w:lang w:val="en-US" w:eastAsia="zh-CN"/>
                      <w:highlight w:val="none"/>
                    </w:rPr>
                    <w:t>8、</w:t>
                  </w:r>
                  <w:r>
                    <w:rPr>
                      <w:rFonts w:cs="Times New Roman" w:hint="eastAsia"/>
                      <w:color w:val="auto"/>
                      <w:sz w:val="21"/>
                      <w:szCs w:val="21"/>
                      <w:lang w:val="en-US" w:eastAsia="zh-CN"/>
                      <w:highlight w:val="none"/>
                    </w:rPr>
                    <w:t>9、不属于</w:t>
                  </w:r>
                  <w:r>
                    <w:rPr>
                      <w:rFonts w:ascii="Times New Roman" w:eastAsia="宋体" w:cs="Times New Roman" w:hAnsi="Times New Roman"/>
                      <w:color w:val="auto"/>
                      <w:kern w:val="0"/>
                      <w:sz w:val="21"/>
                      <w:szCs w:val="21"/>
                      <w:lang w:val="en-US" w:eastAsia="zh-CN" w:bidi="ar-SA"/>
                      <w:highlight w:val="none"/>
                    </w:rPr>
                    <w:t>与规划不符现有企业</w:t>
                  </w:r>
                  <w:r>
                    <w:rPr>
                      <w:rFonts w:cs="Times New Roman"/>
                      <w:color w:val="auto"/>
                      <w:kern w:val="0"/>
                      <w:sz w:val="21"/>
                      <w:szCs w:val="21"/>
                      <w:lang w:eastAsia="zh-CN" w:bidi="ar-SA"/>
                      <w:highlight w:val="none"/>
                    </w:rPr>
                    <w:t>。</w:t>
                  </w:r>
                </w:p>
              </w:tc>
            </w:tr>
            <w:tr>
              <w:trPr>
                <w:trHeight w:val="397"/>
              </w:trPr>
              <w:tc>
                <w:tcPr>
                  <w:tcW w:w="229" w:type="pct"/>
                  <w:vMerge/>
                  <w:tcBorders>
                    <w:tl2br w:val="nil"/>
                    <w:tr2bl w:val="nil"/>
                  </w:tcBorders>
                  <w:vAlign w:val="center"/>
                </w:tcPr>
                <w:p/>
              </w:tc>
              <w:tc>
                <w:tcPr>
                  <w:tcW w:w="356" w:type="pct"/>
                  <w:tcBorders>
                    <w:tl2br w:val="nil"/>
                    <w:tr2bl w:val="nil"/>
                  </w:tcBorders>
                  <w:vAlign w:val="center"/>
                </w:tcPr>
                <w:p>
                  <w:pPr>
                    <w:keepNext w:val="0"/>
                    <w:keepLines w:val="0"/>
                    <w:pageBreakBefore w:val="0"/>
                    <w:widowControl/>
                    <w:suppressLineNumbers w:val="0"/>
                    <w:kinsoku/>
                    <w:wordWrap/>
                    <w:overflowPunct/>
                    <w:bidi w:val="0"/>
                    <w:jc w:val="center"/>
                    <w:rPr>
                      <w:rFonts w:ascii="Times New Roman" w:eastAsia="宋体" w:cs="Times New Roman" w:hAnsi="Times New Roman"/>
                      <w:color w:val="auto"/>
                      <w:kern w:val="0"/>
                      <w:sz w:val="21"/>
                      <w:szCs w:val="21"/>
                      <w:lang w:val="en-US" w:eastAsia="zh-CN" w:bidi="ar-SA"/>
                      <w:highlight w:val="none"/>
                    </w:rPr>
                  </w:pPr>
                  <w:r>
                    <w:rPr>
                      <w:rFonts w:ascii="Times New Roman" w:eastAsia="宋体" w:cs="Times New Roman" w:hAnsi="Times New Roman"/>
                      <w:color w:val="auto"/>
                      <w:kern w:val="0"/>
                      <w:sz w:val="21"/>
                      <w:szCs w:val="21"/>
                      <w:lang w:val="en-US" w:eastAsia="zh-CN" w:bidi="ar-SA"/>
                      <w:highlight w:val="none"/>
                    </w:rPr>
                    <w:t>污染物排放管控</w:t>
                  </w:r>
                </w:p>
              </w:tc>
              <w:tc>
                <w:tcPr>
                  <w:tcW w:w="2261" w:type="pct"/>
                  <w:tcBorders>
                    <w:tl2br w:val="nil"/>
                    <w:tr2bl w:val="nil"/>
                  </w:tcBorders>
                  <w:vAlign w:val="center"/>
                </w:tcPr>
                <w:p>
                  <w:pPr>
                    <w:keepNext w:val="0"/>
                    <w:keepLines w:val="0"/>
                    <w:pageBreakBefore w:val="0"/>
                    <w:widowControl/>
                    <w:suppressLineNumbers w:val="0"/>
                    <w:kinsoku/>
                    <w:wordWrap/>
                    <w:overflowPunct/>
                    <w:bidi w:val="0"/>
                    <w:jc w:val="both"/>
                    <w:rPr>
                      <w:rFonts w:ascii="Times New Roman" w:eastAsia="宋体" w:cs="Times New Roman" w:hAnsi="Times New Roman"/>
                      <w:color w:val="auto"/>
                      <w:kern w:val="0"/>
                      <w:sz w:val="21"/>
                      <w:szCs w:val="21"/>
                      <w:lang w:val="en-US" w:eastAsia="zh-CN" w:bidi="ar-SA"/>
                      <w:highlight w:val="none"/>
                    </w:rPr>
                  </w:pPr>
                  <w:r>
                    <w:rPr>
                      <w:rFonts w:ascii="Times New Roman" w:eastAsia="宋体" w:cs="Times New Roman" w:hAnsi="Times New Roman"/>
                      <w:color w:val="auto"/>
                      <w:kern w:val="0"/>
                      <w:sz w:val="21"/>
                      <w:szCs w:val="21"/>
                      <w:lang w:val="en-US" w:eastAsia="zh-CN" w:bidi="ar-SA"/>
                      <w:highlight w:val="none"/>
                    </w:rPr>
                    <w:t>1、鼓励优先引入集中式环保治理工程；入区项目需满足建设项目主要污污染物排放削减替代和总量控制要求。</w:t>
                  </w:r>
                </w:p>
                <w:p>
                  <w:pPr>
                    <w:keepNext w:val="0"/>
                    <w:keepLines w:val="0"/>
                    <w:pageBreakBefore w:val="0"/>
                    <w:widowControl/>
                    <w:suppressLineNumbers w:val="0"/>
                    <w:kinsoku/>
                    <w:wordWrap/>
                    <w:overflowPunct/>
                    <w:bidi w:val="0"/>
                    <w:jc w:val="both"/>
                    <w:rPr>
                      <w:rFonts w:ascii="Times New Roman" w:eastAsia="宋体" w:cs="Times New Roman" w:hAnsi="Times New Roman"/>
                      <w:color w:val="auto"/>
                      <w:kern w:val="0"/>
                      <w:sz w:val="21"/>
                      <w:szCs w:val="21"/>
                      <w:lang w:val="en-US" w:eastAsia="zh-CN" w:bidi="ar-SA"/>
                      <w:highlight w:val="none"/>
                    </w:rPr>
                  </w:pPr>
                  <w:r>
                    <w:rPr>
                      <w:rFonts w:ascii="Times New Roman" w:eastAsia="宋体" w:cs="Times New Roman" w:hAnsi="Times New Roman"/>
                      <w:color w:val="auto"/>
                      <w:kern w:val="0"/>
                      <w:sz w:val="21"/>
                      <w:szCs w:val="21"/>
                      <w:lang w:val="en-US" w:eastAsia="zh-CN" w:bidi="ar-SA"/>
                      <w:highlight w:val="none"/>
                    </w:rPr>
                    <w:t>2、强化VOCs大气特征污染物管控，新建具有绩效评级要求的涉气建设项目，应达到B级及以上水平。</w:t>
                  </w:r>
                </w:p>
                <w:p>
                  <w:pPr>
                    <w:keepNext w:val="0"/>
                    <w:keepLines w:val="0"/>
                    <w:pageBreakBefore w:val="0"/>
                    <w:widowControl/>
                    <w:suppressLineNumbers w:val="0"/>
                    <w:kinsoku/>
                    <w:wordWrap/>
                    <w:overflowPunct/>
                    <w:bidi w:val="0"/>
                    <w:jc w:val="both"/>
                    <w:rPr>
                      <w:rFonts w:ascii="Times New Roman" w:eastAsia="宋体" w:cs="Times New Roman" w:hAnsi="Times New Roman"/>
                      <w:color w:val="auto"/>
                      <w:kern w:val="0"/>
                      <w:sz w:val="21"/>
                      <w:szCs w:val="21"/>
                      <w:lang w:val="en-US" w:eastAsia="zh-CN" w:bidi="ar-SA"/>
                      <w:highlight w:val="none"/>
                    </w:rPr>
                  </w:pPr>
                  <w:r>
                    <w:rPr>
                      <w:rFonts w:ascii="Times New Roman" w:eastAsia="宋体" w:cs="Times New Roman" w:hAnsi="Times New Roman"/>
                      <w:color w:val="auto"/>
                      <w:kern w:val="0"/>
                      <w:sz w:val="21"/>
                      <w:szCs w:val="21"/>
                      <w:lang w:val="en-US" w:eastAsia="zh-CN" w:bidi="ar-SA"/>
                      <w:highlight w:val="none"/>
                    </w:rPr>
                    <w:t>3、废气污染物近期排放总量：颗粒物：81.696t/a，SO</w:t>
                  </w:r>
                  <w:r>
                    <w:rPr>
                      <w:rFonts w:ascii="Times New Roman" w:eastAsia="宋体" w:cs="Times New Roman" w:hAnsi="Times New Roman"/>
                      <w:color w:val="auto"/>
                      <w:kern w:val="0"/>
                      <w:sz w:val="21"/>
                      <w:szCs w:val="21"/>
                      <w:vertAlign w:val="subscript"/>
                      <w:lang w:val="en-US" w:eastAsia="zh-CN" w:bidi="ar-SA"/>
                      <w:highlight w:val="none"/>
                    </w:rPr>
                    <w:t>2</w:t>
                  </w:r>
                  <w:r>
                    <w:rPr>
                      <w:rFonts w:ascii="Times New Roman" w:eastAsia="宋体" w:cs="Times New Roman" w:hAnsi="Times New Roman"/>
                      <w:color w:val="auto"/>
                      <w:kern w:val="0"/>
                      <w:sz w:val="21"/>
                      <w:szCs w:val="21"/>
                      <w:lang w:val="en-US" w:eastAsia="zh-CN" w:bidi="ar-SA"/>
                      <w:highlight w:val="none"/>
                    </w:rPr>
                    <w:t>：99.369t/a，NOx：196.372t/a，VOCs：101.608t/a。废气污染物远期排放总量量：颗粒物：103.447t/a，SO</w:t>
                  </w:r>
                  <w:r>
                    <w:rPr>
                      <w:rFonts w:ascii="Times New Roman" w:eastAsia="宋体" w:cs="Times New Roman" w:hAnsi="Times New Roman"/>
                      <w:color w:val="auto"/>
                      <w:kern w:val="0"/>
                      <w:sz w:val="21"/>
                      <w:szCs w:val="21"/>
                      <w:vertAlign w:val="subscript"/>
                      <w:lang w:val="en-US" w:eastAsia="zh-CN" w:bidi="ar-SA"/>
                      <w:highlight w:val="none"/>
                    </w:rPr>
                    <w:t>2</w:t>
                  </w:r>
                  <w:r>
                    <w:rPr>
                      <w:rFonts w:ascii="Times New Roman" w:eastAsia="宋体" w:cs="Times New Roman" w:hAnsi="Times New Roman"/>
                      <w:color w:val="auto"/>
                      <w:kern w:val="0"/>
                      <w:sz w:val="21"/>
                      <w:szCs w:val="21"/>
                      <w:lang w:val="en-US" w:eastAsia="zh-CN" w:bidi="ar-SA"/>
                      <w:highlight w:val="none"/>
                    </w:rPr>
                    <w:t xml:space="preserve">：95.374t/a，NOx：195.47t/a，VOCs：132.481t/a。 </w:t>
                  </w:r>
                </w:p>
                <w:p>
                  <w:pPr>
                    <w:keepNext w:val="0"/>
                    <w:keepLines w:val="0"/>
                    <w:pageBreakBefore w:val="0"/>
                    <w:widowControl/>
                    <w:suppressLineNumbers w:val="0"/>
                    <w:kinsoku/>
                    <w:wordWrap/>
                    <w:overflowPunct/>
                    <w:bidi w:val="0"/>
                    <w:jc w:val="both"/>
                    <w:rPr>
                      <w:rFonts w:ascii="Times New Roman" w:eastAsia="宋体" w:cs="Times New Roman" w:hAnsi="Times New Roman"/>
                      <w:color w:val="auto"/>
                      <w:kern w:val="0"/>
                      <w:sz w:val="21"/>
                      <w:szCs w:val="21"/>
                      <w:lang w:val="en-US" w:eastAsia="zh-CN" w:bidi="ar-SA"/>
                      <w:highlight w:val="none"/>
                    </w:rPr>
                  </w:pPr>
                  <w:r>
                    <w:rPr>
                      <w:rFonts w:ascii="Times New Roman" w:eastAsia="宋体" w:cs="Times New Roman" w:hAnsi="Times New Roman"/>
                      <w:color w:val="auto"/>
                      <w:kern w:val="0"/>
                      <w:sz w:val="21"/>
                      <w:szCs w:val="21"/>
                      <w:lang w:val="en-US" w:eastAsia="zh-CN" w:bidi="ar-SA"/>
                      <w:highlight w:val="none"/>
                    </w:rPr>
                    <w:t>4、废气污染物近期新增排放量：颗粒物：8.563t/a，SO</w:t>
                  </w:r>
                  <w:r>
                    <w:rPr>
                      <w:rFonts w:ascii="Times New Roman" w:eastAsia="宋体" w:cs="Times New Roman" w:hAnsi="Times New Roman"/>
                      <w:color w:val="auto"/>
                      <w:kern w:val="0"/>
                      <w:sz w:val="21"/>
                      <w:szCs w:val="21"/>
                      <w:vertAlign w:val="subscript"/>
                      <w:lang w:val="en-US" w:eastAsia="zh-CN" w:bidi="ar-SA"/>
                      <w:highlight w:val="none"/>
                    </w:rPr>
                    <w:t>2</w:t>
                  </w:r>
                  <w:r>
                    <w:rPr>
                      <w:rFonts w:ascii="Times New Roman" w:eastAsia="宋体" w:cs="Times New Roman" w:hAnsi="Times New Roman"/>
                      <w:color w:val="auto"/>
                      <w:kern w:val="0"/>
                      <w:sz w:val="21"/>
                      <w:szCs w:val="21"/>
                      <w:lang w:val="en-US" w:eastAsia="zh-CN" w:bidi="ar-SA"/>
                      <w:highlight w:val="none"/>
                    </w:rPr>
                    <w:t>：0.167t/a，NOx：1.266t/a，VOCs：22.396t/a。废气污染物远期排放总量量：颗粒物：31.4t/a，SO</w:t>
                  </w:r>
                  <w:r>
                    <w:rPr>
                      <w:rFonts w:ascii="Times New Roman" w:eastAsia="宋体" w:cs="Times New Roman" w:hAnsi="Times New Roman"/>
                      <w:color w:val="auto"/>
                      <w:kern w:val="0"/>
                      <w:sz w:val="21"/>
                      <w:szCs w:val="21"/>
                      <w:vertAlign w:val="subscript"/>
                      <w:lang w:val="en-US" w:eastAsia="zh-CN" w:bidi="ar-SA"/>
                      <w:highlight w:val="none"/>
                    </w:rPr>
                    <w:t>2</w:t>
                  </w:r>
                  <w:r>
                    <w:rPr>
                      <w:rFonts w:ascii="Times New Roman" w:eastAsia="宋体" w:cs="Times New Roman" w:hAnsi="Times New Roman"/>
                      <w:color w:val="auto"/>
                      <w:kern w:val="0"/>
                      <w:sz w:val="21"/>
                      <w:szCs w:val="21"/>
                      <w:lang w:val="en-US" w:eastAsia="zh-CN" w:bidi="ar-SA"/>
                      <w:highlight w:val="none"/>
                    </w:rPr>
                    <w:t>：0.959/a，NOx：7.261t/a，VOCs：53.269t/a。</w:t>
                  </w:r>
                </w:p>
                <w:p>
                  <w:pPr>
                    <w:keepNext w:val="0"/>
                    <w:keepLines w:val="0"/>
                    <w:pageBreakBefore w:val="0"/>
                    <w:widowControl/>
                    <w:suppressLineNumbers w:val="0"/>
                    <w:kinsoku/>
                    <w:wordWrap/>
                    <w:overflowPunct/>
                    <w:bidi w:val="0"/>
                    <w:jc w:val="both"/>
                    <w:rPr>
                      <w:rFonts w:ascii="Times New Roman" w:eastAsia="宋体" w:cs="Times New Roman" w:hAnsi="Times New Roman"/>
                      <w:color w:val="auto"/>
                      <w:kern w:val="0"/>
                      <w:sz w:val="21"/>
                      <w:szCs w:val="21"/>
                      <w:lang w:val="en-US" w:eastAsia="zh-CN" w:bidi="ar-SA"/>
                      <w:highlight w:val="none"/>
                    </w:rPr>
                  </w:pPr>
                  <w:r>
                    <w:rPr>
                      <w:rFonts w:ascii="Times New Roman" w:eastAsia="宋体" w:cs="Times New Roman" w:hAnsi="Times New Roman"/>
                      <w:color w:val="auto"/>
                      <w:kern w:val="0"/>
                      <w:sz w:val="21"/>
                      <w:szCs w:val="21"/>
                      <w:lang w:val="en-US" w:eastAsia="zh-CN" w:bidi="ar-SA"/>
                      <w:highlight w:val="none"/>
                    </w:rPr>
                    <w:t>5、入区企业废水应全部纳入污水管网进入污水处理厂集中处理，严禁排入周边地表水体。近期排放量：COD：249.66t/a，氨氮：12.483t/a，远期排放量：COD：361.35t/a，氨氮：18.068t/a。</w:t>
                  </w:r>
                </w:p>
                <w:p>
                  <w:pPr>
                    <w:keepNext w:val="0"/>
                    <w:keepLines w:val="0"/>
                    <w:pageBreakBefore w:val="0"/>
                    <w:widowControl/>
                    <w:suppressLineNumbers w:val="0"/>
                    <w:kinsoku/>
                    <w:wordWrap/>
                    <w:overflowPunct/>
                    <w:bidi w:val="0"/>
                    <w:jc w:val="both"/>
                    <w:rPr>
                      <w:rFonts w:ascii="Times New Roman" w:eastAsia="宋体" w:cs="Times New Roman" w:hAnsi="Times New Roman"/>
                      <w:color w:val="auto"/>
                      <w:kern w:val="0"/>
                      <w:sz w:val="21"/>
                      <w:szCs w:val="21"/>
                      <w:lang w:val="en-US" w:eastAsia="zh-CN" w:bidi="ar-SA"/>
                      <w:highlight w:val="none"/>
                    </w:rPr>
                  </w:pPr>
                  <w:r>
                    <w:rPr>
                      <w:rFonts w:ascii="Times New Roman" w:eastAsia="宋体" w:cs="Times New Roman" w:hAnsi="Times New Roman"/>
                      <w:color w:val="auto"/>
                      <w:kern w:val="0"/>
                      <w:sz w:val="21"/>
                      <w:szCs w:val="21"/>
                      <w:lang w:val="en-US" w:eastAsia="zh-CN" w:bidi="ar-SA"/>
                      <w:highlight w:val="none"/>
                    </w:rPr>
                    <w:t>6、一般工业固体废物：近期 117.2918万吨/年，远期150.7986 万吨/年。</w:t>
                  </w:r>
                </w:p>
                <w:p>
                  <w:pPr>
                    <w:keepNext w:val="0"/>
                    <w:keepLines w:val="0"/>
                    <w:pageBreakBefore w:val="0"/>
                    <w:widowControl/>
                    <w:suppressLineNumbers w:val="0"/>
                    <w:kinsoku/>
                    <w:wordWrap/>
                    <w:overflowPunct/>
                    <w:bidi w:val="0"/>
                    <w:jc w:val="both"/>
                    <w:rPr>
                      <w:rFonts w:ascii="Times New Roman" w:eastAsia="宋体" w:cs="Times New Roman" w:hAnsi="Times New Roman"/>
                      <w:color w:val="auto"/>
                      <w:kern w:val="0"/>
                      <w:sz w:val="21"/>
                      <w:szCs w:val="21"/>
                      <w:lang w:val="en-US" w:eastAsia="zh-CN" w:bidi="ar-SA"/>
                      <w:highlight w:val="none"/>
                    </w:rPr>
                  </w:pPr>
                  <w:r>
                    <w:rPr>
                      <w:rFonts w:ascii="Times New Roman" w:eastAsia="宋体" w:cs="Times New Roman" w:hAnsi="Times New Roman"/>
                      <w:color w:val="auto"/>
                      <w:kern w:val="0"/>
                      <w:sz w:val="21"/>
                      <w:szCs w:val="21"/>
                      <w:lang w:val="en-US" w:eastAsia="zh-CN" w:bidi="ar-SA"/>
                      <w:highlight w:val="none"/>
                    </w:rPr>
                    <w:t>7、危险废物：近期9.2073万t/a，远期13.9646万t/a。</w:t>
                  </w:r>
                </w:p>
                <w:p>
                  <w:pPr>
                    <w:keepNext w:val="0"/>
                    <w:keepLines w:val="0"/>
                    <w:pageBreakBefore w:val="0"/>
                    <w:widowControl/>
                    <w:suppressLineNumbers w:val="0"/>
                    <w:kinsoku/>
                    <w:wordWrap/>
                    <w:overflowPunct/>
                    <w:bidi w:val="0"/>
                    <w:jc w:val="both"/>
                    <w:rPr>
                      <w:rFonts w:ascii="Times New Roman" w:eastAsia="宋体" w:cs="Times New Roman" w:hAnsi="Times New Roman"/>
                      <w:color w:val="auto"/>
                      <w:kern w:val="0"/>
                      <w:sz w:val="21"/>
                      <w:szCs w:val="21"/>
                      <w:lang w:val="en-US" w:eastAsia="zh-CN" w:bidi="ar-SA"/>
                      <w:highlight w:val="none"/>
                    </w:rPr>
                  </w:pPr>
                  <w:r>
                    <w:rPr>
                      <w:rFonts w:ascii="Times New Roman" w:eastAsia="宋体" w:cs="Times New Roman" w:hAnsi="Times New Roman"/>
                      <w:color w:val="auto"/>
                      <w:kern w:val="0"/>
                      <w:sz w:val="21"/>
                      <w:szCs w:val="21"/>
                      <w:lang w:val="en-US" w:eastAsia="zh-CN" w:bidi="ar-SA"/>
                      <w:highlight w:val="none"/>
                    </w:rPr>
                    <w:t>8、单位工业产值二氧化碳排放量：近期：0.40tCO</w:t>
                  </w:r>
                  <w:r>
                    <w:rPr>
                      <w:rFonts w:ascii="Times New Roman" w:eastAsia="宋体" w:cs="Times New Roman" w:hAnsi="Times New Roman"/>
                      <w:color w:val="auto"/>
                      <w:kern w:val="0"/>
                      <w:sz w:val="21"/>
                      <w:szCs w:val="21"/>
                      <w:vertAlign w:val="subscript"/>
                      <w:lang w:val="en-US" w:eastAsia="zh-CN" w:bidi="ar-SA"/>
                      <w:highlight w:val="none"/>
                    </w:rPr>
                    <w:t>2</w:t>
                  </w:r>
                  <w:r>
                    <w:rPr>
                      <w:rFonts w:ascii="Times New Roman" w:eastAsia="宋体" w:cs="Times New Roman" w:hAnsi="Times New Roman"/>
                      <w:color w:val="auto"/>
                      <w:kern w:val="0"/>
                      <w:sz w:val="21"/>
                      <w:szCs w:val="21"/>
                      <w:lang w:val="en-US" w:eastAsia="zh-CN" w:bidi="ar-SA"/>
                      <w:highlight w:val="none"/>
                    </w:rPr>
                    <w:t>/万元产值，远期：0.233tCO</w:t>
                  </w:r>
                  <w:r>
                    <w:rPr>
                      <w:rFonts w:ascii="Times New Roman" w:eastAsia="宋体" w:cs="Times New Roman" w:hAnsi="Times New Roman"/>
                      <w:color w:val="auto"/>
                      <w:kern w:val="0"/>
                      <w:sz w:val="21"/>
                      <w:szCs w:val="21"/>
                      <w:vertAlign w:val="subscript"/>
                      <w:lang w:val="en-US" w:eastAsia="zh-CN" w:bidi="ar-SA"/>
                      <w:highlight w:val="none"/>
                    </w:rPr>
                    <w:t>2</w:t>
                  </w:r>
                  <w:r>
                    <w:rPr>
                      <w:rFonts w:ascii="Times New Roman" w:eastAsia="宋体" w:cs="Times New Roman" w:hAnsi="Times New Roman"/>
                      <w:color w:val="auto"/>
                      <w:kern w:val="0"/>
                      <w:sz w:val="21"/>
                      <w:szCs w:val="21"/>
                      <w:lang w:val="en-US" w:eastAsia="zh-CN" w:bidi="ar-SA"/>
                      <w:highlight w:val="none"/>
                    </w:rPr>
                    <w:t>/万元产值。</w:t>
                  </w:r>
                </w:p>
              </w:tc>
              <w:tc>
                <w:tcPr>
                  <w:tcW w:w="2152" w:type="pct"/>
                  <w:tcBorders>
                    <w:tl2br w:val="nil"/>
                    <w:tr2bl w:val="nil"/>
                  </w:tcBorders>
                  <w:vAlign w:val="center"/>
                </w:tcPr>
                <w:p>
                  <w:pPr>
                    <w:pStyle w:val="68"/>
                    <w:keepNext w:val="0"/>
                    <w:keepLines w:val="0"/>
                    <w:pageBreakBefore w:val="0"/>
                    <w:widowControl w:val="0"/>
                    <w:tabs>
                      <w:tab w:val="left" w:pos="0"/>
                      <w:tab w:val="left" w:pos="360"/>
                      <w:tab w:val="left" w:pos="900"/>
                    </w:tabs>
                    <w:kinsoku/>
                    <w:wordWrap/>
                    <w:overflowPunct/>
                    <w:topLinePunct/>
                    <w:autoSpaceDE w:val="0"/>
                    <w:autoSpaceDN w:val="0"/>
                    <w:bidi w:val="0"/>
                    <w:adjustRightInd w:val="0"/>
                    <w:snapToGrid w:val="0"/>
                    <w:spacing w:line="240" w:lineRule="auto"/>
                    <w:jc w:val="both"/>
                    <w:textAlignment w:val="baseline"/>
                    <w:rPr>
                      <w:rFonts w:ascii="Times New Roman" w:cs="Times New Roman" w:hAnsi="Times New Roman"/>
                      <w:color w:val="auto"/>
                      <w:sz w:val="21"/>
                      <w:szCs w:val="21"/>
                      <w:highlight w:val="none"/>
                    </w:rPr>
                  </w:pPr>
                  <w:r>
                    <w:rPr>
                      <w:rFonts w:cs="Times New Roman" w:hint="eastAsia"/>
                      <w:color w:val="auto"/>
                      <w:kern w:val="2"/>
                      <w:sz w:val="21"/>
                      <w:szCs w:val="21"/>
                      <w:lang w:val="en-US" w:bidi="ar-SA"/>
                      <w:highlight w:val="none"/>
                    </w:rPr>
                    <w:t>项</w:t>
                  </w:r>
                  <w:r>
                    <w:rPr>
                      <w:rFonts w:ascii="Times New Roman" w:eastAsia="宋体" w:cs="Times New Roman" w:hAnsi="Times New Roman" w:hint="eastAsia"/>
                      <w:color w:val="auto"/>
                      <w:kern w:val="2"/>
                      <w:sz w:val="21"/>
                      <w:szCs w:val="21"/>
                      <w:lang w:val="en-US" w:eastAsia="zh-CN" w:bidi="ar-SA"/>
                      <w:highlight w:val="none"/>
                    </w:rPr>
                    <w:t>目</w:t>
                  </w:r>
                  <w:r>
                    <w:rPr>
                      <w:rFonts w:cs="Times New Roman" w:hint="eastAsia"/>
                      <w:color w:val="auto"/>
                      <w:kern w:val="2"/>
                      <w:sz w:val="21"/>
                      <w:szCs w:val="21"/>
                      <w:lang w:val="en-US" w:eastAsia="zh-CN" w:bidi="ar-SA"/>
                      <w:highlight w:val="none"/>
                    </w:rPr>
                    <w:t>产生的废气主要为</w:t>
                  </w:r>
                  <w:r>
                    <w:rPr>
                      <w:rFonts w:cs="Times New Roman" w:hint="eastAsia"/>
                      <w:color w:val="auto"/>
                      <w:kern w:val="2"/>
                      <w:sz w:val="21"/>
                      <w:szCs w:val="21"/>
                      <w:lang w:val="en-US" w:bidi="ar-SA"/>
                      <w:highlight w:val="none"/>
                    </w:rPr>
                    <w:t>非正常工况下</w:t>
                  </w:r>
                  <w:r>
                    <w:rPr>
                      <w:rFonts w:cs="Times New Roman" w:hint="eastAsia"/>
                      <w:color w:val="auto"/>
                      <w:kern w:val="2"/>
                      <w:sz w:val="21"/>
                      <w:szCs w:val="21"/>
                      <w:lang w:val="en-US" w:eastAsia="zh-CN" w:bidi="ar-SA"/>
                      <w:highlight w:val="none"/>
                    </w:rPr>
                    <w:t>废电池破损产生的硫酸雾，采用</w:t>
                  </w:r>
                  <w:r>
                    <w:rPr>
                      <w:rFonts w:cs="Times New Roman" w:hint="eastAsia"/>
                      <w:color w:val="auto"/>
                      <w:kern w:val="2"/>
                      <w:sz w:val="21"/>
                      <w:szCs w:val="21"/>
                      <w:lang w:val="en-US" w:bidi="ar-SA"/>
                      <w:highlight w:val="none"/>
                    </w:rPr>
                    <w:t>碱喷淋装置进行处理</w:t>
                  </w:r>
                  <w:r>
                    <w:rPr>
                      <w:rFonts w:cs="Times New Roman"/>
                      <w:color w:val="auto"/>
                      <w:kern w:val="2"/>
                      <w:sz w:val="21"/>
                      <w:szCs w:val="21"/>
                      <w:lang w:bidi="ar-SA"/>
                      <w:highlight w:val="none"/>
                    </w:rPr>
                    <w:t>，</w:t>
                  </w:r>
                  <w:r>
                    <w:rPr>
                      <w:rFonts w:cs="Times New Roman" w:hint="eastAsia"/>
                      <w:color w:val="auto"/>
                      <w:kern w:val="2"/>
                      <w:sz w:val="21"/>
                      <w:szCs w:val="21"/>
                      <w:lang w:val="en-US" w:bidi="ar-SA"/>
                      <w:highlight w:val="none"/>
                    </w:rPr>
                    <w:t>处理后通过</w:t>
                  </w:r>
                  <w:r>
                    <w:rPr>
                      <w:rFonts w:ascii="Times New Roman" w:eastAsia="宋体" w:cs="Times New Roman" w:hAnsi="Times New Roman"/>
                      <w:bCs w:val="0"/>
                      <w:color w:val="auto"/>
                      <w:kern w:val="0"/>
                      <w:sz w:val="21"/>
                      <w:szCs w:val="21"/>
                      <w:lang w:val="en-US" w:bidi="ar-SA"/>
                      <w:highlight w:val="none"/>
                    </w:rPr>
                    <w:t>15</w:t>
                  </w:r>
                  <w:r>
                    <w:rPr>
                      <w:rFonts w:ascii="Times New Roman" w:eastAsia="宋体" w:cs="Times New Roman" w:hAnsi="Times New Roman" w:hint="eastAsia"/>
                      <w:bCs w:val="0"/>
                      <w:color w:val="auto"/>
                      <w:kern w:val="0"/>
                      <w:sz w:val="21"/>
                      <w:szCs w:val="21"/>
                      <w:lang w:val="en-US" w:bidi="ar-SA"/>
                      <w:highlight w:val="none"/>
                    </w:rPr>
                    <w:t>m高排气筒排放</w:t>
                  </w:r>
                  <w:r>
                    <w:rPr>
                      <w:rFonts w:ascii="Times New Roman" w:eastAsia="宋体" w:cs="Times New Roman" w:hAnsi="Times New Roman" w:hint="eastAsia"/>
                      <w:bCs w:val="0"/>
                      <w:color w:val="auto"/>
                      <w:kern w:val="0"/>
                      <w:sz w:val="21"/>
                      <w:szCs w:val="21"/>
                      <w:lang w:val="en-US" w:eastAsia="zh-CN" w:bidi="ar-SA"/>
                      <w:highlight w:val="none"/>
                    </w:rPr>
                    <w:t>。</w:t>
                  </w:r>
                  <w:r>
                    <w:rPr>
                      <w:rFonts w:ascii="Times New Roman" w:eastAsia="宋体" w:cs="Times New Roman" w:hAnsi="Times New Roman"/>
                      <w:bCs w:val="0"/>
                      <w:color w:val="auto"/>
                      <w:kern w:val="0"/>
                      <w:sz w:val="21"/>
                      <w:szCs w:val="21"/>
                      <w:lang w:val="en-US" w:eastAsia="zh-CN" w:bidi="ar-SA"/>
                      <w:highlight w:val="none"/>
                    </w:rPr>
                    <w:t>项目</w:t>
                  </w:r>
                  <w:r>
                    <w:rPr>
                      <w:rFonts w:ascii="Times New Roman" w:eastAsia="宋体" w:cs="Times New Roman" w:hAnsi="Times New Roman" w:hint="eastAsia"/>
                      <w:bCs w:val="0"/>
                      <w:color w:val="auto"/>
                      <w:kern w:val="0"/>
                      <w:sz w:val="21"/>
                      <w:szCs w:val="21"/>
                      <w:lang w:val="en-US" w:eastAsia="zh-CN" w:bidi="ar-SA"/>
                      <w:highlight w:val="none"/>
                    </w:rPr>
                    <w:t>废水主要为生活污水，</w:t>
                  </w:r>
                  <w:r>
                    <w:rPr>
                      <w:rFonts w:ascii="Times New Roman" w:eastAsia="宋体" w:cs="Times New Roman" w:hAnsi="Times New Roman"/>
                      <w:color w:val="auto"/>
                      <w:kern w:val="2"/>
                      <w:sz w:val="21"/>
                      <w:szCs w:val="21"/>
                      <w:lang w:val="en-US" w:eastAsia="zh-CN" w:bidi="ar-SA"/>
                      <w:highlight w:val="none"/>
                    </w:rPr>
                    <w:t>依托河北泽豪环保新材料科技有限公司化粪池处理后，</w:t>
                  </w:r>
                  <w:r>
                    <w:rPr>
                      <w:rFonts w:cs="Times New Roman" w:hint="eastAsia"/>
                      <w:color w:val="auto"/>
                      <w:kern w:val="2"/>
                      <w:sz w:val="21"/>
                      <w:szCs w:val="21"/>
                      <w:lang w:val="en-US" w:eastAsia="zh-CN" w:bidi="ar-SA"/>
                      <w:highlight w:val="none"/>
                    </w:rPr>
                    <w:t>定期清掏，不外排</w:t>
                  </w:r>
                  <w:r>
                    <w:rPr>
                      <w:rFonts w:ascii="Times New Roman" w:eastAsia="宋体" w:cs="Times New Roman" w:hAnsi="Times New Roman" w:hint="eastAsia"/>
                      <w:bCs w:val="0"/>
                      <w:color w:val="auto"/>
                      <w:kern w:val="0"/>
                      <w:sz w:val="21"/>
                      <w:szCs w:val="21"/>
                      <w:lang w:val="en-US" w:eastAsia="zh-CN" w:bidi="ar-SA"/>
                      <w:highlight w:val="none"/>
                    </w:rPr>
                    <w:t>。</w:t>
                  </w:r>
                  <w:r>
                    <w:rPr>
                      <w:rFonts w:ascii="Times New Roman" w:eastAsia="宋体" w:cs="Times New Roman" w:hAnsi="Times New Roman"/>
                      <w:bCs w:val="0"/>
                      <w:color w:val="auto"/>
                      <w:kern w:val="0"/>
                      <w:sz w:val="21"/>
                      <w:szCs w:val="21"/>
                      <w:lang w:val="en-US" w:eastAsia="zh-CN" w:bidi="ar-SA"/>
                      <w:highlight w:val="none"/>
                    </w:rPr>
                    <w:t>固体废物全部妥善处置不外排</w:t>
                  </w:r>
                  <w:r>
                    <w:rPr>
                      <w:rFonts w:cs="Times New Roman" w:hint="eastAsia"/>
                      <w:bCs w:val="0"/>
                      <w:color w:val="auto"/>
                      <w:kern w:val="0"/>
                      <w:sz w:val="21"/>
                      <w:szCs w:val="21"/>
                      <w:lang w:val="en-US" w:eastAsia="zh-CN" w:bidi="ar-SA"/>
                      <w:highlight w:val="none"/>
                    </w:rPr>
                    <w:t>。</w:t>
                  </w:r>
                </w:p>
              </w:tc>
            </w:tr>
            <w:tr>
              <w:trPr>
                <w:trHeight w:val="397"/>
              </w:trPr>
              <w:tc>
                <w:tcPr>
                  <w:tcW w:w="229" w:type="pct"/>
                  <w:vMerge/>
                  <w:tcBorders>
                    <w:tl2br w:val="nil"/>
                    <w:tr2bl w:val="nil"/>
                  </w:tcBorders>
                  <w:vAlign w:val="center"/>
                </w:tcPr>
                <w:p/>
              </w:tc>
              <w:tc>
                <w:tcPr>
                  <w:tcW w:w="356" w:type="pct"/>
                  <w:tcBorders>
                    <w:tl2br w:val="nil"/>
                    <w:tr2bl w:val="nil"/>
                  </w:tcBorders>
                  <w:vAlign w:val="center"/>
                </w:tcPr>
                <w:p>
                  <w:pPr>
                    <w:keepNext w:val="0"/>
                    <w:keepLines w:val="0"/>
                    <w:pageBreakBefore w:val="0"/>
                    <w:widowControl/>
                    <w:suppressLineNumbers w:val="0"/>
                    <w:kinsoku/>
                    <w:wordWrap/>
                    <w:overflowPunct/>
                    <w:bidi w:val="0"/>
                    <w:jc w:val="center"/>
                    <w:rPr>
                      <w:rFonts w:ascii="Times New Roman" w:eastAsia="宋体" w:cs="Times New Roman" w:hAnsi="Times New Roman"/>
                      <w:color w:val="auto"/>
                      <w:kern w:val="0"/>
                      <w:sz w:val="21"/>
                      <w:szCs w:val="21"/>
                      <w:lang w:val="en-US" w:eastAsia="zh-CN" w:bidi="ar-SA"/>
                      <w:highlight w:val="none"/>
                    </w:rPr>
                  </w:pPr>
                  <w:r>
                    <w:rPr>
                      <w:rFonts w:ascii="Times New Roman" w:eastAsia="宋体" w:cs="Times New Roman" w:hAnsi="Times New Roman"/>
                      <w:color w:val="auto"/>
                      <w:kern w:val="0"/>
                      <w:sz w:val="21"/>
                      <w:szCs w:val="21"/>
                      <w:lang w:val="en-US" w:eastAsia="zh-CN" w:bidi="ar-SA"/>
                      <w:highlight w:val="none"/>
                    </w:rPr>
                    <w:t>环境风险防控</w:t>
                  </w:r>
                </w:p>
              </w:tc>
              <w:tc>
                <w:tcPr>
                  <w:tcW w:w="2261" w:type="pct"/>
                  <w:tcBorders>
                    <w:tl2br w:val="nil"/>
                    <w:tr2bl w:val="nil"/>
                  </w:tcBorders>
                  <w:vAlign w:val="center"/>
                </w:tcPr>
                <w:p>
                  <w:pPr>
                    <w:keepNext w:val="0"/>
                    <w:keepLines w:val="0"/>
                    <w:pageBreakBefore w:val="0"/>
                    <w:widowControl/>
                    <w:suppressLineNumbers w:val="0"/>
                    <w:kinsoku/>
                    <w:wordWrap/>
                    <w:overflowPunct/>
                    <w:bidi w:val="0"/>
                    <w:jc w:val="both"/>
                    <w:rPr>
                      <w:rFonts w:ascii="Times New Roman" w:eastAsia="宋体" w:cs="Times New Roman" w:hAnsi="Times New Roman"/>
                      <w:color w:val="auto"/>
                      <w:kern w:val="0"/>
                      <w:sz w:val="21"/>
                      <w:szCs w:val="21"/>
                      <w:lang w:val="en-US" w:eastAsia="zh-CN" w:bidi="ar-SA"/>
                      <w:highlight w:val="none"/>
                    </w:rPr>
                  </w:pPr>
                  <w:r>
                    <w:rPr>
                      <w:rFonts w:ascii="Times New Roman" w:eastAsia="宋体" w:cs="Times New Roman" w:hAnsi="Times New Roman"/>
                      <w:color w:val="auto"/>
                      <w:kern w:val="0"/>
                      <w:sz w:val="21"/>
                      <w:szCs w:val="21"/>
                      <w:lang w:val="en-US" w:eastAsia="zh-CN" w:bidi="ar-SA"/>
                      <w:highlight w:val="none"/>
                    </w:rPr>
                    <w:t>1、重点监管企业和产业园区周边土壤环境定期开展监督性监测，重点监测重金属和持久性有机污染物。</w:t>
                  </w:r>
                </w:p>
                <w:p>
                  <w:pPr>
                    <w:keepNext w:val="0"/>
                    <w:keepLines w:val="0"/>
                    <w:pageBreakBefore w:val="0"/>
                    <w:widowControl/>
                    <w:suppressLineNumbers w:val="0"/>
                    <w:kinsoku/>
                    <w:wordWrap/>
                    <w:overflowPunct/>
                    <w:bidi w:val="0"/>
                    <w:jc w:val="both"/>
                    <w:rPr>
                      <w:rFonts w:ascii="Times New Roman" w:eastAsia="宋体" w:cs="Times New Roman" w:hAnsi="Times New Roman"/>
                      <w:color w:val="auto"/>
                      <w:kern w:val="0"/>
                      <w:sz w:val="21"/>
                      <w:szCs w:val="21"/>
                      <w:lang w:val="en-US" w:eastAsia="zh-CN" w:bidi="ar-SA"/>
                      <w:highlight w:val="none"/>
                    </w:rPr>
                  </w:pPr>
                  <w:r>
                    <w:rPr>
                      <w:rFonts w:ascii="Times New Roman" w:eastAsia="宋体" w:cs="Times New Roman" w:hAnsi="Times New Roman"/>
                      <w:color w:val="auto"/>
                      <w:kern w:val="0"/>
                      <w:sz w:val="21"/>
                      <w:szCs w:val="21"/>
                      <w:lang w:val="en-US" w:eastAsia="zh-CN" w:bidi="ar-SA"/>
                      <w:highlight w:val="none"/>
                    </w:rPr>
                    <w:t>2、对于易导致环境风险的有毒有害和易燃易爆物质的生产、使用、排放、贮运等新建、改扩建项目，风险防控措施应满足本评价提出的环境风险管理要求。</w:t>
                  </w:r>
                </w:p>
                <w:p>
                  <w:pPr>
                    <w:keepNext w:val="0"/>
                    <w:keepLines w:val="0"/>
                    <w:pageBreakBefore w:val="0"/>
                    <w:widowControl/>
                    <w:suppressLineNumbers w:val="0"/>
                    <w:kinsoku/>
                    <w:wordWrap/>
                    <w:overflowPunct/>
                    <w:bidi w:val="0"/>
                    <w:jc w:val="both"/>
                    <w:rPr>
                      <w:rFonts w:ascii="Times New Roman" w:eastAsia="宋体" w:cs="Times New Roman" w:hAnsi="Times New Roman"/>
                      <w:color w:val="auto"/>
                      <w:kern w:val="0"/>
                      <w:sz w:val="21"/>
                      <w:szCs w:val="21"/>
                      <w:lang w:val="en-US" w:eastAsia="zh-CN" w:bidi="ar-SA"/>
                      <w:highlight w:val="none"/>
                    </w:rPr>
                  </w:pPr>
                  <w:r>
                    <w:rPr>
                      <w:rFonts w:ascii="Times New Roman" w:eastAsia="宋体" w:cs="Times New Roman" w:hAnsi="Times New Roman"/>
                      <w:color w:val="auto"/>
                      <w:kern w:val="0"/>
                      <w:sz w:val="21"/>
                      <w:szCs w:val="21"/>
                      <w:lang w:val="en-US" w:eastAsia="zh-CN" w:bidi="ar-SA"/>
                      <w:highlight w:val="none"/>
                    </w:rPr>
                    <w:t>3、距离石家庄市栾城区水利局第一供水厂水源地水源地一级保护区较近的项目应重点关注水环境风险应急措施，确保突发事故情况水环境风险物质不进入地下水。</w:t>
                  </w:r>
                </w:p>
                <w:p>
                  <w:pPr>
                    <w:keepNext w:val="0"/>
                    <w:keepLines w:val="0"/>
                    <w:pageBreakBefore w:val="0"/>
                    <w:widowControl/>
                    <w:suppressLineNumbers w:val="0"/>
                    <w:kinsoku/>
                    <w:wordWrap/>
                    <w:overflowPunct/>
                    <w:bidi w:val="0"/>
                    <w:jc w:val="both"/>
                    <w:rPr>
                      <w:rFonts w:ascii="Times New Roman" w:eastAsia="宋体" w:cs="Times New Roman" w:hAnsi="Times New Roman"/>
                      <w:color w:val="auto"/>
                      <w:kern w:val="0"/>
                      <w:sz w:val="21"/>
                      <w:szCs w:val="21"/>
                      <w:lang w:val="en-US" w:eastAsia="zh-CN" w:bidi="ar-SA"/>
                      <w:highlight w:val="none"/>
                    </w:rPr>
                  </w:pPr>
                  <w:r>
                    <w:rPr>
                      <w:rFonts w:ascii="Times New Roman" w:eastAsia="宋体" w:cs="Times New Roman" w:hAnsi="Times New Roman"/>
                      <w:color w:val="auto"/>
                      <w:kern w:val="0"/>
                      <w:sz w:val="21"/>
                      <w:szCs w:val="21"/>
                      <w:lang w:val="en-US" w:eastAsia="zh-CN" w:bidi="ar-SA"/>
                      <w:highlight w:val="none"/>
                    </w:rPr>
                    <w:t>4、入区企业应按照相关要求，组织编制《环境风险应急预案》，成立应急组织机构，定期开展应急演练，提高区域环境风险防范能力。</w:t>
                  </w:r>
                </w:p>
                <w:p>
                  <w:pPr>
                    <w:keepNext w:val="0"/>
                    <w:keepLines w:val="0"/>
                    <w:pageBreakBefore w:val="0"/>
                    <w:widowControl/>
                    <w:suppressLineNumbers w:val="0"/>
                    <w:kinsoku/>
                    <w:wordWrap/>
                    <w:overflowPunct/>
                    <w:bidi w:val="0"/>
                    <w:jc w:val="both"/>
                    <w:rPr>
                      <w:rFonts w:ascii="Times New Roman" w:eastAsia="宋体" w:cs="Times New Roman" w:hAnsi="Times New Roman"/>
                      <w:color w:val="auto"/>
                      <w:kern w:val="0"/>
                      <w:sz w:val="21"/>
                      <w:szCs w:val="21"/>
                      <w:lang w:val="en-US" w:eastAsia="zh-CN" w:bidi="ar-SA"/>
                      <w:highlight w:val="none"/>
                    </w:rPr>
                  </w:pPr>
                  <w:r>
                    <w:rPr>
                      <w:rFonts w:ascii="Times New Roman" w:eastAsia="宋体" w:cs="Times New Roman" w:hAnsi="Times New Roman"/>
                      <w:color w:val="auto"/>
                      <w:kern w:val="0"/>
                      <w:sz w:val="21"/>
                      <w:szCs w:val="21"/>
                      <w:lang w:val="en-US" w:eastAsia="zh-CN" w:bidi="ar-SA"/>
                      <w:highlight w:val="none"/>
                    </w:rPr>
                    <w:t xml:space="preserve">5、危险废物转移过程中应采取防扬散、防流失、防渗漏或者其他防止污染环境的措施，不得擅自倾倒、堆放、丢弃、遗撒危险废物。转移过程发生危险废物突发环境事件时，应立即采取有效措施消除或者减轻对环境的污染危害，并按相关规定向事故发生地有关部门报告。 </w:t>
                  </w:r>
                </w:p>
                <w:p>
                  <w:pPr>
                    <w:keepNext w:val="0"/>
                    <w:keepLines w:val="0"/>
                    <w:pageBreakBefore w:val="0"/>
                    <w:widowControl/>
                    <w:suppressLineNumbers w:val="0"/>
                    <w:kinsoku/>
                    <w:wordWrap/>
                    <w:overflowPunct/>
                    <w:bidi w:val="0"/>
                    <w:jc w:val="both"/>
                    <w:rPr>
                      <w:rFonts w:ascii="Times New Roman" w:eastAsia="宋体" w:cs="Times New Roman" w:hAnsi="Times New Roman"/>
                      <w:color w:val="auto"/>
                      <w:kern w:val="0"/>
                      <w:sz w:val="21"/>
                      <w:szCs w:val="21"/>
                      <w:lang w:val="en-US" w:eastAsia="zh-CN" w:bidi="ar-SA"/>
                      <w:highlight w:val="none"/>
                    </w:rPr>
                  </w:pPr>
                  <w:r>
                    <w:rPr>
                      <w:rFonts w:cs="Times New Roman" w:hint="eastAsia"/>
                      <w:color w:val="auto"/>
                      <w:kern w:val="0"/>
                      <w:sz w:val="21"/>
                      <w:szCs w:val="21"/>
                      <w:lang w:val="en-US" w:eastAsia="zh-CN" w:bidi="ar-SA"/>
                      <w:highlight w:val="none"/>
                    </w:rPr>
                    <w:t>6</w:t>
                  </w:r>
                  <w:r>
                    <w:rPr>
                      <w:rFonts w:ascii="Times New Roman" w:eastAsia="宋体" w:cs="Times New Roman" w:hAnsi="Times New Roman"/>
                      <w:color w:val="auto"/>
                      <w:kern w:val="0"/>
                      <w:sz w:val="21"/>
                      <w:szCs w:val="21"/>
                      <w:lang w:val="en-US" w:eastAsia="zh-CN" w:bidi="ar-SA"/>
                      <w:highlight w:val="none"/>
                    </w:rPr>
                    <w:t>、建设风险较大的储罐距离居住区等环境保护目标应满足以下距离要求：甲醛储罐＞100m，液氨储罐＞20m，甲醇储罐＞10m，液氯储罐＞500m，同时风险较大的储罐还应满足建设项目环评提出的要求。</w:t>
                  </w:r>
                </w:p>
              </w:tc>
              <w:tc>
                <w:tcPr>
                  <w:tcW w:w="2152" w:type="pct"/>
                  <w:tcBorders>
                    <w:tl2br w:val="nil"/>
                    <w:tr2bl w:val="nil"/>
                  </w:tcBorders>
                  <w:vAlign w:val="center"/>
                </w:tcPr>
                <w:p>
                  <w:pPr>
                    <w:pStyle w:val="68"/>
                    <w:keepNext w:val="0"/>
                    <w:keepLines w:val="0"/>
                    <w:pageBreakBefore w:val="0"/>
                    <w:widowControl w:val="0"/>
                    <w:tabs>
                      <w:tab w:val="left" w:pos="0"/>
                      <w:tab w:val="left" w:pos="360"/>
                      <w:tab w:val="left" w:pos="900"/>
                    </w:tabs>
                    <w:kinsoku/>
                    <w:wordWrap/>
                    <w:overflowPunct/>
                    <w:topLinePunct/>
                    <w:autoSpaceDE w:val="0"/>
                    <w:autoSpaceDN w:val="0"/>
                    <w:bidi w:val="0"/>
                    <w:adjustRightInd w:val="0"/>
                    <w:snapToGrid w:val="0"/>
                    <w:spacing w:line="240" w:lineRule="auto"/>
                    <w:jc w:val="both"/>
                    <w:textAlignment w:val="baseline"/>
                    <w:rPr>
                      <w:rFonts w:cs="Times New Roman" w:hint="eastAsia"/>
                      <w:color w:val="auto"/>
                      <w:kern w:val="0"/>
                      <w:sz w:val="21"/>
                      <w:szCs w:val="21"/>
                      <w:lang w:val="en-US" w:eastAsia="zh-CN" w:bidi="ar-SA"/>
                      <w:highlight w:val="none"/>
                    </w:rPr>
                  </w:pPr>
                  <w:r>
                    <w:rPr>
                      <w:rFonts w:ascii="Times New Roman" w:cs="Times New Roman" w:hAnsi="Times New Roman" w:hint="eastAsia"/>
                      <w:color w:val="auto"/>
                      <w:sz w:val="21"/>
                      <w:szCs w:val="21"/>
                      <w:lang w:val="en-US" w:eastAsia="zh-CN"/>
                      <w:highlight w:val="none"/>
                    </w:rPr>
                    <w:t>1.项目不属于</w:t>
                  </w:r>
                  <w:r>
                    <w:rPr>
                      <w:rFonts w:ascii="Times New Roman" w:eastAsia="宋体" w:cs="Times New Roman" w:hAnsi="Times New Roman"/>
                      <w:color w:val="auto"/>
                      <w:kern w:val="0"/>
                      <w:sz w:val="21"/>
                      <w:szCs w:val="21"/>
                      <w:lang w:val="en-US" w:eastAsia="zh-CN" w:bidi="ar-SA"/>
                      <w:highlight w:val="none"/>
                    </w:rPr>
                    <w:t>重点监管企业</w:t>
                  </w:r>
                  <w:r>
                    <w:rPr>
                      <w:rFonts w:cs="Times New Roman" w:hint="eastAsia"/>
                      <w:color w:val="auto"/>
                      <w:kern w:val="0"/>
                      <w:sz w:val="21"/>
                      <w:szCs w:val="21"/>
                      <w:lang w:val="en-US" w:eastAsia="zh-CN" w:bidi="ar-SA"/>
                      <w:highlight w:val="none"/>
                    </w:rPr>
                    <w:t>；</w:t>
                  </w:r>
                </w:p>
                <w:p>
                  <w:pPr>
                    <w:rPr>
                      <w:rFonts w:hint="eastAsia"/>
                      <w:color w:val="auto"/>
                      <w:szCs w:val="21"/>
                      <w:highlight w:val="none"/>
                    </w:rPr>
                  </w:pPr>
                  <w:r>
                    <w:rPr>
                      <w:rFonts w:cs="Times New Roman" w:hint="eastAsia"/>
                      <w:color w:val="auto"/>
                      <w:kern w:val="0"/>
                      <w:sz w:val="21"/>
                      <w:szCs w:val="21"/>
                      <w:lang w:val="en-US" w:eastAsia="zh-CN" w:bidi="ar-SA"/>
                      <w:highlight w:val="none"/>
                    </w:rPr>
                    <w:t>2.4.</w:t>
                  </w:r>
                  <w:r>
                    <w:rPr>
                      <w:rFonts w:hint="eastAsia"/>
                      <w:color w:val="auto"/>
                      <w:szCs w:val="21"/>
                      <w:highlight w:val="none"/>
                    </w:rPr>
                    <w:t>项目不涉及有毒有害化学物质使用，项目要求待企业取得批复后，根据要求，成立应急组织机构，定期开展应急演练。</w:t>
                  </w:r>
                </w:p>
                <w:p>
                  <w:pPr>
                    <w:rPr>
                      <w:rFonts w:eastAsia="宋体" w:hint="eastAsia"/>
                      <w:color w:val="auto"/>
                      <w:szCs w:val="21"/>
                      <w:lang w:val="en-US"/>
                      <w:highlight w:val="none"/>
                    </w:rPr>
                  </w:pPr>
                  <w:r>
                    <w:rPr>
                      <w:rFonts w:hint="eastAsia"/>
                      <w:color w:val="auto"/>
                      <w:szCs w:val="21"/>
                      <w:lang w:val="en-US" w:eastAsia="zh-CN"/>
                      <w:highlight w:val="none"/>
                    </w:rPr>
                    <w:t>3.</w:t>
                  </w:r>
                  <w:r>
                    <w:rPr>
                      <w:rFonts w:hint="eastAsia"/>
                      <w:color w:val="auto"/>
                      <w:szCs w:val="21"/>
                      <w:lang w:val="en-US"/>
                      <w:highlight w:val="none"/>
                    </w:rPr>
                    <w:t>不涉及</w:t>
                  </w:r>
                </w:p>
                <w:p>
                  <w:pPr>
                    <w:keepNext w:val="0"/>
                    <w:keepLines w:val="0"/>
                    <w:pageBreakBefore w:val="0"/>
                    <w:widowControl/>
                    <w:suppressLineNumbers w:val="0"/>
                    <w:kinsoku/>
                    <w:wordWrap/>
                    <w:overflowPunct/>
                    <w:bidi w:val="0"/>
                    <w:jc w:val="both"/>
                    <w:rPr>
                      <w:rFonts w:ascii="Times New Roman" w:eastAsia="宋体" w:cs="Times New Roman" w:hAnsi="Times New Roman"/>
                      <w:color w:val="auto"/>
                      <w:kern w:val="0"/>
                      <w:sz w:val="21"/>
                      <w:szCs w:val="21"/>
                      <w:lang w:val="en-US" w:eastAsia="zh-CN" w:bidi="ar-SA"/>
                      <w:highlight w:val="none"/>
                    </w:rPr>
                  </w:pPr>
                  <w:r>
                    <w:rPr>
                      <w:rFonts w:hint="eastAsia"/>
                      <w:color w:val="auto"/>
                      <w:szCs w:val="21"/>
                      <w:lang w:val="en-US" w:eastAsia="zh-CN"/>
                      <w:highlight w:val="none"/>
                    </w:rPr>
                    <w:t>5.</w:t>
                  </w:r>
                  <w:r>
                    <w:rPr>
                      <w:rFonts w:ascii="Times New Roman" w:cs="Times New Roman" w:hAnsi="Times New Roman"/>
                      <w:snapToGrid w:val="0"/>
                      <w:color w:val="auto"/>
                      <w:kern w:val="0"/>
                      <w:szCs w:val="21"/>
                      <w:highlight w:val="none"/>
                    </w:rPr>
                    <w:t>项目危险废物暂存于危废间，定期交有资质单位处置</w:t>
                  </w:r>
                  <w:r>
                    <w:rPr>
                      <w:rFonts w:cs="Times New Roman" w:hint="eastAsia"/>
                      <w:snapToGrid w:val="0"/>
                      <w:color w:val="auto"/>
                      <w:kern w:val="0"/>
                      <w:szCs w:val="21"/>
                      <w:lang w:eastAsia="zh-CN"/>
                      <w:highlight w:val="none"/>
                    </w:rPr>
                    <w:t>，</w:t>
                  </w:r>
                  <w:r>
                    <w:rPr>
                      <w:rFonts w:ascii="Times New Roman" w:eastAsia="宋体" w:cs="Times New Roman" w:hAnsi="Times New Roman"/>
                      <w:color w:val="auto"/>
                      <w:kern w:val="0"/>
                      <w:sz w:val="21"/>
                      <w:szCs w:val="21"/>
                      <w:lang w:val="en-US" w:eastAsia="zh-CN" w:bidi="ar-SA"/>
                      <w:highlight w:val="none"/>
                    </w:rPr>
                    <w:t>危险废物转移过程中</w:t>
                  </w:r>
                  <w:r>
                    <w:rPr>
                      <w:rFonts w:cs="Times New Roman" w:hint="eastAsia"/>
                      <w:color w:val="auto"/>
                      <w:kern w:val="0"/>
                      <w:sz w:val="21"/>
                      <w:szCs w:val="21"/>
                      <w:lang w:val="en-US" w:eastAsia="zh-CN" w:bidi="ar-SA"/>
                      <w:highlight w:val="none"/>
                    </w:rPr>
                    <w:t>要求</w:t>
                  </w:r>
                  <w:r>
                    <w:rPr>
                      <w:rFonts w:ascii="Times New Roman" w:eastAsia="宋体" w:cs="Times New Roman" w:hAnsi="Times New Roman"/>
                      <w:color w:val="auto"/>
                      <w:kern w:val="0"/>
                      <w:sz w:val="21"/>
                      <w:szCs w:val="21"/>
                      <w:lang w:val="en-US" w:eastAsia="zh-CN" w:bidi="ar-SA"/>
                      <w:highlight w:val="none"/>
                    </w:rPr>
                    <w:t>采取防扬散、防流失、防渗漏或者其他防止污染环境的措施，不得擅自倾倒、堆放、丢弃、遗撒危险废物。</w:t>
                  </w:r>
                </w:p>
                <w:p>
                  <w:pPr>
                    <w:rPr>
                      <w:rFonts w:eastAsia="宋体"/>
                      <w:color w:val="auto"/>
                      <w:lang w:val="en-US" w:eastAsia="zh-CN"/>
                      <w:highlight w:val="none"/>
                    </w:rPr>
                  </w:pPr>
                  <w:r>
                    <w:rPr>
                      <w:rFonts w:hint="eastAsia"/>
                      <w:color w:val="auto"/>
                      <w:lang w:val="en-US" w:eastAsia="zh-CN"/>
                      <w:highlight w:val="none"/>
                    </w:rPr>
                    <w:t>6.项目不涉及储罐。</w:t>
                  </w:r>
                </w:p>
              </w:tc>
            </w:tr>
            <w:tr>
              <w:trPr>
                <w:trHeight w:val="397"/>
              </w:trPr>
              <w:tc>
                <w:tcPr>
                  <w:tcW w:w="229" w:type="pct"/>
                  <w:vMerge/>
                  <w:tcBorders>
                    <w:tl2br w:val="nil"/>
                    <w:tr2bl w:val="nil"/>
                  </w:tcBorders>
                  <w:vAlign w:val="center"/>
                </w:tcPr>
                <w:p/>
              </w:tc>
              <w:tc>
                <w:tcPr>
                  <w:tcW w:w="356" w:type="pct"/>
                  <w:tcBorders>
                    <w:tl2br w:val="nil"/>
                    <w:tr2bl w:val="nil"/>
                  </w:tcBorders>
                  <w:vAlign w:val="center"/>
                </w:tcPr>
                <w:p>
                  <w:pPr>
                    <w:keepNext w:val="0"/>
                    <w:keepLines w:val="0"/>
                    <w:pageBreakBefore w:val="0"/>
                    <w:widowControl/>
                    <w:suppressLineNumbers w:val="0"/>
                    <w:kinsoku/>
                    <w:wordWrap/>
                    <w:overflowPunct/>
                    <w:bidi w:val="0"/>
                    <w:jc w:val="center"/>
                    <w:rPr>
                      <w:rFonts w:ascii="Times New Roman" w:eastAsia="宋体" w:cs="Times New Roman" w:hAnsi="Times New Roman"/>
                      <w:color w:val="auto"/>
                      <w:kern w:val="0"/>
                      <w:sz w:val="21"/>
                      <w:szCs w:val="21"/>
                      <w:lang w:val="en-US" w:eastAsia="zh-CN" w:bidi="ar-SA"/>
                      <w:highlight w:val="none"/>
                    </w:rPr>
                  </w:pPr>
                  <w:r>
                    <w:rPr>
                      <w:rFonts w:ascii="Times New Roman" w:eastAsia="宋体" w:cs="Times New Roman" w:hAnsi="Times New Roman"/>
                      <w:color w:val="auto"/>
                      <w:kern w:val="0"/>
                      <w:sz w:val="21"/>
                      <w:szCs w:val="21"/>
                      <w:lang w:val="en-US" w:eastAsia="zh-CN" w:bidi="ar-SA"/>
                      <w:highlight w:val="none"/>
                    </w:rPr>
                    <w:t>资源利用效率</w:t>
                  </w:r>
                </w:p>
              </w:tc>
              <w:tc>
                <w:tcPr>
                  <w:tcW w:w="2261" w:type="pct"/>
                  <w:tcBorders>
                    <w:tl2br w:val="nil"/>
                    <w:tr2bl w:val="nil"/>
                  </w:tcBorders>
                  <w:vAlign w:val="center"/>
                </w:tcPr>
                <w:p>
                  <w:pPr>
                    <w:keepNext w:val="0"/>
                    <w:keepLines w:val="0"/>
                    <w:pageBreakBefore w:val="0"/>
                    <w:widowControl/>
                    <w:suppressLineNumbers w:val="0"/>
                    <w:kinsoku/>
                    <w:wordWrap/>
                    <w:overflowPunct/>
                    <w:bidi w:val="0"/>
                    <w:jc w:val="both"/>
                    <w:rPr>
                      <w:rFonts w:ascii="Times New Roman" w:eastAsia="宋体" w:cs="Times New Roman" w:hAnsi="Times New Roman"/>
                      <w:color w:val="auto"/>
                      <w:kern w:val="0"/>
                      <w:sz w:val="21"/>
                      <w:szCs w:val="21"/>
                      <w:lang w:val="en-US" w:eastAsia="zh-CN" w:bidi="ar-SA"/>
                      <w:highlight w:val="none"/>
                    </w:rPr>
                  </w:pPr>
                  <w:r>
                    <w:rPr>
                      <w:rFonts w:ascii="Times New Roman" w:eastAsia="宋体" w:cs="Times New Roman" w:hAnsi="Times New Roman"/>
                      <w:color w:val="auto"/>
                      <w:kern w:val="0"/>
                      <w:sz w:val="21"/>
                      <w:szCs w:val="21"/>
                      <w:lang w:val="en-US" w:eastAsia="zh-CN" w:bidi="ar-SA"/>
                      <w:highlight w:val="none"/>
                    </w:rPr>
                    <w:t>1.减少新鲜水用量，提高中水回用率。</w:t>
                  </w:r>
                </w:p>
                <w:p>
                  <w:pPr>
                    <w:keepNext w:val="0"/>
                    <w:keepLines w:val="0"/>
                    <w:pageBreakBefore w:val="0"/>
                    <w:widowControl/>
                    <w:suppressLineNumbers w:val="0"/>
                    <w:kinsoku/>
                    <w:wordWrap/>
                    <w:overflowPunct/>
                    <w:bidi w:val="0"/>
                    <w:jc w:val="both"/>
                    <w:rPr>
                      <w:rFonts w:ascii="Times New Roman" w:eastAsia="宋体" w:cs="Times New Roman" w:hAnsi="Times New Roman"/>
                      <w:color w:val="auto"/>
                      <w:kern w:val="0"/>
                      <w:sz w:val="21"/>
                      <w:szCs w:val="21"/>
                      <w:lang w:val="en-US" w:eastAsia="zh-CN" w:bidi="ar-SA"/>
                      <w:highlight w:val="none"/>
                    </w:rPr>
                  </w:pPr>
                  <w:r>
                    <w:rPr>
                      <w:rFonts w:ascii="Times New Roman" w:eastAsia="宋体" w:cs="Times New Roman" w:hAnsi="Times New Roman"/>
                      <w:color w:val="auto"/>
                      <w:kern w:val="0"/>
                      <w:sz w:val="21"/>
                      <w:szCs w:val="21"/>
                      <w:lang w:val="en-US" w:eastAsia="zh-CN" w:bidi="ar-SA"/>
                      <w:highlight w:val="none"/>
                    </w:rPr>
                    <w:t>2.禁止新建、扩建采用非清洁燃料的项目和设施。</w:t>
                  </w:r>
                </w:p>
                <w:p>
                  <w:pPr>
                    <w:keepNext w:val="0"/>
                    <w:keepLines w:val="0"/>
                    <w:pageBreakBefore w:val="0"/>
                    <w:widowControl/>
                    <w:suppressLineNumbers w:val="0"/>
                    <w:kinsoku/>
                    <w:wordWrap/>
                    <w:overflowPunct/>
                    <w:bidi w:val="0"/>
                    <w:jc w:val="both"/>
                    <w:rPr>
                      <w:rFonts w:ascii="Times New Roman" w:eastAsia="宋体" w:cs="Times New Roman" w:hAnsi="Times New Roman"/>
                      <w:color w:val="auto"/>
                      <w:kern w:val="0"/>
                      <w:sz w:val="21"/>
                      <w:szCs w:val="21"/>
                      <w:lang w:val="en-US" w:eastAsia="zh-CN" w:bidi="ar-SA"/>
                      <w:highlight w:val="none"/>
                    </w:rPr>
                  </w:pPr>
                  <w:r>
                    <w:rPr>
                      <w:rFonts w:ascii="Times New Roman" w:eastAsia="宋体" w:cs="Times New Roman" w:hAnsi="Times New Roman"/>
                      <w:color w:val="auto"/>
                      <w:kern w:val="0"/>
                      <w:sz w:val="21"/>
                      <w:szCs w:val="21"/>
                      <w:lang w:val="en-US" w:eastAsia="zh-CN" w:bidi="ar-SA"/>
                      <w:highlight w:val="none"/>
                    </w:rPr>
                    <w:t>3.生产用水全部采用南水北调水，禁止新增开采地下水。</w:t>
                  </w:r>
                </w:p>
                <w:p>
                  <w:pPr>
                    <w:keepNext w:val="0"/>
                    <w:keepLines w:val="0"/>
                    <w:pageBreakBefore w:val="0"/>
                    <w:widowControl/>
                    <w:suppressLineNumbers w:val="0"/>
                    <w:kinsoku/>
                    <w:wordWrap/>
                    <w:overflowPunct/>
                    <w:bidi w:val="0"/>
                    <w:jc w:val="both"/>
                    <w:rPr>
                      <w:rFonts w:ascii="Times New Roman" w:eastAsia="宋体" w:cs="Times New Roman" w:hAnsi="Times New Roman"/>
                      <w:color w:val="auto"/>
                      <w:kern w:val="0"/>
                      <w:sz w:val="21"/>
                      <w:szCs w:val="21"/>
                      <w:lang w:val="en-US" w:eastAsia="zh-CN" w:bidi="ar-SA"/>
                      <w:highlight w:val="none"/>
                    </w:rPr>
                  </w:pPr>
                  <w:r>
                    <w:rPr>
                      <w:rFonts w:ascii="Times New Roman" w:eastAsia="宋体" w:cs="Times New Roman" w:hAnsi="Times New Roman"/>
                      <w:color w:val="auto"/>
                      <w:kern w:val="0"/>
                      <w:sz w:val="21"/>
                      <w:szCs w:val="21"/>
                      <w:lang w:val="en-US" w:eastAsia="zh-CN" w:bidi="ar-SA"/>
                      <w:highlight w:val="none"/>
                    </w:rPr>
                    <w:t>4.项目实施后资源和能源消耗量应满足园区划定的土地、水、能源等主要资源能源可开发利用总量上线；河北石家庄装备制造产业园整体能源利用上线：近期52.5万tce，远期 102万tce。水资源利用上线：近期工业新鲜水耗792万m</w:t>
                  </w:r>
                  <w:r>
                    <w:rPr>
                      <w:rFonts w:ascii="Times New Roman" w:eastAsia="宋体" w:cs="Times New Roman" w:hAnsi="Times New Roman"/>
                      <w:color w:val="auto"/>
                      <w:kern w:val="0"/>
                      <w:sz w:val="21"/>
                      <w:szCs w:val="21"/>
                      <w:vertAlign w:val="superscript"/>
                      <w:lang w:val="en-US" w:eastAsia="zh-CN" w:bidi="ar-SA"/>
                      <w:highlight w:val="none"/>
                    </w:rPr>
                    <w:t>3</w:t>
                  </w:r>
                  <w:r>
                    <w:rPr>
                      <w:rFonts w:ascii="Times New Roman" w:eastAsia="宋体" w:cs="Times New Roman" w:hAnsi="Times New Roman"/>
                      <w:color w:val="auto"/>
                      <w:kern w:val="0"/>
                      <w:sz w:val="21"/>
                      <w:szCs w:val="21"/>
                      <w:lang w:val="en-US" w:eastAsia="zh-CN" w:bidi="ar-SA"/>
                      <w:highlight w:val="none"/>
                    </w:rPr>
                    <w:t>/a，远期为 1657.65万m</w:t>
                  </w:r>
                  <w:r>
                    <w:rPr>
                      <w:rFonts w:ascii="Times New Roman" w:eastAsia="宋体" w:cs="Times New Roman" w:hAnsi="Times New Roman"/>
                      <w:color w:val="auto"/>
                      <w:kern w:val="0"/>
                      <w:sz w:val="21"/>
                      <w:szCs w:val="21"/>
                      <w:vertAlign w:val="superscript"/>
                      <w:lang w:val="en-US" w:eastAsia="zh-CN" w:bidi="ar-SA"/>
                      <w:highlight w:val="none"/>
                    </w:rPr>
                    <w:t>3</w:t>
                  </w:r>
                  <w:r>
                    <w:rPr>
                      <w:rFonts w:ascii="Times New Roman" w:eastAsia="宋体" w:cs="Times New Roman" w:hAnsi="Times New Roman"/>
                      <w:color w:val="auto"/>
                      <w:kern w:val="0"/>
                      <w:sz w:val="21"/>
                      <w:szCs w:val="21"/>
                      <w:lang w:val="en-US" w:eastAsia="zh-CN" w:bidi="ar-SA"/>
                      <w:highlight w:val="none"/>
                    </w:rPr>
                    <w:t>/a。土地利用上线：近期工业用地面积1169.31hm</w:t>
                  </w:r>
                  <w:r>
                    <w:rPr>
                      <w:rFonts w:ascii="Times New Roman" w:eastAsia="宋体" w:cs="Times New Roman" w:hAnsi="Times New Roman"/>
                      <w:color w:val="auto"/>
                      <w:kern w:val="0"/>
                      <w:sz w:val="21"/>
                      <w:szCs w:val="21"/>
                      <w:vertAlign w:val="superscript"/>
                      <w:lang w:val="en-US" w:eastAsia="zh-CN" w:bidi="ar-SA"/>
                      <w:highlight w:val="none"/>
                    </w:rPr>
                    <w:t>2</w:t>
                  </w:r>
                  <w:r>
                    <w:rPr>
                      <w:rFonts w:ascii="Times New Roman" w:eastAsia="宋体" w:cs="Times New Roman" w:hAnsi="Times New Roman"/>
                      <w:color w:val="auto"/>
                      <w:kern w:val="0"/>
                      <w:sz w:val="21"/>
                      <w:szCs w:val="21"/>
                      <w:lang w:val="en-US" w:eastAsia="zh-CN" w:bidi="ar-SA"/>
                      <w:highlight w:val="none"/>
                    </w:rPr>
                    <w:t>，远期：2048.96hm</w:t>
                  </w:r>
                  <w:r>
                    <w:rPr>
                      <w:rFonts w:ascii="Times New Roman" w:eastAsia="宋体" w:cs="Times New Roman" w:hAnsi="Times New Roman"/>
                      <w:color w:val="auto"/>
                      <w:kern w:val="0"/>
                      <w:sz w:val="21"/>
                      <w:szCs w:val="21"/>
                      <w:vertAlign w:val="superscript"/>
                      <w:lang w:val="en-US" w:eastAsia="zh-CN" w:bidi="ar-SA"/>
                      <w:highlight w:val="none"/>
                    </w:rPr>
                    <w:t>2</w:t>
                  </w:r>
                  <w:r>
                    <w:rPr>
                      <w:rFonts w:ascii="Times New Roman" w:eastAsia="宋体" w:cs="Times New Roman" w:hAnsi="Times New Roman"/>
                      <w:color w:val="auto"/>
                      <w:kern w:val="0"/>
                      <w:sz w:val="21"/>
                      <w:szCs w:val="21"/>
                      <w:lang w:val="en-US" w:eastAsia="zh-CN" w:bidi="ar-SA"/>
                      <w:highlight w:val="none"/>
                    </w:rPr>
                    <w:t>。</w:t>
                  </w:r>
                </w:p>
              </w:tc>
              <w:tc>
                <w:tcPr>
                  <w:tcW w:w="2152" w:type="pct"/>
                  <w:tcBorders>
                    <w:tl2br w:val="nil"/>
                    <w:tr2bl w:val="nil"/>
                  </w:tcBorders>
                  <w:vAlign w:val="center"/>
                </w:tcPr>
                <w:p>
                  <w:pPr>
                    <w:pStyle w:val="68"/>
                    <w:keepNext w:val="0"/>
                    <w:keepLines w:val="0"/>
                    <w:pageBreakBefore w:val="0"/>
                    <w:widowControl w:val="0"/>
                    <w:tabs>
                      <w:tab w:val="left" w:pos="0"/>
                      <w:tab w:val="left" w:pos="360"/>
                      <w:tab w:val="left" w:pos="900"/>
                    </w:tabs>
                    <w:kinsoku/>
                    <w:wordWrap/>
                    <w:overflowPunct/>
                    <w:topLinePunct/>
                    <w:autoSpaceDE w:val="0"/>
                    <w:autoSpaceDN w:val="0"/>
                    <w:bidi w:val="0"/>
                    <w:adjustRightInd w:val="0"/>
                    <w:snapToGrid w:val="0"/>
                    <w:spacing w:line="240" w:lineRule="auto"/>
                    <w:jc w:val="both"/>
                    <w:textAlignment w:val="baseline"/>
                    <w:rPr>
                      <w:rFonts w:ascii="Times New Roman" w:cs="Times New Roman" w:hAnsi="Times New Roman"/>
                      <w:color w:val="auto"/>
                      <w:szCs w:val="21"/>
                      <w:highlight w:val="none"/>
                    </w:rPr>
                  </w:pPr>
                  <w:r>
                    <w:rPr>
                      <w:rFonts w:ascii="Times New Roman" w:cs="Times New Roman" w:hAnsi="Times New Roman" w:hint="eastAsia"/>
                      <w:color w:val="auto"/>
                      <w:sz w:val="21"/>
                      <w:szCs w:val="21"/>
                      <w:lang w:val="en-US" w:eastAsia="zh-CN"/>
                      <w:highlight w:val="none"/>
                    </w:rPr>
                    <w:t>1.3.</w:t>
                  </w:r>
                  <w:r>
                    <w:rPr>
                      <w:rFonts w:cs="Times New Roman" w:hint="eastAsia"/>
                      <w:color w:val="auto"/>
                      <w:szCs w:val="21"/>
                      <w:lang w:val="en-US" w:eastAsia="zh-CN"/>
                      <w:highlight w:val="none"/>
                    </w:rPr>
                    <w:t>项目</w:t>
                  </w:r>
                  <w:r>
                    <w:rPr>
                      <w:rFonts w:ascii="Times New Roman" w:cs="Times New Roman" w:hAnsi="Times New Roman" w:hint="eastAsia"/>
                      <w:color w:val="auto"/>
                      <w:szCs w:val="21"/>
                      <w:lang w:val="en-US" w:eastAsia="zh-CN"/>
                      <w:highlight w:val="none"/>
                    </w:rPr>
                    <w:t>新鲜水</w:t>
                  </w:r>
                  <w:r>
                    <w:rPr>
                      <w:rFonts w:ascii="Times New Roman" w:cs="Times New Roman" w:hAnsi="Times New Roman" w:hint="eastAsia"/>
                      <w:color w:val="auto"/>
                      <w:szCs w:val="21"/>
                      <w:highlight w:val="none"/>
                    </w:rPr>
                    <w:t>由</w:t>
                  </w:r>
                  <w:r>
                    <w:rPr>
                      <w:rFonts w:ascii="Times New Roman" w:cs="Times New Roman" w:hAnsi="Times New Roman" w:hint="eastAsia"/>
                      <w:color w:val="auto"/>
                      <w:szCs w:val="21"/>
                      <w:lang w:val="en-US" w:eastAsia="zh-CN"/>
                      <w:highlight w:val="none"/>
                    </w:rPr>
                    <w:t>园区</w:t>
                  </w:r>
                  <w:r>
                    <w:rPr>
                      <w:rFonts w:ascii="Times New Roman" w:cs="Times New Roman" w:hAnsi="Times New Roman" w:hint="eastAsia"/>
                      <w:color w:val="auto"/>
                      <w:szCs w:val="21"/>
                      <w:highlight w:val="none"/>
                    </w:rPr>
                    <w:t>供水管网提供</w:t>
                  </w:r>
                  <w:r>
                    <w:rPr>
                      <w:rFonts w:ascii="Times New Roman" w:cs="Times New Roman" w:hAnsi="Times New Roman" w:hint="eastAsia"/>
                      <w:color w:val="auto"/>
                      <w:szCs w:val="21"/>
                      <w:lang w:eastAsia="zh-CN"/>
                      <w:highlight w:val="none"/>
                    </w:rPr>
                    <w:t>，</w:t>
                  </w:r>
                  <w:r>
                    <w:rPr>
                      <w:rFonts w:ascii="Times New Roman" w:cs="Times New Roman" w:hAnsi="Times New Roman" w:hint="eastAsia"/>
                      <w:color w:val="auto"/>
                      <w:szCs w:val="21"/>
                      <w:lang w:val="en-US" w:eastAsia="zh-CN"/>
                      <w:highlight w:val="none"/>
                    </w:rPr>
                    <w:t>不开采地下水；</w:t>
                  </w:r>
                </w:p>
                <w:p>
                  <w:pPr>
                    <w:rPr>
                      <w:rFonts w:cs="Times New Roman" w:hint="eastAsia"/>
                      <w:color w:val="auto"/>
                      <w:szCs w:val="21"/>
                      <w:lang w:val="en-US" w:eastAsia="zh-CN"/>
                      <w:highlight w:val="none"/>
                    </w:rPr>
                  </w:pPr>
                  <w:r>
                    <w:rPr>
                      <w:rFonts w:cs="Times New Roman" w:hint="eastAsia"/>
                      <w:color w:val="auto"/>
                      <w:szCs w:val="21"/>
                      <w:lang w:val="en-US" w:eastAsia="zh-CN"/>
                      <w:highlight w:val="none"/>
                    </w:rPr>
                    <w:t>2.项目不涉及燃料的使用；</w:t>
                  </w:r>
                </w:p>
                <w:p>
                  <w:pPr>
                    <w:rPr>
                      <w:rFonts w:eastAsia="宋体"/>
                      <w:color w:val="auto"/>
                      <w:lang w:val="en-US" w:eastAsia="zh-CN"/>
                      <w:highlight w:val="none"/>
                    </w:rPr>
                  </w:pPr>
                  <w:r>
                    <w:rPr>
                      <w:rFonts w:cs="Times New Roman" w:hint="eastAsia"/>
                      <w:color w:val="auto"/>
                      <w:szCs w:val="21"/>
                      <w:lang w:val="en-US" w:eastAsia="zh-CN"/>
                      <w:highlight w:val="none"/>
                    </w:rPr>
                    <w:t>4.</w:t>
                  </w:r>
                  <w:r>
                    <w:rPr>
                      <w:rFonts w:cs="Times New Roman"/>
                      <w:color w:val="auto"/>
                      <w:szCs w:val="21"/>
                      <w:lang w:val="en-US" w:eastAsia="zh-CN"/>
                      <w:highlight w:val="none"/>
                    </w:rPr>
                    <w:t>项目用电</w:t>
                  </w:r>
                  <w:r>
                    <w:rPr>
                      <w:rFonts w:cs="Times New Roman" w:hint="eastAsia"/>
                      <w:color w:val="auto"/>
                      <w:szCs w:val="21"/>
                      <w:lang w:val="en-US" w:eastAsia="zh-CN"/>
                      <w:highlight w:val="none"/>
                    </w:rPr>
                    <w:t>由园区供电管网提供</w:t>
                  </w:r>
                  <w:r>
                    <w:rPr>
                      <w:rFonts w:cs="Times New Roman"/>
                      <w:color w:val="auto"/>
                      <w:szCs w:val="21"/>
                      <w:lang w:val="en-US" w:eastAsia="zh-CN"/>
                      <w:highlight w:val="none"/>
                    </w:rPr>
                    <w:t>；项目占地为工业用地。项目所用原辅料、水、电等在生产过程中均尽可能做到合理利用和节约能耗，资源消耗均未超出区域负荷上限，符合资源利用上线要求。</w:t>
                  </w:r>
                </w:p>
              </w:tc>
            </w:tr>
          </w:tbl>
          <w:p>
            <w:pPr>
              <w:pStyle w:val="56"/>
              <w:rPr>
                <w:rFonts w:ascii="Times New Roman" w:cs="Times New Roman" w:hAnsi="Times New Roman"/>
                <w:color w:val="auto"/>
                <w:highlight w:val="none"/>
              </w:rPr>
            </w:pPr>
          </w:p>
        </w:tc>
      </w:tr>
      <w:tr>
        <w:trPr>
          <w:trHeight w:val="90"/>
        </w:trPr>
        <w:tc>
          <w:tcPr>
            <w:tcW w:w="931" w:type="pct"/>
            <w:tcMar>
              <w:left w:w="108" w:type="dxa"/>
            </w:tcMar>
            <w:vAlign w:val="center"/>
          </w:tcPr>
          <w:p>
            <w:pPr>
              <w:autoSpaceDE w:val="0"/>
              <w:autoSpaceDN w:val="0"/>
              <w:adjustRightInd w:val="0"/>
              <w:snapToGrid w:val="0"/>
              <w:jc w:val="center"/>
              <w:rPr>
                <w:rFonts w:ascii="Times New Roman" w:cs="Times New Roman" w:hAnsi="Times New Roman"/>
                <w:color w:val="auto"/>
                <w:kern w:val="0"/>
                <w:sz w:val="24"/>
                <w:highlight w:val="none"/>
              </w:rPr>
            </w:pPr>
            <w:r>
              <w:rPr>
                <w:rFonts w:ascii="Times New Roman" w:cs="Times New Roman" w:hAnsi="Times New Roman"/>
                <w:color w:val="auto"/>
                <w:kern w:val="0"/>
                <w:sz w:val="24"/>
                <w:highlight w:val="none"/>
              </w:rPr>
              <w:t>其他符合性分析</w:t>
            </w:r>
          </w:p>
        </w:tc>
        <w:tc>
          <w:tcPr>
            <w:tcW w:w="4068" w:type="pct"/>
            <w:gridSpan w:val="4"/>
            <w:tcBorders>
              <w:left w:val="single" w:sz="4" w:space="0" w:color="auto"/>
            </w:tcBorders>
            <w:tcMar>
              <w:left w:w="108" w:type="dxa"/>
            </w:tcMar>
            <w:vAlign w:val="center"/>
          </w:tcPr>
          <w:p>
            <w:pPr>
              <w:adjustRightInd w:val="0"/>
              <w:snapToGrid w:val="0"/>
              <w:spacing w:line="460" w:lineRule="exact"/>
              <w:ind w:firstLineChars="200" w:firstLine="480"/>
              <w:rPr>
                <w:rFonts w:ascii="Times New Roman" w:cs="Times New Roman" w:hAnsi="Times New Roman"/>
                <w:b/>
                <w:bCs/>
                <w:color w:val="auto"/>
                <w:sz w:val="24"/>
                <w:highlight w:val="none"/>
              </w:rPr>
            </w:pPr>
            <w:r>
              <w:rPr>
                <w:rFonts w:ascii="Times New Roman" w:cs="Times New Roman" w:hAnsi="Times New Roman"/>
                <w:b/>
                <w:bCs/>
                <w:color w:val="auto"/>
                <w:sz w:val="24"/>
                <w:highlight w:val="none"/>
              </w:rPr>
              <w:t>1、产业政策符合性分析</w:t>
            </w:r>
          </w:p>
          <w:p>
            <w:pPr>
              <w:adjustRightInd w:val="0"/>
              <w:snapToGrid w:val="0"/>
              <w:spacing w:line="460" w:lineRule="exact"/>
              <w:ind w:firstLineChars="200" w:firstLine="480"/>
              <w:rPr>
                <w:rFonts w:ascii="Times New Roman" w:cs="Times New Roman" w:hAnsi="Times New Roman"/>
                <w:color w:val="auto"/>
                <w:sz w:val="24"/>
                <w:highlight w:val="none"/>
              </w:rPr>
            </w:pPr>
            <w:r>
              <w:rPr>
                <w:rFonts w:ascii="Times New Roman" w:cs="Times New Roman" w:hAnsi="Times New Roman"/>
                <w:color w:val="auto"/>
                <w:sz w:val="24"/>
                <w:highlight w:val="none"/>
              </w:rPr>
              <w:t>（1）对照《产业结构调整指导目录（2024年本）》中相关规定，项目不属于其规定的限制类与淘汰类项目，</w:t>
            </w:r>
            <w:r>
              <w:rPr>
                <w:rFonts w:ascii="Times New Roman" w:cs="Times New Roman" w:hAnsi="Times New Roman"/>
                <w:color w:val="auto"/>
                <w:kern w:val="0"/>
                <w:sz w:val="24"/>
                <w:highlight w:val="none"/>
              </w:rPr>
              <w:t>不涉及限制类及淘汰类设备，</w:t>
            </w:r>
            <w:r>
              <w:rPr>
                <w:rFonts w:ascii="Times New Roman" w:cs="Times New Roman" w:hAnsi="Times New Roman"/>
                <w:color w:val="auto"/>
                <w:sz w:val="24"/>
                <w:highlight w:val="none"/>
              </w:rPr>
              <w:t>符合产业结构调整指导目录的要求；</w:t>
            </w:r>
          </w:p>
          <w:p>
            <w:pPr>
              <w:widowControl/>
              <w:adjustRightInd w:val="0"/>
              <w:snapToGrid w:val="0"/>
              <w:spacing w:line="460" w:lineRule="exact"/>
              <w:ind w:firstLineChars="200" w:firstLine="480"/>
              <w:rPr>
                <w:rFonts w:ascii="Times New Roman" w:cs="Times New Roman" w:hAnsi="Times New Roman"/>
                <w:color w:val="auto"/>
                <w:sz w:val="24"/>
                <w:highlight w:val="none"/>
              </w:rPr>
            </w:pPr>
            <w:r>
              <w:rPr>
                <w:rFonts w:ascii="Times New Roman" w:cs="Times New Roman" w:hAnsi="Times New Roman"/>
                <w:color w:val="auto"/>
                <w:sz w:val="24"/>
                <w:highlight w:val="none"/>
              </w:rPr>
              <w:t>（2）对照《市场准入负面清单（202</w:t>
            </w:r>
            <w:r>
              <w:rPr>
                <w:rFonts w:cs="Times New Roman" w:hint="eastAsia"/>
                <w:color w:val="auto"/>
                <w:sz w:val="24"/>
                <w:lang w:val="en-US" w:eastAsia="zh-CN"/>
                <w:highlight w:val="none"/>
              </w:rPr>
              <w:t>5</w:t>
            </w:r>
            <w:r>
              <w:rPr>
                <w:rFonts w:ascii="Times New Roman" w:cs="Times New Roman" w:hAnsi="Times New Roman"/>
                <w:color w:val="auto"/>
                <w:sz w:val="24"/>
                <w:highlight w:val="none"/>
              </w:rPr>
              <w:t>年版）》中相关规定，项目不属于负面清单中的禁止类项目，符合市场准入要求；</w:t>
            </w:r>
          </w:p>
          <w:p>
            <w:pPr>
              <w:widowControl/>
              <w:adjustRightInd w:val="0"/>
              <w:snapToGrid w:val="0"/>
              <w:spacing w:line="460" w:lineRule="exact"/>
              <w:ind w:firstLineChars="200" w:firstLine="480"/>
              <w:rPr>
                <w:rFonts w:ascii="Times New Roman" w:cs="Times New Roman" w:hAnsi="Times New Roman"/>
                <w:color w:val="auto"/>
                <w:sz w:val="24"/>
                <w:highlight w:val="none"/>
              </w:rPr>
            </w:pPr>
            <w:r>
              <w:rPr>
                <w:rFonts w:ascii="Times New Roman" w:cs="Times New Roman" w:hAnsi="Times New Roman"/>
                <w:color w:val="auto"/>
                <w:sz w:val="24"/>
                <w:highlight w:val="none"/>
              </w:rPr>
              <w:t>（</w:t>
            </w:r>
            <w:r>
              <w:rPr>
                <w:rFonts w:cs="Times New Roman" w:hint="eastAsia"/>
                <w:color w:val="auto"/>
                <w:sz w:val="24"/>
                <w:lang w:val="en-US" w:eastAsia="zh-CN"/>
                <w:highlight w:val="none"/>
              </w:rPr>
              <w:t>3</w:t>
            </w:r>
            <w:r>
              <w:rPr>
                <w:rFonts w:ascii="Times New Roman" w:cs="Times New Roman" w:hAnsi="Times New Roman"/>
                <w:color w:val="auto"/>
                <w:sz w:val="24"/>
                <w:highlight w:val="none"/>
              </w:rPr>
              <w:t>）对照《环境保护综合名录（2021年版）》中相关规定，项目</w:t>
            </w:r>
            <w:r>
              <w:rPr>
                <w:rFonts w:cs="Times New Roman" w:hint="eastAsia"/>
                <w:color w:val="auto"/>
                <w:sz w:val="24"/>
                <w:lang w:eastAsia="zh-CN"/>
                <w:highlight w:val="none"/>
              </w:rPr>
              <w:t>未列入“高污染、高环境风险”产品名录</w:t>
            </w:r>
            <w:r>
              <w:rPr>
                <w:rFonts w:ascii="Times New Roman" w:cs="Times New Roman" w:hAnsi="Times New Roman"/>
                <w:color w:val="auto"/>
                <w:sz w:val="24"/>
                <w:highlight w:val="none"/>
              </w:rPr>
              <w:t>，符合</w:t>
            </w:r>
            <w:r>
              <w:rPr>
                <w:rFonts w:cs="Times New Roman" w:hint="eastAsia"/>
                <w:color w:val="auto"/>
                <w:sz w:val="24"/>
                <w:lang w:eastAsia="zh-CN"/>
                <w:highlight w:val="none"/>
              </w:rPr>
              <w:t>发展</w:t>
            </w:r>
            <w:r>
              <w:rPr>
                <w:rFonts w:ascii="Times New Roman" w:cs="Times New Roman" w:hAnsi="Times New Roman"/>
                <w:color w:val="auto"/>
                <w:sz w:val="24"/>
                <w:highlight w:val="none"/>
              </w:rPr>
              <w:t>要求；</w:t>
            </w:r>
          </w:p>
          <w:p>
            <w:pPr>
              <w:spacing w:line="460" w:lineRule="exact"/>
              <w:ind w:firstLineChars="200" w:firstLine="480"/>
              <w:rPr>
                <w:rFonts w:ascii="Times New Roman" w:cs="Times New Roman" w:hAnsi="Times New Roman"/>
                <w:color w:val="auto"/>
                <w:sz w:val="24"/>
                <w:highlight w:val="none"/>
              </w:rPr>
            </w:pPr>
            <w:r>
              <w:rPr>
                <w:rFonts w:ascii="Times New Roman" w:cs="Times New Roman" w:hAnsi="Times New Roman"/>
                <w:color w:val="auto"/>
                <w:sz w:val="24"/>
                <w:highlight w:val="none"/>
              </w:rPr>
              <w:t>（</w:t>
            </w:r>
            <w:r>
              <w:rPr>
                <w:rFonts w:cs="Times New Roman" w:hint="eastAsia"/>
                <w:color w:val="auto"/>
                <w:sz w:val="24"/>
                <w:lang w:val="en-US" w:eastAsia="zh-CN"/>
                <w:highlight w:val="none"/>
              </w:rPr>
              <w:t>4</w:t>
            </w:r>
            <w:r>
              <w:rPr>
                <w:rFonts w:ascii="Times New Roman" w:cs="Times New Roman" w:hAnsi="Times New Roman"/>
                <w:color w:val="auto"/>
                <w:sz w:val="24"/>
                <w:highlight w:val="none"/>
              </w:rPr>
              <w:t>）项目已在</w:t>
            </w:r>
            <w:r>
              <w:rPr>
                <w:rFonts w:cs="Times New Roman" w:hint="eastAsia"/>
                <w:color w:val="auto"/>
                <w:sz w:val="24"/>
                <w:lang w:val="en-US" w:eastAsia="zh-CN"/>
                <w:highlight w:val="none"/>
              </w:rPr>
              <w:t>河北石家庄装备制造产业园管理委员会</w:t>
            </w:r>
            <w:r>
              <w:rPr>
                <w:rFonts w:ascii="Times New Roman" w:cs="Times New Roman" w:hAnsi="Times New Roman"/>
                <w:color w:val="auto"/>
                <w:sz w:val="24"/>
                <w:highlight w:val="none"/>
              </w:rPr>
              <w:t>备案，备案编号：</w:t>
            </w:r>
            <w:r>
              <w:rPr>
                <w:rFonts w:hint="eastAsia"/>
                <w:color w:val="auto"/>
                <w:sz w:val="24"/>
                <w:szCs w:val="24"/>
                <w:lang w:eastAsia="zh-CN"/>
              </w:rPr>
              <w:t>装管委投资备字〔2026〕58号</w:t>
            </w:r>
            <w:r>
              <w:rPr>
                <w:rFonts w:ascii="Times New Roman" w:cs="Times New Roman" w:hAnsi="Times New Roman"/>
                <w:color w:val="auto"/>
                <w:sz w:val="24"/>
                <w:highlight w:val="none"/>
              </w:rPr>
              <w:t>，项目代码为：</w:t>
            </w:r>
            <w:r>
              <w:rPr>
                <w:rFonts w:ascii="Times New Roman" w:eastAsia="宋体" w:cs="Times New Roman" w:hAnsi="Times New Roman"/>
                <w:color w:val="auto"/>
                <w:sz w:val="24"/>
                <w:szCs w:val="24"/>
                <w:lang w:val="en-US" w:eastAsia="zh-CN"/>
              </w:rPr>
              <w:t>2605-130168-89-01-978873</w:t>
            </w:r>
            <w:r>
              <w:rPr>
                <w:rFonts w:ascii="Times New Roman" w:cs="Times New Roman" w:hAnsi="Times New Roman"/>
                <w:color w:val="auto"/>
                <w:sz w:val="24"/>
                <w:highlight w:val="none"/>
              </w:rPr>
              <w:t>。</w:t>
            </w:r>
          </w:p>
          <w:p>
            <w:pPr>
              <w:adjustRightInd w:val="0"/>
              <w:snapToGrid w:val="0"/>
              <w:spacing w:line="460" w:lineRule="exact"/>
              <w:ind w:firstLineChars="200" w:firstLine="480"/>
              <w:rPr>
                <w:rFonts w:ascii="Times New Roman" w:cs="Times New Roman" w:hAnsi="Times New Roman"/>
                <w:color w:val="auto"/>
                <w:sz w:val="24"/>
                <w:highlight w:val="none"/>
              </w:rPr>
            </w:pPr>
            <w:r>
              <w:rPr>
                <w:rFonts w:ascii="Times New Roman" w:cs="Times New Roman" w:hAnsi="Times New Roman"/>
                <w:color w:val="auto"/>
                <w:sz w:val="24"/>
                <w:highlight w:val="none"/>
              </w:rPr>
              <w:t>综上所述，项目建设符合国家和地方相关产业政策的要求。</w:t>
            </w:r>
          </w:p>
          <w:p>
            <w:pPr>
              <w:adjustRightInd w:val="0"/>
              <w:snapToGrid w:val="0"/>
              <w:spacing w:line="460" w:lineRule="exact"/>
              <w:ind w:firstLineChars="200" w:firstLine="480"/>
              <w:rPr>
                <w:rFonts w:ascii="Times New Roman" w:cs="Times New Roman" w:hAnsi="Times New Roman"/>
                <w:b/>
                <w:bCs/>
                <w:color w:val="auto"/>
                <w:sz w:val="24"/>
                <w:highlight w:val="none"/>
              </w:rPr>
            </w:pPr>
            <w:r>
              <w:rPr>
                <w:rFonts w:ascii="Times New Roman" w:cs="Times New Roman" w:hAnsi="Times New Roman"/>
                <w:b/>
                <w:bCs/>
                <w:color w:val="auto"/>
                <w:sz w:val="24"/>
                <w:highlight w:val="none"/>
              </w:rPr>
              <w:t>2、选址合理性分析</w:t>
            </w:r>
          </w:p>
          <w:p>
            <w:pPr>
              <w:keepNext w:val="0"/>
              <w:keepLines w:val="0"/>
              <w:pageBreakBefore w:val="0"/>
              <w:kinsoku/>
              <w:wordWrap/>
              <w:overflowPunct/>
              <w:topLinePunct w:val="0"/>
              <w:autoSpaceDE/>
              <w:autoSpaceDN/>
              <w:bidi w:val="0"/>
              <w:adjustRightInd w:val="0"/>
              <w:snapToGrid w:val="0"/>
              <w:spacing w:line="460" w:lineRule="exact"/>
              <w:ind w:firstLineChars="200" w:firstLine="480"/>
              <w:rPr>
                <w:rFonts w:ascii="Times New Roman" w:cs="Times New Roman" w:hAnsi="Times New Roman"/>
                <w:color w:val="auto"/>
                <w:sz w:val="24"/>
                <w:highlight w:val="none"/>
              </w:rPr>
            </w:pPr>
            <w:r>
              <w:rPr>
                <w:rFonts w:ascii="Times New Roman" w:cs="Times New Roman" w:hAnsi="Times New Roman"/>
                <w:color w:val="auto"/>
                <w:sz w:val="24"/>
                <w:highlight w:val="none"/>
              </w:rPr>
              <w:t>（1）</w:t>
            </w:r>
            <w:r>
              <w:rPr>
                <w:rFonts w:hint="eastAsia"/>
                <w:color w:val="auto"/>
                <w:sz w:val="24"/>
                <w:highlight w:val="none"/>
              </w:rPr>
              <w:t>项目位于</w:t>
            </w:r>
            <w:r>
              <w:rPr>
                <w:rFonts w:cs="Times New Roman" w:hint="eastAsia"/>
                <w:color w:val="auto"/>
                <w:sz w:val="24"/>
                <w:lang w:eastAsia="zh-CN"/>
                <w:highlight w:val="none"/>
              </w:rPr>
              <w:t>石家庄市栾城区装备制造基地楼底镇段家营村裕翔街168号103厂房（南）</w:t>
            </w:r>
            <w:r>
              <w:rPr>
                <w:rFonts w:hint="eastAsia"/>
                <w:color w:val="auto"/>
                <w:sz w:val="24"/>
                <w:highlight w:val="none"/>
              </w:rPr>
              <w:t>，项目租赁河北泽豪环保新材料科技有限公司闲置库房和两间办公室，根据中华人民共和国不动产权证书（冀（2016）栾城区不动产权第0000959号），占地为工业用地，符合用地规划</w:t>
            </w:r>
            <w:r>
              <w:rPr>
                <w:rFonts w:ascii="Times New Roman" w:eastAsia="宋体" w:cs="Times New Roman" w:hAnsi="Times New Roman"/>
                <w:color w:val="auto"/>
                <w:sz w:val="24"/>
                <w:highlight w:val="none"/>
              </w:rPr>
              <w:t>。</w:t>
            </w:r>
          </w:p>
          <w:p>
            <w:pPr>
              <w:adjustRightInd w:val="0"/>
              <w:snapToGrid w:val="0"/>
              <w:spacing w:line="460" w:lineRule="exact"/>
              <w:ind w:firstLineChars="200" w:firstLine="480"/>
              <w:rPr>
                <w:rFonts w:ascii="Times New Roman" w:cs="Times New Roman" w:hAnsi="Times New Roman"/>
                <w:color w:val="auto"/>
                <w:kern w:val="0"/>
                <w:sz w:val="24"/>
                <w:highlight w:val="none"/>
              </w:rPr>
            </w:pPr>
            <w:r>
              <w:rPr>
                <w:rFonts w:ascii="Times New Roman" w:cs="Times New Roman" w:hAnsi="Times New Roman"/>
                <w:color w:val="auto"/>
                <w:sz w:val="24"/>
                <w:highlight w:val="none"/>
              </w:rPr>
              <w:t>（2）项目所在区域附近无国家、省、市规定的自然保护区、风景名胜区等环境敏感区</w:t>
            </w:r>
            <w:r>
              <w:rPr>
                <w:rFonts w:ascii="Times New Roman" w:cs="Times New Roman" w:hAnsi="Times New Roman"/>
                <w:color w:val="auto"/>
                <w:kern w:val="0"/>
                <w:sz w:val="24"/>
                <w:highlight w:val="none"/>
              </w:rPr>
              <w:t>，不在</w:t>
            </w:r>
            <w:r>
              <w:rPr>
                <w:rFonts w:ascii="Times New Roman" w:cs="Times New Roman" w:hAnsi="Times New Roman"/>
                <w:color w:val="auto"/>
                <w:sz w:val="24"/>
                <w:highlight w:val="none"/>
              </w:rPr>
              <w:t>生态保护红线</w:t>
            </w:r>
            <w:r>
              <w:rPr>
                <w:rFonts w:ascii="Times New Roman" w:cs="Times New Roman" w:hAnsi="Times New Roman"/>
                <w:color w:val="auto"/>
                <w:kern w:val="0"/>
                <w:sz w:val="24"/>
                <w:highlight w:val="none"/>
              </w:rPr>
              <w:t>范围内，不存在明显环境制约因素，与周边环境相容。</w:t>
            </w:r>
          </w:p>
          <w:p>
            <w:pPr>
              <w:adjustRightInd w:val="0"/>
              <w:snapToGrid w:val="0"/>
              <w:spacing w:line="460" w:lineRule="exact"/>
              <w:ind w:firstLineChars="200" w:firstLine="480"/>
              <w:rPr>
                <w:rFonts w:ascii="Times New Roman" w:eastAsia="宋体" w:cs="Times New Roman" w:hAnsi="Times New Roman" w:hint="eastAsia"/>
                <w:color w:val="auto"/>
                <w:kern w:val="0"/>
                <w:sz w:val="24"/>
                <w:lang w:eastAsia="zh-CN"/>
                <w:highlight w:val="none"/>
              </w:rPr>
            </w:pPr>
            <w:r>
              <w:rPr>
                <w:rFonts w:cs="Times New Roman" w:hint="eastAsia"/>
                <w:color w:val="auto"/>
                <w:kern w:val="0"/>
                <w:sz w:val="24"/>
                <w:lang w:eastAsia="zh-CN"/>
                <w:highlight w:val="none"/>
              </w:rPr>
              <w:t>（</w:t>
            </w:r>
            <w:r>
              <w:rPr>
                <w:rFonts w:cs="Times New Roman" w:hint="eastAsia"/>
                <w:color w:val="auto"/>
                <w:kern w:val="0"/>
                <w:sz w:val="24"/>
                <w:lang w:val="en-US" w:eastAsia="zh-CN"/>
                <w:highlight w:val="none"/>
              </w:rPr>
              <w:t>3</w:t>
            </w:r>
            <w:r>
              <w:rPr>
                <w:rFonts w:cs="Times New Roman" w:hint="eastAsia"/>
                <w:color w:val="auto"/>
                <w:kern w:val="0"/>
                <w:sz w:val="24"/>
                <w:lang w:eastAsia="zh-CN"/>
                <w:highlight w:val="none"/>
              </w:rPr>
              <w:t>）项目选址符合《危险废物贮存污染控制标准》（GB 18597-2023）《废旧电池回收技术规范》（</w:t>
            </w:r>
            <w:r>
              <w:rPr>
                <w:rFonts w:cs="Times New Roman" w:hint="eastAsia"/>
                <w:color w:val="auto"/>
                <w:kern w:val="0"/>
                <w:sz w:val="24"/>
                <w:lang w:val="en-US" w:eastAsia="zh-CN"/>
                <w:highlight w:val="none"/>
              </w:rPr>
              <w:t>GB/T 39224-2020</w:t>
            </w:r>
            <w:r>
              <w:rPr>
                <w:rFonts w:cs="Times New Roman" w:hint="eastAsia"/>
                <w:color w:val="auto"/>
                <w:kern w:val="0"/>
                <w:sz w:val="24"/>
                <w:lang w:eastAsia="zh-CN"/>
                <w:highlight w:val="none"/>
              </w:rPr>
              <w:t>）等相关要求。</w:t>
            </w:r>
          </w:p>
          <w:p>
            <w:pPr>
              <w:pStyle w:val="16"/>
              <w:spacing w:line="460" w:lineRule="exact"/>
              <w:rPr>
                <w:rFonts w:ascii="Times New Roman" w:cs="Times New Roman" w:hAnsi="Times New Roman"/>
                <w:color w:val="auto"/>
                <w:sz w:val="24"/>
                <w:highlight w:val="none"/>
              </w:rPr>
            </w:pPr>
            <w:r>
              <w:rPr>
                <w:rFonts w:ascii="Times New Roman" w:cs="Times New Roman" w:hAnsi="Times New Roman"/>
                <w:color w:val="auto"/>
                <w:sz w:val="24"/>
                <w:highlight w:val="none"/>
              </w:rPr>
              <w:t>综上所述，项目选址合理。</w:t>
            </w:r>
          </w:p>
          <w:p>
            <w:pPr>
              <w:adjustRightInd w:val="0"/>
              <w:snapToGrid w:val="0"/>
              <w:spacing w:line="460" w:lineRule="exact"/>
              <w:ind w:firstLineChars="200" w:firstLine="480"/>
              <w:rPr>
                <w:rFonts w:ascii="Times New Roman" w:cs="Times New Roman" w:hAnsi="Times New Roman"/>
                <w:b/>
                <w:bCs/>
                <w:color w:val="auto"/>
                <w:sz w:val="24"/>
                <w:highlight w:val="none"/>
              </w:rPr>
            </w:pPr>
            <w:r>
              <w:rPr>
                <w:rFonts w:ascii="Times New Roman" w:cs="Times New Roman" w:hAnsi="Times New Roman"/>
                <w:b/>
                <w:bCs/>
                <w:color w:val="auto"/>
                <w:sz w:val="24"/>
                <w:highlight w:val="none"/>
              </w:rPr>
              <w:t>3、</w:t>
            </w:r>
            <w:r>
              <w:rPr>
                <w:rFonts w:cs="Times New Roman" w:hint="eastAsia"/>
                <w:b/>
                <w:bCs/>
                <w:color w:val="auto"/>
                <w:sz w:val="24"/>
                <w:lang w:eastAsia="zh-CN"/>
                <w:highlight w:val="none"/>
              </w:rPr>
              <w:t>“</w:t>
            </w:r>
            <w:r>
              <w:rPr>
                <w:rFonts w:ascii="Times New Roman" w:cs="Times New Roman" w:hAnsi="Times New Roman"/>
                <w:b/>
                <w:bCs/>
                <w:color w:val="auto"/>
                <w:sz w:val="24"/>
                <w:highlight w:val="none"/>
              </w:rPr>
              <w:t>三线一单</w:t>
            </w:r>
            <w:r>
              <w:rPr>
                <w:rFonts w:cs="Times New Roman" w:hint="eastAsia"/>
                <w:b/>
                <w:bCs/>
                <w:color w:val="auto"/>
                <w:sz w:val="24"/>
                <w:lang w:eastAsia="zh-CN"/>
                <w:highlight w:val="none"/>
              </w:rPr>
              <w:t>”</w:t>
            </w:r>
            <w:r>
              <w:rPr>
                <w:rFonts w:ascii="Times New Roman" w:cs="Times New Roman" w:hAnsi="Times New Roman"/>
                <w:b/>
                <w:bCs/>
                <w:color w:val="auto"/>
                <w:sz w:val="24"/>
                <w:highlight w:val="none"/>
              </w:rPr>
              <w:t>符合性分析</w:t>
            </w:r>
          </w:p>
          <w:p>
            <w:pPr>
              <w:adjustRightInd w:val="0"/>
              <w:snapToGrid w:val="0"/>
              <w:spacing w:line="460" w:lineRule="exact"/>
              <w:ind w:firstLineChars="200" w:firstLine="480"/>
              <w:rPr>
                <w:rFonts w:ascii="Times New Roman" w:cs="Times New Roman" w:hAnsi="Times New Roman"/>
                <w:color w:val="auto"/>
                <w:sz w:val="24"/>
                <w:highlight w:val="none"/>
              </w:rPr>
            </w:pPr>
            <w:r>
              <w:rPr>
                <w:rFonts w:ascii="Times New Roman" w:cs="Times New Roman" w:hAnsi="Times New Roman"/>
                <w:color w:val="auto"/>
                <w:sz w:val="24"/>
                <w:highlight w:val="none"/>
              </w:rPr>
              <w:t>（1）</w:t>
            </w:r>
            <w:r>
              <w:rPr>
                <w:rFonts w:ascii="Times New Roman" w:cs="Times New Roman" w:hAnsi="Times New Roman"/>
                <w:caps w:val="0"/>
                <w:smallCaps w:val="0"/>
                <w:color w:val="auto"/>
                <w:spacing w:val="0"/>
                <w:sz w:val="24"/>
                <w:szCs w:val="20"/>
                <w:highlight w:val="none"/>
              </w:rPr>
              <w:t>根据《关于以改善环境质量为核心加强环境影响评价管理的通知》（环环评[2016]150号），</w:t>
            </w:r>
            <w:r>
              <w:rPr>
                <w:rFonts w:ascii="Times New Roman" w:cs="Times New Roman" w:hAnsi="Times New Roman"/>
                <w:color w:val="auto"/>
                <w:sz w:val="24"/>
                <w:highlight w:val="none"/>
              </w:rPr>
              <w:t>项目与</w:t>
            </w:r>
            <w:r>
              <w:rPr>
                <w:rFonts w:cs="Times New Roman" w:hint="eastAsia"/>
                <w:color w:val="auto"/>
                <w:sz w:val="24"/>
                <w:lang w:eastAsia="zh-CN"/>
                <w:highlight w:val="none"/>
              </w:rPr>
              <w:t>“</w:t>
            </w:r>
            <w:r>
              <w:rPr>
                <w:rFonts w:ascii="Times New Roman" w:cs="Times New Roman" w:hAnsi="Times New Roman"/>
                <w:color w:val="auto"/>
                <w:sz w:val="24"/>
                <w:highlight w:val="none"/>
              </w:rPr>
              <w:t>三线一单</w:t>
            </w:r>
            <w:r>
              <w:rPr>
                <w:rFonts w:cs="Times New Roman" w:hint="eastAsia"/>
                <w:color w:val="auto"/>
                <w:sz w:val="24"/>
                <w:lang w:eastAsia="zh-CN"/>
                <w:highlight w:val="none"/>
              </w:rPr>
              <w:t>”</w:t>
            </w:r>
            <w:r>
              <w:rPr>
                <w:rFonts w:ascii="Times New Roman" w:cs="Times New Roman" w:hAnsi="Times New Roman"/>
                <w:color w:val="auto"/>
                <w:sz w:val="24"/>
                <w:highlight w:val="none"/>
              </w:rPr>
              <w:t>符合性见下：</w:t>
            </w:r>
          </w:p>
          <w:p>
            <w:pPr>
              <w:jc w:val="center"/>
              <w:rPr>
                <w:rFonts w:ascii="Times New Roman" w:cs="Times New Roman" w:hAnsi="Times New Roman"/>
                <w:b/>
                <w:bCs/>
                <w:color w:val="auto"/>
                <w:sz w:val="24"/>
                <w:highlight w:val="none"/>
              </w:rPr>
            </w:pPr>
            <w:r>
              <w:rPr>
                <w:rFonts w:ascii="Times New Roman" w:cs="Times New Roman" w:hAnsi="Times New Roman"/>
                <w:b/>
                <w:bCs/>
                <w:color w:val="auto"/>
                <w:sz w:val="24"/>
                <w:highlight w:val="none"/>
              </w:rPr>
              <w:t>表1-</w:t>
            </w:r>
            <w:r>
              <w:rPr>
                <w:rFonts w:cs="Times New Roman" w:hint="eastAsia"/>
                <w:b/>
                <w:bCs/>
                <w:color w:val="auto"/>
                <w:sz w:val="24"/>
                <w:lang w:val="en-US" w:eastAsia="zh-CN"/>
                <w:highlight w:val="none"/>
              </w:rPr>
              <w:t>7</w:t>
            </w:r>
            <w:r>
              <w:rPr>
                <w:rFonts w:ascii="Times New Roman" w:cs="Times New Roman" w:hAnsi="Times New Roman"/>
                <w:b/>
                <w:bCs/>
                <w:color w:val="auto"/>
                <w:sz w:val="24"/>
                <w:highlight w:val="none"/>
              </w:rPr>
              <w:t xml:space="preserve">  项目</w:t>
            </w:r>
            <w:r>
              <w:rPr>
                <w:rFonts w:cs="Times New Roman" w:hint="eastAsia"/>
                <w:b/>
                <w:bCs/>
                <w:color w:val="auto"/>
                <w:sz w:val="24"/>
                <w:lang w:eastAsia="zh-CN"/>
                <w:highlight w:val="none"/>
              </w:rPr>
              <w:t>“</w:t>
            </w:r>
            <w:r>
              <w:rPr>
                <w:rFonts w:ascii="Times New Roman" w:cs="Times New Roman" w:hAnsi="Times New Roman"/>
                <w:b/>
                <w:bCs/>
                <w:color w:val="auto"/>
                <w:sz w:val="24"/>
                <w:highlight w:val="none"/>
              </w:rPr>
              <w:t>三线一单</w:t>
            </w:r>
            <w:r>
              <w:rPr>
                <w:rFonts w:cs="Times New Roman" w:hint="eastAsia"/>
                <w:b/>
                <w:bCs/>
                <w:color w:val="auto"/>
                <w:sz w:val="24"/>
                <w:lang w:eastAsia="zh-CN"/>
                <w:highlight w:val="none"/>
              </w:rPr>
              <w:t>”</w:t>
            </w:r>
            <w:r>
              <w:rPr>
                <w:rFonts w:ascii="Times New Roman" w:cs="Times New Roman" w:hAnsi="Times New Roman"/>
                <w:b/>
                <w:bCs/>
                <w:color w:val="auto"/>
                <w:sz w:val="24"/>
                <w:highlight w:val="none"/>
              </w:rPr>
              <w:t>情况分析表</w:t>
            </w:r>
          </w:p>
          <w:tbl>
            <w:tblPr>
              <w:jc w:val="left"/>
              <w:tblInd w:w="5" w:type="dxa"/>
              <w:tblW w:w="4998" w:type="pct"/>
              <w:tblBorders>
                <w:top w:val="single" w:sz="12" w:space="0" w:color="auto"/>
                <w:left w:val="none" w:sz="0" w:space="0" w:color="auto"/>
                <w:bottom w:val="single" w:sz="12" w:space="0" w:color="auto"/>
                <w:right w:val="none" w:sz="0" w:space="0" w:color="auto"/>
                <w:insideH w:val="single" w:sz="4" w:space="0" w:color="auto"/>
                <w:insideV w:val="single" w:sz="4" w:space="0" w:color="auto"/>
              </w:tblBorders>
              <w:tblCellMar>
                <w:top w:w="0" w:type="dxa"/>
                <w:left w:w="108" w:type="dxa"/>
                <w:bottom w:w="0" w:type="dxa"/>
                <w:right w:w="108" w:type="dxa"/>
              </w:tblCellMar>
              <w:tblLook w:val="0600" w:firstRow="0" w:lastRow="0" w:firstColumn="0" w:lastColumn="0" w:noHBand="1" w:noVBand="1"/>
            </w:tblPr>
            <w:tblGrid>
              <w:gridCol w:w="670"/>
              <w:gridCol w:w="3096"/>
              <w:gridCol w:w="2742"/>
              <w:gridCol w:w="1090"/>
            </w:tblGrid>
            <w:tr>
              <w:trPr>
                <w:trHeight w:val="397"/>
              </w:trPr>
              <w:tc>
                <w:tcPr>
                  <w:tcW w:w="441" w:type="pct"/>
                  <w:tcBorders>
                    <w:tl2br w:val="nil"/>
                    <w:tr2bl w:val="nil"/>
                  </w:tcBorders>
                  <w:vAlign w:val="center"/>
                </w:tcPr>
                <w:p>
                  <w:pPr>
                    <w:adjustRightInd w:val="0"/>
                    <w:snapToGrid w:val="0"/>
                    <w:jc w:val="center"/>
                    <w:rPr>
                      <w:rFonts w:ascii="Times New Roman" w:cs="Times New Roman" w:hAnsi="Times New Roman"/>
                      <w:color w:val="auto"/>
                      <w:szCs w:val="21"/>
                      <w:highlight w:val="none"/>
                    </w:rPr>
                  </w:pPr>
                  <w:r>
                    <w:rPr>
                      <w:rFonts w:ascii="Times New Roman" w:cs="Times New Roman" w:hAnsi="Times New Roman"/>
                      <w:color w:val="auto"/>
                      <w:szCs w:val="21"/>
                      <w:highlight w:val="none"/>
                    </w:rPr>
                    <w:t>内容</w:t>
                  </w:r>
                </w:p>
              </w:tc>
              <w:tc>
                <w:tcPr>
                  <w:tcW w:w="2037" w:type="pct"/>
                  <w:tcBorders>
                    <w:tl2br w:val="nil"/>
                    <w:tr2bl w:val="nil"/>
                  </w:tcBorders>
                  <w:vAlign w:val="center"/>
                </w:tcPr>
                <w:p>
                  <w:pPr>
                    <w:adjustRightInd w:val="0"/>
                    <w:snapToGrid w:val="0"/>
                    <w:jc w:val="center"/>
                    <w:rPr>
                      <w:rFonts w:ascii="Times New Roman" w:cs="Times New Roman" w:hAnsi="Times New Roman"/>
                      <w:color w:val="auto"/>
                      <w:szCs w:val="21"/>
                      <w:highlight w:val="none"/>
                    </w:rPr>
                  </w:pPr>
                  <w:r>
                    <w:rPr>
                      <w:rFonts w:cs="Times New Roman" w:hint="eastAsia"/>
                      <w:color w:val="auto"/>
                      <w:szCs w:val="21"/>
                      <w:lang w:eastAsia="zh-CN"/>
                      <w:highlight w:val="none"/>
                    </w:rPr>
                    <w:t>“</w:t>
                  </w:r>
                  <w:r>
                    <w:rPr>
                      <w:rFonts w:ascii="Times New Roman" w:cs="Times New Roman" w:hAnsi="Times New Roman"/>
                      <w:color w:val="auto"/>
                      <w:szCs w:val="21"/>
                      <w:highlight w:val="none"/>
                    </w:rPr>
                    <w:t>三线一单</w:t>
                  </w:r>
                  <w:r>
                    <w:rPr>
                      <w:rFonts w:cs="Times New Roman" w:hint="eastAsia"/>
                      <w:color w:val="auto"/>
                      <w:szCs w:val="21"/>
                      <w:lang w:eastAsia="zh-CN"/>
                      <w:highlight w:val="none"/>
                    </w:rPr>
                    <w:t>”</w:t>
                  </w:r>
                  <w:r>
                    <w:rPr>
                      <w:rFonts w:ascii="Times New Roman" w:cs="Times New Roman" w:hAnsi="Times New Roman"/>
                      <w:color w:val="auto"/>
                      <w:szCs w:val="21"/>
                      <w:highlight w:val="none"/>
                    </w:rPr>
                    <w:t>要求</w:t>
                  </w:r>
                </w:p>
              </w:tc>
              <w:tc>
                <w:tcPr>
                  <w:tcW w:w="1804" w:type="pct"/>
                  <w:tcBorders>
                    <w:tl2br w:val="nil"/>
                    <w:tr2bl w:val="nil"/>
                  </w:tcBorders>
                  <w:vAlign w:val="center"/>
                </w:tcPr>
                <w:p>
                  <w:pPr>
                    <w:adjustRightInd w:val="0"/>
                    <w:snapToGrid w:val="0"/>
                    <w:jc w:val="center"/>
                    <w:rPr>
                      <w:rFonts w:ascii="Times New Roman" w:cs="Times New Roman" w:hAnsi="Times New Roman"/>
                      <w:color w:val="auto"/>
                      <w:szCs w:val="21"/>
                      <w:highlight w:val="none"/>
                    </w:rPr>
                  </w:pPr>
                  <w:r>
                    <w:rPr>
                      <w:rFonts w:ascii="Times New Roman" w:cs="Times New Roman" w:hAnsi="Times New Roman"/>
                      <w:color w:val="auto"/>
                      <w:szCs w:val="21"/>
                      <w:highlight w:val="none"/>
                    </w:rPr>
                    <w:t>项目情况</w:t>
                  </w:r>
                </w:p>
              </w:tc>
              <w:tc>
                <w:tcPr>
                  <w:tcW w:w="717" w:type="pct"/>
                  <w:tcBorders>
                    <w:tl2br w:val="nil"/>
                    <w:tr2bl w:val="nil"/>
                  </w:tcBorders>
                  <w:vAlign w:val="center"/>
                </w:tcPr>
                <w:p>
                  <w:pPr>
                    <w:adjustRightInd w:val="0"/>
                    <w:snapToGrid w:val="0"/>
                    <w:jc w:val="center"/>
                    <w:rPr>
                      <w:rFonts w:ascii="Times New Roman" w:cs="Times New Roman" w:hAnsi="Times New Roman"/>
                      <w:color w:val="auto"/>
                      <w:szCs w:val="21"/>
                      <w:highlight w:val="none"/>
                    </w:rPr>
                  </w:pPr>
                  <w:r>
                    <w:rPr>
                      <w:rFonts w:ascii="Times New Roman" w:cs="Times New Roman" w:hAnsi="Times New Roman"/>
                      <w:color w:val="auto"/>
                      <w:szCs w:val="21"/>
                      <w:highlight w:val="none"/>
                    </w:rPr>
                    <w:t>是否符合相关要求</w:t>
                  </w:r>
                </w:p>
              </w:tc>
            </w:tr>
            <w:tr>
              <w:trPr>
                <w:trHeight w:val="96"/>
              </w:trPr>
              <w:tc>
                <w:tcPr>
                  <w:tcW w:w="441" w:type="pct"/>
                  <w:tcBorders>
                    <w:tl2br w:val="nil"/>
                    <w:tr2bl w:val="nil"/>
                  </w:tcBorders>
                  <w:vAlign w:val="center"/>
                </w:tcPr>
                <w:p>
                  <w:pPr>
                    <w:adjustRightInd w:val="0"/>
                    <w:snapToGrid w:val="0"/>
                    <w:jc w:val="center"/>
                    <w:rPr>
                      <w:rFonts w:ascii="Times New Roman" w:cs="Times New Roman" w:hAnsi="Times New Roman"/>
                      <w:color w:val="auto"/>
                      <w:szCs w:val="21"/>
                      <w:highlight w:val="none"/>
                    </w:rPr>
                  </w:pPr>
                  <w:r>
                    <w:rPr>
                      <w:rFonts w:ascii="Times New Roman" w:cs="Times New Roman" w:hAnsi="Times New Roman"/>
                      <w:color w:val="auto"/>
                      <w:szCs w:val="21"/>
                      <w:highlight w:val="none"/>
                    </w:rPr>
                    <w:t>生态保护红线</w:t>
                  </w:r>
                </w:p>
              </w:tc>
              <w:tc>
                <w:tcPr>
                  <w:tcW w:w="2037" w:type="pct"/>
                  <w:tcBorders>
                    <w:tl2br w:val="nil"/>
                    <w:tr2bl w:val="nil"/>
                  </w:tcBorders>
                  <w:vAlign w:val="center"/>
                </w:tcPr>
                <w:p>
                  <w:pPr>
                    <w:adjustRightInd w:val="0"/>
                    <w:snapToGrid w:val="0"/>
                    <w:rPr>
                      <w:rFonts w:ascii="Times New Roman" w:cs="Times New Roman" w:hAnsi="Times New Roman"/>
                      <w:color w:val="auto"/>
                      <w:szCs w:val="21"/>
                      <w:highlight w:val="none"/>
                    </w:rPr>
                  </w:pPr>
                  <w:r>
                    <w:rPr>
                      <w:rFonts w:ascii="Times New Roman" w:cs="Times New Roman" w:hAnsi="Times New Roman"/>
                      <w:color w:val="auto"/>
                      <w:szCs w:val="21"/>
                      <w:highlight w:val="none"/>
                    </w:rPr>
                    <w:t>生态空间范围内具有特殊重要生态功能必须实行强制性严格保护的区域。相关规划环评应将生态空间管控作为重要内容，规划区域涉及生态保护红线的，在规划环评结论和审查意见中应落实生态保护红线的管理要求，提出相应对策措施。除受自然条件限制、确实无法避让的铁路、公路、航道、防洪、管道、干渠、通讯、输变电等重要基础设施项目外，在生态保护红线范围内，严控各类开发建设活动，依法不予审批新建工业项目和矿产开发项目的环评文件。</w:t>
                  </w:r>
                </w:p>
              </w:tc>
              <w:tc>
                <w:tcPr>
                  <w:tcW w:w="1804" w:type="pct"/>
                  <w:tcBorders>
                    <w:tl2br w:val="nil"/>
                    <w:tr2bl w:val="nil"/>
                  </w:tcBorders>
                  <w:vAlign w:val="center"/>
                </w:tcPr>
                <w:p>
                  <w:pPr>
                    <w:adjustRightInd w:val="0"/>
                    <w:snapToGrid w:val="0"/>
                    <w:rPr>
                      <w:rFonts w:ascii="Times New Roman" w:eastAsia="宋体" w:cs="Times New Roman" w:hAnsi="Times New Roman"/>
                      <w:color w:val="auto"/>
                      <w:szCs w:val="21"/>
                      <w:highlight w:val="none"/>
                    </w:rPr>
                  </w:pPr>
                  <w:r>
                    <w:rPr>
                      <w:rFonts w:ascii="Times New Roman" w:eastAsia="宋体" w:cs="Times New Roman" w:hAnsi="Times New Roman"/>
                      <w:color w:val="auto"/>
                      <w:szCs w:val="21"/>
                      <w:highlight w:val="none"/>
                    </w:rPr>
                    <w:t>项目位于河北省</w:t>
                  </w:r>
                  <w:r>
                    <w:rPr>
                      <w:rFonts w:cs="Times New Roman" w:hint="eastAsia"/>
                      <w:color w:val="auto"/>
                      <w:szCs w:val="21"/>
                      <w:lang w:eastAsia="zh-CN"/>
                      <w:highlight w:val="none"/>
                    </w:rPr>
                    <w:t>石家庄市栾城区装备制造基地楼底镇段家营村裕翔街168号103厂房（南）</w:t>
                  </w:r>
                  <w:r>
                    <w:rPr>
                      <w:rFonts w:ascii="Times New Roman" w:eastAsia="宋体" w:cs="Times New Roman" w:hAnsi="Times New Roman"/>
                      <w:color w:val="auto"/>
                      <w:szCs w:val="21"/>
                      <w:highlight w:val="none"/>
                    </w:rPr>
                    <w:t>，项目不在石家庄市生态保护红线区范围内。</w:t>
                  </w:r>
                </w:p>
              </w:tc>
              <w:tc>
                <w:tcPr>
                  <w:tcW w:w="717" w:type="pct"/>
                  <w:tcBorders>
                    <w:tl2br w:val="nil"/>
                    <w:tr2bl w:val="nil"/>
                  </w:tcBorders>
                  <w:vAlign w:val="center"/>
                </w:tcPr>
                <w:p>
                  <w:pPr>
                    <w:adjustRightInd w:val="0"/>
                    <w:snapToGrid w:val="0"/>
                    <w:jc w:val="center"/>
                    <w:rPr>
                      <w:rFonts w:ascii="Times New Roman" w:eastAsia="宋体" w:cs="Times New Roman" w:hAnsi="Times New Roman" w:hint="eastAsia"/>
                      <w:color w:val="auto"/>
                      <w:szCs w:val="21"/>
                      <w:lang w:eastAsia="zh-CN"/>
                      <w:highlight w:val="none"/>
                    </w:rPr>
                  </w:pPr>
                  <w:r>
                    <w:rPr>
                      <w:rFonts w:ascii="Times New Roman" w:eastAsia="宋体" w:cs="Times New Roman" w:hAnsi="Times New Roman" w:hint="eastAsia"/>
                      <w:color w:val="auto"/>
                      <w:szCs w:val="21"/>
                      <w:lang w:val="en-US" w:eastAsia="zh-CN"/>
                      <w:highlight w:val="none"/>
                    </w:rPr>
                    <w:t>是</w:t>
                  </w:r>
                </w:p>
              </w:tc>
            </w:tr>
            <w:tr>
              <w:trPr>
                <w:trHeight w:val="397"/>
              </w:trPr>
              <w:tc>
                <w:tcPr>
                  <w:tcW w:w="441" w:type="pct"/>
                  <w:tcBorders>
                    <w:tl2br w:val="nil"/>
                    <w:tr2bl w:val="nil"/>
                  </w:tcBorders>
                  <w:vAlign w:val="center"/>
                </w:tcPr>
                <w:p>
                  <w:pPr>
                    <w:adjustRightInd w:val="0"/>
                    <w:snapToGrid w:val="0"/>
                    <w:jc w:val="center"/>
                    <w:rPr>
                      <w:rFonts w:ascii="Times New Roman" w:cs="Times New Roman" w:hAnsi="Times New Roman"/>
                      <w:color w:val="auto"/>
                      <w:szCs w:val="21"/>
                      <w:highlight w:val="none"/>
                    </w:rPr>
                  </w:pPr>
                  <w:r>
                    <w:rPr>
                      <w:rFonts w:ascii="Times New Roman" w:cs="Times New Roman" w:hAnsi="Times New Roman"/>
                      <w:color w:val="auto"/>
                      <w:szCs w:val="21"/>
                      <w:highlight w:val="none"/>
                    </w:rPr>
                    <w:t>环境质量底线</w:t>
                  </w:r>
                </w:p>
              </w:tc>
              <w:tc>
                <w:tcPr>
                  <w:tcW w:w="2037" w:type="pct"/>
                  <w:tcBorders>
                    <w:tl2br w:val="nil"/>
                    <w:tr2bl w:val="nil"/>
                  </w:tcBorders>
                  <w:vAlign w:val="center"/>
                </w:tcPr>
                <w:p>
                  <w:pPr>
                    <w:adjustRightInd w:val="0"/>
                    <w:snapToGrid w:val="0"/>
                    <w:rPr>
                      <w:rFonts w:ascii="Times New Roman" w:cs="Times New Roman" w:hAnsi="Times New Roman"/>
                      <w:color w:val="auto"/>
                      <w:szCs w:val="21"/>
                      <w:highlight w:val="none"/>
                    </w:rPr>
                  </w:pPr>
                  <w:r>
                    <w:rPr>
                      <w:rFonts w:ascii="Times New Roman" w:cs="Times New Roman" w:hAnsi="Times New Roman"/>
                      <w:color w:val="auto"/>
                      <w:szCs w:val="21"/>
                      <w:highlight w:val="none"/>
                    </w:rPr>
                    <w:t>环境质量底线是国家和地方设置的大气、水和土壤环境质量目标，也是改善环境质量的基准线。有关规划环评应落实区域环境质量目标管理要求，提出区域或者行业污染物排放总量管控建议以及优化区域或行业发展布局、结构和规模的对策措施。项目环评应对照区域环境质量目标，深入分析预测项目建设对环境质量的影响，强化污染防治措施和污染物排放控制要求。</w:t>
                  </w:r>
                </w:p>
              </w:tc>
              <w:tc>
                <w:tcPr>
                  <w:tcW w:w="1804" w:type="pct"/>
                  <w:tcBorders>
                    <w:tl2br w:val="nil"/>
                    <w:tr2bl w:val="nil"/>
                  </w:tcBorders>
                  <w:vAlign w:val="center"/>
                </w:tcPr>
                <w:p>
                  <w:pPr>
                    <w:adjustRightInd w:val="0"/>
                    <w:snapToGrid w:val="0"/>
                    <w:rPr>
                      <w:rFonts w:ascii="Times New Roman" w:eastAsia="宋体" w:cs="Times New Roman" w:hAnsi="Times New Roman" w:hint="eastAsia"/>
                      <w:color w:val="auto"/>
                      <w:szCs w:val="21"/>
                      <w:lang w:eastAsia="zh-CN"/>
                      <w:highlight w:val="none"/>
                    </w:rPr>
                  </w:pPr>
                  <w:r>
                    <w:rPr>
                      <w:rFonts w:ascii="Times New Roman" w:eastAsia="宋体" w:cs="Times New Roman" w:hAnsi="Times New Roman" w:hint="eastAsia"/>
                      <w:color w:val="auto"/>
                      <w:szCs w:val="21"/>
                      <w:highlight w:val="none"/>
                    </w:rPr>
                    <w:t>①环境空气：项目所在区域环境空气为二类功能区，执行《环境空气质量标准》（GB 3095-2026）二级标准及修改单要求</w:t>
                  </w:r>
                  <w:r>
                    <w:rPr>
                      <w:rFonts w:ascii="Times New Roman" w:eastAsia="宋体" w:cs="Times New Roman" w:hAnsi="Times New Roman" w:hint="eastAsia"/>
                      <w:color w:val="auto"/>
                      <w:szCs w:val="21"/>
                      <w:lang w:eastAsia="zh-CN"/>
                      <w:highlight w:val="none"/>
                    </w:rPr>
                    <w:t>。</w:t>
                  </w:r>
                </w:p>
                <w:p>
                  <w:pPr>
                    <w:adjustRightInd w:val="0"/>
                    <w:snapToGrid w:val="0"/>
                    <w:rPr>
                      <w:rFonts w:ascii="Times New Roman" w:eastAsia="宋体" w:cs="Times New Roman" w:hAnsi="Times New Roman" w:hint="eastAsia"/>
                      <w:color w:val="auto"/>
                      <w:szCs w:val="21"/>
                      <w:highlight w:val="none"/>
                    </w:rPr>
                  </w:pPr>
                  <w:r>
                    <w:rPr>
                      <w:rFonts w:ascii="Times New Roman" w:eastAsia="宋体" w:cs="Times New Roman" w:hAnsi="Times New Roman" w:hint="eastAsia"/>
                      <w:color w:val="auto"/>
                      <w:szCs w:val="21"/>
                      <w:highlight w:val="none"/>
                    </w:rPr>
                    <w:t>②水环境：项目所在区域附近无地表水体，</w:t>
                  </w:r>
                  <w:r>
                    <w:rPr>
                      <w:rFonts w:hint="eastAsia"/>
                      <w:color w:val="auto"/>
                      <w:sz w:val="21"/>
                      <w:szCs w:val="21"/>
                      <w:highlight w:val="none"/>
                    </w:rPr>
                    <w:t>距离项目最近的水体为</w:t>
                  </w:r>
                  <w:r>
                    <w:rPr>
                      <w:rFonts w:hint="eastAsia"/>
                      <w:color w:val="auto"/>
                      <w:sz w:val="21"/>
                      <w:szCs w:val="21"/>
                      <w:lang w:val="en-US" w:eastAsia="zh-CN"/>
                      <w:highlight w:val="none"/>
                    </w:rPr>
                    <w:t>东侧370m的</w:t>
                  </w:r>
                  <w:r>
                    <w:rPr>
                      <w:rFonts w:hint="eastAsia"/>
                      <w:color w:val="auto"/>
                      <w:sz w:val="21"/>
                      <w:szCs w:val="21"/>
                      <w:lang w:eastAsia="zh-CN"/>
                      <w:highlight w:val="none"/>
                    </w:rPr>
                    <w:t>总退水渠</w:t>
                  </w:r>
                  <w:r>
                    <w:rPr>
                      <w:rFonts w:hint="eastAsia"/>
                      <w:color w:val="auto"/>
                      <w:sz w:val="21"/>
                      <w:szCs w:val="21"/>
                      <w:lang w:val="en-US" w:eastAsia="zh-CN"/>
                      <w:highlight w:val="none"/>
                    </w:rPr>
                    <w:t>及西南侧350m的</w:t>
                  </w:r>
                  <w:r>
                    <w:rPr>
                      <w:rFonts w:hint="eastAsia"/>
                      <w:color w:val="auto"/>
                      <w:sz w:val="21"/>
                      <w:szCs w:val="21"/>
                      <w:highlight w:val="none"/>
                    </w:rPr>
                    <w:t>洨河</w:t>
                  </w:r>
                  <w:r>
                    <w:rPr>
                      <w:rFonts w:ascii="Times New Roman" w:eastAsia="宋体" w:cs="Times New Roman" w:hAnsi="Times New Roman" w:hint="eastAsia"/>
                      <w:color w:val="auto"/>
                      <w:szCs w:val="21"/>
                      <w:highlight w:val="none"/>
                    </w:rPr>
                    <w:t>，根据石家庄市生态环境局202</w:t>
                  </w:r>
                  <w:r>
                    <w:rPr>
                      <w:rFonts w:ascii="Times New Roman" w:eastAsia="宋体" w:cs="Times New Roman" w:hAnsi="Times New Roman" w:hint="eastAsia"/>
                      <w:color w:val="auto"/>
                      <w:szCs w:val="21"/>
                      <w:lang w:val="en-US" w:eastAsia="zh-CN"/>
                      <w:highlight w:val="none"/>
                    </w:rPr>
                    <w:t>5</w:t>
                  </w:r>
                  <w:r>
                    <w:rPr>
                      <w:rFonts w:ascii="Times New Roman" w:eastAsia="宋体" w:cs="Times New Roman" w:hAnsi="Times New Roman" w:hint="eastAsia"/>
                      <w:color w:val="auto"/>
                      <w:szCs w:val="21"/>
                      <w:highlight w:val="none"/>
                    </w:rPr>
                    <w:t>年6月发布的《202</w:t>
                  </w:r>
                  <w:r>
                    <w:rPr>
                      <w:rFonts w:ascii="Times New Roman" w:eastAsia="宋体" w:cs="Times New Roman" w:hAnsi="Times New Roman" w:hint="eastAsia"/>
                      <w:color w:val="auto"/>
                      <w:szCs w:val="21"/>
                      <w:lang w:val="en-US" w:eastAsia="zh-CN"/>
                      <w:highlight w:val="none"/>
                    </w:rPr>
                    <w:t>4</w:t>
                  </w:r>
                  <w:r>
                    <w:rPr>
                      <w:rFonts w:ascii="Times New Roman" w:eastAsia="宋体" w:cs="Times New Roman" w:hAnsi="Times New Roman" w:hint="eastAsia"/>
                      <w:color w:val="auto"/>
                      <w:szCs w:val="21"/>
                      <w:highlight w:val="none"/>
                    </w:rPr>
                    <w:t>年石家庄市生态环境状况公报》洨河水质状况轻度污染。</w:t>
                  </w:r>
                  <w:r>
                    <w:rPr>
                      <w:rFonts w:ascii="Times New Roman" w:eastAsia="Segoe UI" w:cs="Times New Roman" w:hAnsi="Times New Roman"/>
                      <w:bCs w:val="0"/>
                      <w:i w:val="0"/>
                      <w:iCs w:val="0"/>
                      <w:caps w:val="0"/>
                      <w:smallCaps w:val="0"/>
                      <w:color w:val="auto"/>
                      <w:spacing w:val="0"/>
                      <w:kern w:val="0"/>
                      <w:sz w:val="21"/>
                      <w:szCs w:val="21"/>
                      <w:shd w:val="clear" w:color="auto" w:fill="FFFFFF"/>
                      <w:lang w:val="en-US" w:eastAsia="zh-CN" w:bidi="ar-SA"/>
                      <w:highlight w:val="none"/>
                    </w:rPr>
                    <w:t>项目</w:t>
                  </w:r>
                  <w:r>
                    <w:rPr>
                      <w:rFonts w:ascii="Times New Roman" w:eastAsia="Segoe UI" w:cs="Times New Roman" w:hAnsi="Times New Roman" w:hint="eastAsia"/>
                      <w:bCs w:val="0"/>
                      <w:i w:val="0"/>
                      <w:iCs w:val="0"/>
                      <w:caps w:val="0"/>
                      <w:smallCaps w:val="0"/>
                      <w:color w:val="auto"/>
                      <w:spacing w:val="0"/>
                      <w:kern w:val="0"/>
                      <w:sz w:val="21"/>
                      <w:szCs w:val="21"/>
                      <w:shd w:val="clear" w:color="auto" w:fill="FFFFFF"/>
                      <w:lang w:val="en-US" w:eastAsia="zh-CN" w:bidi="ar-SA"/>
                      <w:highlight w:val="none"/>
                    </w:rPr>
                    <w:t>废水主要为生活污水</w:t>
                  </w:r>
                  <w:r>
                    <w:rPr>
                      <w:rFonts w:eastAsia="Segoe UI" w:cs="Times New Roman" w:hint="eastAsia"/>
                      <w:bCs w:val="0"/>
                      <w:i w:val="0"/>
                      <w:iCs w:val="0"/>
                      <w:caps w:val="0"/>
                      <w:smallCaps w:val="0"/>
                      <w:color w:val="auto"/>
                      <w:spacing w:val="0"/>
                      <w:kern w:val="0"/>
                      <w:sz w:val="21"/>
                      <w:szCs w:val="21"/>
                      <w:shd w:val="clear" w:color="auto" w:fill="FFFFFF"/>
                      <w:lang w:val="en-US" w:eastAsia="zh-CN" w:bidi="ar-SA"/>
                      <w:highlight w:val="none"/>
                    </w:rPr>
                    <w:t>，</w:t>
                  </w:r>
                  <w:r>
                    <w:rPr>
                      <w:rFonts w:ascii="Times New Roman" w:eastAsia="宋体" w:cs="Times New Roman" w:hAnsi="Times New Roman"/>
                      <w:color w:val="auto"/>
                      <w:kern w:val="2"/>
                      <w:sz w:val="21"/>
                      <w:szCs w:val="21"/>
                      <w:lang w:val="en-US" w:eastAsia="zh-CN" w:bidi="ar-SA"/>
                      <w:highlight w:val="none"/>
                    </w:rPr>
                    <w:t>依托河北泽豪环保新材料科技有限公司化粪池处理后，</w:t>
                  </w:r>
                  <w:r>
                    <w:rPr>
                      <w:rFonts w:cs="Times New Roman" w:hint="eastAsia"/>
                      <w:color w:val="auto"/>
                      <w:kern w:val="2"/>
                      <w:sz w:val="21"/>
                      <w:szCs w:val="21"/>
                      <w:lang w:val="en-US" w:eastAsia="zh-CN" w:bidi="ar-SA"/>
                      <w:highlight w:val="none"/>
                    </w:rPr>
                    <w:t>定期清掏，不外排</w:t>
                  </w:r>
                  <w:r>
                    <w:rPr>
                      <w:rFonts w:ascii="Times New Roman" w:eastAsia="Segoe UI" w:cs="Times New Roman" w:hAnsi="Times New Roman"/>
                      <w:i w:val="0"/>
                      <w:iCs w:val="0"/>
                      <w:caps w:val="0"/>
                      <w:smallCaps w:val="0"/>
                      <w:color w:val="auto"/>
                      <w:spacing w:val="0"/>
                      <w:sz w:val="21"/>
                      <w:szCs w:val="21"/>
                      <w:shd w:val="clear" w:color="auto" w:fill="FFFFFF"/>
                      <w:lang w:val="en-US" w:eastAsia="zh-CN"/>
                      <w:highlight w:val="none"/>
                    </w:rPr>
                    <w:t>。</w:t>
                  </w:r>
                </w:p>
                <w:p>
                  <w:pPr>
                    <w:adjustRightInd w:val="0"/>
                    <w:snapToGrid w:val="0"/>
                    <w:rPr>
                      <w:rFonts w:ascii="Times New Roman" w:eastAsia="宋体" w:cs="Times New Roman" w:hAnsi="Times New Roman" w:hint="eastAsia"/>
                      <w:color w:val="auto"/>
                      <w:szCs w:val="21"/>
                      <w:highlight w:val="none"/>
                    </w:rPr>
                  </w:pPr>
                  <w:r>
                    <w:rPr>
                      <w:rFonts w:ascii="Times New Roman" w:eastAsia="宋体" w:cs="Times New Roman" w:hAnsi="Times New Roman" w:hint="eastAsia"/>
                      <w:color w:val="auto"/>
                      <w:szCs w:val="21"/>
                      <w:highlight w:val="none"/>
                    </w:rPr>
                    <w:t>③声环境：项目所在区域为</w:t>
                  </w:r>
                  <w:r>
                    <w:rPr>
                      <w:rFonts w:ascii="Times New Roman" w:eastAsia="宋体" w:cs="Times New Roman" w:hAnsi="Times New Roman" w:hint="eastAsia"/>
                      <w:color w:val="auto"/>
                      <w:szCs w:val="21"/>
                      <w:lang w:val="en-US" w:eastAsia="zh-CN"/>
                      <w:highlight w:val="none"/>
                    </w:rPr>
                    <w:t>3</w:t>
                  </w:r>
                  <w:r>
                    <w:rPr>
                      <w:rFonts w:ascii="Times New Roman" w:eastAsia="宋体" w:cs="Times New Roman" w:hAnsi="Times New Roman" w:hint="eastAsia"/>
                      <w:color w:val="auto"/>
                      <w:szCs w:val="21"/>
                      <w:highlight w:val="none"/>
                    </w:rPr>
                    <w:t>类声环境功能区。声环境质量现状执行《声环境质量标准》（GB3096-2008）中相关标准要求。根据预测，项目噪声采取措施后，达标排放。</w:t>
                  </w:r>
                </w:p>
                <w:p>
                  <w:pPr>
                    <w:adjustRightInd w:val="0"/>
                    <w:snapToGrid w:val="0"/>
                    <w:rPr>
                      <w:rFonts w:ascii="Times New Roman" w:eastAsia="宋体" w:cs="Times New Roman" w:hAnsi="Times New Roman"/>
                      <w:color w:val="auto"/>
                      <w:szCs w:val="21"/>
                      <w:highlight w:val="none"/>
                    </w:rPr>
                  </w:pPr>
                  <w:r>
                    <w:rPr>
                      <w:rFonts w:ascii="Times New Roman" w:eastAsia="宋体" w:cs="Times New Roman" w:hAnsi="Times New Roman" w:hint="eastAsia"/>
                      <w:color w:val="auto"/>
                      <w:szCs w:val="21"/>
                      <w:highlight w:val="none"/>
                    </w:rPr>
                    <w:t>④土壤环境：项目</w:t>
                  </w:r>
                  <w:r>
                    <w:rPr>
                      <w:rFonts w:ascii="Times New Roman" w:eastAsia="宋体" w:cs="Times New Roman" w:hAnsi="Times New Roman" w:hint="eastAsia"/>
                      <w:color w:val="auto"/>
                      <w:szCs w:val="21"/>
                      <w:lang w:val="en-US" w:eastAsia="zh-CN"/>
                      <w:highlight w:val="none"/>
                    </w:rPr>
                    <w:t>租赁现有厂房进行生产</w:t>
                  </w:r>
                  <w:r>
                    <w:rPr>
                      <w:rFonts w:ascii="Times New Roman" w:eastAsia="宋体" w:cs="Times New Roman" w:hAnsi="Times New Roman" w:hint="eastAsia"/>
                      <w:color w:val="auto"/>
                      <w:szCs w:val="21"/>
                      <w:highlight w:val="none"/>
                    </w:rPr>
                    <w:t>，</w:t>
                  </w:r>
                  <w:r>
                    <w:rPr>
                      <w:rFonts w:ascii="Times New Roman" w:eastAsia="宋体" w:cs="Times New Roman" w:hAnsi="Times New Roman" w:hint="eastAsia"/>
                      <w:color w:val="auto"/>
                      <w:szCs w:val="21"/>
                      <w:lang w:val="en-US" w:eastAsia="zh-CN"/>
                      <w:highlight w:val="none"/>
                    </w:rPr>
                    <w:t>厂房</w:t>
                  </w:r>
                  <w:r>
                    <w:rPr>
                      <w:rFonts w:ascii="Times New Roman" w:eastAsia="宋体" w:cs="Times New Roman" w:hAnsi="Times New Roman" w:hint="eastAsia"/>
                      <w:color w:val="auto"/>
                      <w:szCs w:val="21"/>
                      <w:highlight w:val="none"/>
                    </w:rPr>
                    <w:t>采取分区防渗措施，不存在地表漫流和垂直入渗的污染途径。项目固废均得到合理处置，不会突破土壤环境质量底线。</w:t>
                  </w:r>
                </w:p>
              </w:tc>
              <w:tc>
                <w:tcPr>
                  <w:tcW w:w="717" w:type="pct"/>
                  <w:tcBorders>
                    <w:tl2br w:val="nil"/>
                    <w:tr2bl w:val="nil"/>
                  </w:tcBorders>
                  <w:vAlign w:val="center"/>
                </w:tcPr>
                <w:p>
                  <w:pPr>
                    <w:adjustRightInd w:val="0"/>
                    <w:snapToGrid w:val="0"/>
                    <w:jc w:val="center"/>
                    <w:rPr>
                      <w:rFonts w:ascii="Times New Roman" w:eastAsia="宋体" w:cs="Times New Roman" w:hAnsi="Times New Roman"/>
                      <w:color w:val="auto"/>
                      <w:szCs w:val="21"/>
                      <w:highlight w:val="none"/>
                    </w:rPr>
                  </w:pPr>
                  <w:r>
                    <w:rPr>
                      <w:rFonts w:ascii="Times New Roman" w:eastAsia="宋体" w:cs="Times New Roman" w:hAnsi="Times New Roman"/>
                      <w:color w:val="auto"/>
                      <w:szCs w:val="21"/>
                      <w:highlight w:val="none"/>
                    </w:rPr>
                    <w:t>符合</w:t>
                  </w:r>
                </w:p>
              </w:tc>
            </w:tr>
            <w:tr>
              <w:trPr>
                <w:trHeight w:val="1041"/>
              </w:trPr>
              <w:tc>
                <w:tcPr>
                  <w:tcW w:w="441" w:type="pct"/>
                  <w:tcBorders>
                    <w:tl2br w:val="nil"/>
                    <w:tr2bl w:val="nil"/>
                  </w:tcBorders>
                  <w:vAlign w:val="center"/>
                </w:tcPr>
                <w:p>
                  <w:pPr>
                    <w:adjustRightInd w:val="0"/>
                    <w:snapToGrid w:val="0"/>
                    <w:jc w:val="center"/>
                    <w:rPr>
                      <w:rFonts w:ascii="Times New Roman" w:cs="Times New Roman" w:hAnsi="Times New Roman"/>
                      <w:color w:val="auto"/>
                      <w:szCs w:val="21"/>
                      <w:highlight w:val="none"/>
                    </w:rPr>
                  </w:pPr>
                  <w:bookmarkStart w:id="14" w:name="_Hlk161668570"/>
                  <w:r>
                    <w:rPr>
                      <w:rFonts w:ascii="Times New Roman" w:cs="Times New Roman" w:hAnsi="Times New Roman"/>
                      <w:color w:val="auto"/>
                      <w:szCs w:val="21"/>
                      <w:highlight w:val="none"/>
                    </w:rPr>
                    <w:t>资源利用上线</w:t>
                  </w:r>
                  <w:bookmarkEnd w:id="14"/>
                </w:p>
              </w:tc>
              <w:tc>
                <w:tcPr>
                  <w:tcW w:w="2037" w:type="pct"/>
                  <w:tcBorders>
                    <w:tl2br w:val="nil"/>
                    <w:tr2bl w:val="nil"/>
                  </w:tcBorders>
                  <w:vAlign w:val="center"/>
                </w:tcPr>
                <w:p>
                  <w:pPr>
                    <w:adjustRightInd w:val="0"/>
                    <w:snapToGrid w:val="0"/>
                    <w:rPr>
                      <w:rFonts w:ascii="Times New Roman" w:cs="Times New Roman" w:hAnsi="Times New Roman"/>
                      <w:color w:val="auto"/>
                      <w:szCs w:val="21"/>
                      <w:highlight w:val="none"/>
                    </w:rPr>
                  </w:pPr>
                  <w:r>
                    <w:rPr>
                      <w:rFonts w:ascii="Times New Roman" w:cs="Times New Roman" w:hAnsi="Times New Roman"/>
                      <w:color w:val="auto"/>
                      <w:szCs w:val="21"/>
                      <w:highlight w:val="none"/>
                    </w:rPr>
                    <w:t>资源利用上线是各地区能源、水、土地等资源消耗不得突破的</w:t>
                  </w:r>
                  <w:r>
                    <w:rPr>
                      <w:rFonts w:cs="Times New Roman" w:hint="eastAsia"/>
                      <w:color w:val="auto"/>
                      <w:szCs w:val="21"/>
                      <w:lang w:eastAsia="zh-CN"/>
                      <w:highlight w:val="none"/>
                    </w:rPr>
                    <w:t>“</w:t>
                  </w:r>
                  <w:r>
                    <w:rPr>
                      <w:rFonts w:ascii="Times New Roman" w:cs="Times New Roman" w:hAnsi="Times New Roman"/>
                      <w:color w:val="auto"/>
                      <w:szCs w:val="21"/>
                      <w:highlight w:val="none"/>
                    </w:rPr>
                    <w:t>天花板</w:t>
                  </w:r>
                  <w:r>
                    <w:rPr>
                      <w:rFonts w:cs="Times New Roman" w:hint="eastAsia"/>
                      <w:color w:val="auto"/>
                      <w:szCs w:val="21"/>
                      <w:lang w:eastAsia="zh-CN"/>
                      <w:highlight w:val="none"/>
                    </w:rPr>
                    <w:t>”</w:t>
                  </w:r>
                  <w:r>
                    <w:rPr>
                      <w:rFonts w:ascii="Times New Roman" w:cs="Times New Roman" w:hAnsi="Times New Roman"/>
                      <w:color w:val="auto"/>
                      <w:szCs w:val="21"/>
                      <w:highlight w:val="none"/>
                    </w:rPr>
                    <w:t>。相关规划环评应依据有关资源利用上线，对规划实施以及规划内项目的资源开发利用，区分不同行业，从能源资源开发等量或减量替代、开采方式和规模控制、利用效率和保护措施等方面提出建议，为规划编制和审批决策提供重要依据。</w:t>
                  </w:r>
                </w:p>
              </w:tc>
              <w:tc>
                <w:tcPr>
                  <w:tcW w:w="1804" w:type="pct"/>
                  <w:tcBorders>
                    <w:tl2br w:val="nil"/>
                    <w:tr2bl w:val="nil"/>
                  </w:tcBorders>
                  <w:vAlign w:val="center"/>
                </w:tcPr>
                <w:p>
                  <w:pPr>
                    <w:adjustRightInd w:val="0"/>
                    <w:snapToGrid w:val="0"/>
                    <w:rPr>
                      <w:rFonts w:ascii="Times New Roman" w:cs="Times New Roman" w:hAnsi="Times New Roman"/>
                      <w:color w:val="auto"/>
                      <w:szCs w:val="21"/>
                      <w:highlight w:val="none"/>
                    </w:rPr>
                  </w:pPr>
                  <w:r>
                    <w:rPr>
                      <w:rFonts w:ascii="Times New Roman" w:cs="Times New Roman" w:hAnsi="Times New Roman"/>
                      <w:color w:val="auto"/>
                      <w:szCs w:val="21"/>
                      <w:highlight w:val="none"/>
                    </w:rPr>
                    <w:t>项目用电</w:t>
                  </w:r>
                  <w:r>
                    <w:rPr>
                      <w:rFonts w:ascii="Times New Roman" w:cs="Times New Roman" w:hAnsi="Times New Roman" w:hint="eastAsia"/>
                      <w:color w:val="auto"/>
                      <w:szCs w:val="21"/>
                      <w:highlight w:val="none"/>
                    </w:rPr>
                    <w:t>由</w:t>
                  </w:r>
                  <w:r>
                    <w:rPr>
                      <w:rFonts w:ascii="Times New Roman" w:cs="Times New Roman" w:hAnsi="Times New Roman" w:hint="eastAsia"/>
                      <w:color w:val="auto"/>
                      <w:szCs w:val="21"/>
                      <w:lang w:val="en-US" w:eastAsia="zh-CN"/>
                      <w:highlight w:val="none"/>
                    </w:rPr>
                    <w:t>园区供电</w:t>
                  </w:r>
                  <w:r>
                    <w:rPr>
                      <w:rFonts w:ascii="Times New Roman" w:cs="Times New Roman" w:hAnsi="Times New Roman" w:hint="eastAsia"/>
                      <w:color w:val="auto"/>
                      <w:szCs w:val="21"/>
                      <w:highlight w:val="none"/>
                    </w:rPr>
                    <w:t>管网提供</w:t>
                  </w:r>
                  <w:r>
                    <w:rPr>
                      <w:rFonts w:ascii="Times New Roman" w:cs="Times New Roman" w:hAnsi="Times New Roman"/>
                      <w:color w:val="auto"/>
                      <w:szCs w:val="21"/>
                      <w:highlight w:val="none"/>
                    </w:rPr>
                    <w:t>；</w:t>
                  </w:r>
                  <w:bookmarkStart w:id="15" w:name="_Hlk161668598"/>
                  <w:r>
                    <w:rPr>
                      <w:rFonts w:ascii="Times New Roman" w:cs="Times New Roman" w:hAnsi="Times New Roman"/>
                      <w:color w:val="auto"/>
                      <w:szCs w:val="21"/>
                      <w:highlight w:val="none"/>
                    </w:rPr>
                    <w:t>项目</w:t>
                  </w:r>
                  <w:r>
                    <w:rPr>
                      <w:rFonts w:ascii="Times New Roman" w:cs="Times New Roman" w:hAnsi="Times New Roman" w:hint="eastAsia"/>
                      <w:color w:val="auto"/>
                      <w:szCs w:val="21"/>
                      <w:lang w:val="en-US" w:eastAsia="zh-CN"/>
                      <w:highlight w:val="none"/>
                    </w:rPr>
                    <w:t>新鲜水</w:t>
                  </w:r>
                  <w:bookmarkEnd w:id="15"/>
                  <w:r>
                    <w:rPr>
                      <w:rFonts w:ascii="Times New Roman" w:cs="Times New Roman" w:hAnsi="Times New Roman" w:hint="eastAsia"/>
                      <w:color w:val="auto"/>
                      <w:szCs w:val="21"/>
                      <w:highlight w:val="none"/>
                    </w:rPr>
                    <w:t>由</w:t>
                  </w:r>
                  <w:r>
                    <w:rPr>
                      <w:rFonts w:ascii="Times New Roman" w:cs="Times New Roman" w:hAnsi="Times New Roman" w:hint="eastAsia"/>
                      <w:color w:val="auto"/>
                      <w:szCs w:val="21"/>
                      <w:lang w:val="en-US" w:eastAsia="zh-CN"/>
                      <w:highlight w:val="none"/>
                    </w:rPr>
                    <w:t>园区</w:t>
                  </w:r>
                  <w:r>
                    <w:rPr>
                      <w:rFonts w:ascii="Times New Roman" w:cs="Times New Roman" w:hAnsi="Times New Roman" w:hint="eastAsia"/>
                      <w:color w:val="auto"/>
                      <w:szCs w:val="21"/>
                      <w:highlight w:val="none"/>
                    </w:rPr>
                    <w:t>供水管网提供</w:t>
                  </w:r>
                  <w:r>
                    <w:rPr>
                      <w:rFonts w:ascii="Times New Roman" w:cs="Times New Roman" w:hAnsi="Times New Roman"/>
                      <w:color w:val="auto"/>
                      <w:szCs w:val="21"/>
                      <w:highlight w:val="none"/>
                    </w:rPr>
                    <w:t>；项目占地为工业用地。项目所用原辅料、水、电等在生产过程中均尽可能做到合理利用和节约能耗，资源消耗均未超出区域负荷上限，符合资源利用上线要求。</w:t>
                  </w:r>
                </w:p>
              </w:tc>
              <w:tc>
                <w:tcPr>
                  <w:tcW w:w="717" w:type="pct"/>
                  <w:tcBorders>
                    <w:tl2br w:val="nil"/>
                    <w:tr2bl w:val="nil"/>
                  </w:tcBorders>
                  <w:vAlign w:val="center"/>
                </w:tcPr>
                <w:p>
                  <w:pPr>
                    <w:jc w:val="center"/>
                    <w:rPr>
                      <w:rFonts w:ascii="Times New Roman" w:cs="Times New Roman" w:hAnsi="Times New Roman"/>
                      <w:color w:val="auto"/>
                      <w:szCs w:val="21"/>
                      <w:highlight w:val="none"/>
                    </w:rPr>
                  </w:pPr>
                  <w:r>
                    <w:rPr>
                      <w:rFonts w:ascii="Times New Roman" w:cs="Times New Roman" w:hAnsi="Times New Roman"/>
                      <w:color w:val="auto"/>
                      <w:szCs w:val="21"/>
                      <w:highlight w:val="none"/>
                    </w:rPr>
                    <w:t>符合</w:t>
                  </w:r>
                </w:p>
              </w:tc>
            </w:tr>
            <w:tr>
              <w:trPr>
                <w:trHeight w:val="397"/>
              </w:trPr>
              <w:tc>
                <w:tcPr>
                  <w:tcW w:w="441" w:type="pct"/>
                  <w:tcBorders>
                    <w:tl2br w:val="nil"/>
                    <w:tr2bl w:val="nil"/>
                  </w:tcBorders>
                  <w:vAlign w:val="center"/>
                </w:tcPr>
                <w:p>
                  <w:pPr>
                    <w:adjustRightInd w:val="0"/>
                    <w:snapToGrid w:val="0"/>
                    <w:jc w:val="center"/>
                    <w:rPr>
                      <w:rFonts w:ascii="Times New Roman" w:cs="Times New Roman" w:hAnsi="Times New Roman"/>
                      <w:color w:val="auto"/>
                      <w:szCs w:val="21"/>
                      <w:highlight w:val="none"/>
                    </w:rPr>
                  </w:pPr>
                  <w:r>
                    <w:rPr>
                      <w:rFonts w:ascii="Times New Roman" w:cs="Times New Roman" w:hAnsi="Times New Roman"/>
                      <w:color w:val="auto"/>
                      <w:szCs w:val="21"/>
                      <w:highlight w:val="none"/>
                    </w:rPr>
                    <w:t>环境准入负面清单</w:t>
                  </w:r>
                </w:p>
              </w:tc>
              <w:tc>
                <w:tcPr>
                  <w:tcW w:w="2037" w:type="pct"/>
                  <w:tcBorders>
                    <w:tl2br w:val="nil"/>
                    <w:tr2bl w:val="nil"/>
                  </w:tcBorders>
                  <w:vAlign w:val="center"/>
                </w:tcPr>
                <w:p>
                  <w:pPr>
                    <w:adjustRightInd w:val="0"/>
                    <w:snapToGrid w:val="0"/>
                    <w:rPr>
                      <w:rFonts w:ascii="Times New Roman" w:cs="Times New Roman" w:hAnsi="Times New Roman"/>
                      <w:color w:val="auto"/>
                      <w:szCs w:val="21"/>
                      <w:highlight w:val="none"/>
                    </w:rPr>
                  </w:pPr>
                  <w:r>
                    <w:rPr>
                      <w:rFonts w:ascii="Times New Roman" w:cs="Times New Roman" w:hAnsi="Times New Roman"/>
                      <w:color w:val="auto"/>
                      <w:szCs w:val="21"/>
                      <w:highlight w:val="none"/>
                    </w:rPr>
                    <w:t>环境准入负面清单是基于生态保护红线、环境质量底线和资源利用上线，以清单方式列出的禁止、限制等差别化环境准入条件和要求。要在规划环评清单式管理试点的基础上，从布局选址、资源利用效率、资源配置方式等方面入手，制定环境准入负面清单，充分发挥负面清单对产业发展和项目准入的指导和约束作用。</w:t>
                  </w:r>
                </w:p>
              </w:tc>
              <w:tc>
                <w:tcPr>
                  <w:tcW w:w="1804" w:type="pct"/>
                  <w:tcBorders>
                    <w:tl2br w:val="nil"/>
                    <w:tr2bl w:val="nil"/>
                  </w:tcBorders>
                  <w:vAlign w:val="center"/>
                </w:tcPr>
                <w:p>
                  <w:pPr>
                    <w:adjustRightInd w:val="0"/>
                    <w:snapToGrid w:val="0"/>
                    <w:rPr>
                      <w:rFonts w:ascii="Times New Roman" w:cs="Times New Roman" w:hAnsi="Times New Roman"/>
                      <w:color w:val="auto"/>
                      <w:szCs w:val="21"/>
                      <w:highlight w:val="none"/>
                    </w:rPr>
                  </w:pPr>
                  <w:r>
                    <w:rPr>
                      <w:rFonts w:ascii="Times New Roman" w:cs="Times New Roman" w:hAnsi="Times New Roman"/>
                      <w:color w:val="auto"/>
                      <w:szCs w:val="21"/>
                      <w:highlight w:val="none"/>
                    </w:rPr>
                    <w:t>项目符合国家及地方相关产业政策要求，未被列入国家环境准入负面清单，不在有关环境政策规定的准入负面清单内。</w:t>
                  </w:r>
                </w:p>
              </w:tc>
              <w:tc>
                <w:tcPr>
                  <w:tcW w:w="717" w:type="pct"/>
                  <w:tcBorders>
                    <w:tl2br w:val="nil"/>
                    <w:tr2bl w:val="nil"/>
                  </w:tcBorders>
                  <w:vAlign w:val="center"/>
                </w:tcPr>
                <w:p>
                  <w:pPr>
                    <w:adjustRightInd w:val="0"/>
                    <w:snapToGrid w:val="0"/>
                    <w:jc w:val="center"/>
                    <w:rPr>
                      <w:rFonts w:ascii="Times New Roman" w:cs="Times New Roman" w:hAnsi="Times New Roman"/>
                      <w:color w:val="auto"/>
                      <w:szCs w:val="21"/>
                      <w:highlight w:val="none"/>
                    </w:rPr>
                  </w:pPr>
                  <w:r>
                    <w:rPr>
                      <w:rFonts w:ascii="Times New Roman" w:cs="Times New Roman" w:hAnsi="Times New Roman"/>
                      <w:color w:val="auto"/>
                      <w:szCs w:val="21"/>
                      <w:highlight w:val="none"/>
                    </w:rPr>
                    <w:t>符合</w:t>
                  </w:r>
                </w:p>
              </w:tc>
            </w:tr>
          </w:tbl>
          <w:p>
            <w:pPr>
              <w:adjustRightInd w:val="0"/>
              <w:snapToGrid w:val="0"/>
              <w:spacing w:line="500" w:lineRule="exact"/>
              <w:ind w:firstLineChars="200" w:firstLine="480"/>
              <w:rPr>
                <w:rFonts w:hint="eastAsia"/>
                <w:color w:val="auto"/>
                <w:sz w:val="24"/>
                <w:highlight w:val="none"/>
              </w:rPr>
            </w:pPr>
            <w:r>
              <w:rPr>
                <w:color w:val="auto"/>
                <w:sz w:val="24"/>
                <w:highlight w:val="none"/>
              </w:rPr>
              <w:t>综上所述，项目符合</w:t>
            </w:r>
            <w:r>
              <w:rPr>
                <w:rFonts w:hint="eastAsia"/>
                <w:color w:val="auto"/>
                <w:sz w:val="24"/>
                <w:lang w:eastAsia="zh-CN"/>
                <w:highlight w:val="none"/>
              </w:rPr>
              <w:t>“</w:t>
            </w:r>
            <w:r>
              <w:rPr>
                <w:color w:val="auto"/>
                <w:sz w:val="24"/>
                <w:highlight w:val="none"/>
              </w:rPr>
              <w:t>三线一单</w:t>
            </w:r>
            <w:r>
              <w:rPr>
                <w:rFonts w:hint="eastAsia"/>
                <w:color w:val="auto"/>
                <w:sz w:val="24"/>
                <w:lang w:eastAsia="zh-CN"/>
                <w:highlight w:val="none"/>
              </w:rPr>
              <w:t>”</w:t>
            </w:r>
            <w:r>
              <w:rPr>
                <w:color w:val="auto"/>
                <w:sz w:val="24"/>
                <w:highlight w:val="none"/>
              </w:rPr>
              <w:t>的相关要求。</w:t>
            </w:r>
          </w:p>
          <w:p>
            <w:pPr>
              <w:keepNext w:val="0"/>
              <w:keepLines w:val="0"/>
              <w:pageBreakBefore w:val="0"/>
              <w:widowControl w:val="0"/>
              <w:kinsoku/>
              <w:wordWrap/>
              <w:overflowPunct/>
              <w:topLinePunct w:val="0"/>
              <w:autoSpaceDE/>
              <w:autoSpaceDN/>
              <w:bidi w:val="0"/>
              <w:adjustRightInd w:val="0"/>
              <w:snapToGrid w:val="0"/>
              <w:spacing w:line="460" w:lineRule="exact"/>
              <w:ind w:firstLineChars="200" w:firstLine="480"/>
              <w:textAlignment w:val="auto"/>
              <w:rPr>
                <w:rFonts w:hint="eastAsia"/>
                <w:b/>
                <w:bCs/>
                <w:color w:val="auto"/>
                <w:sz w:val="24"/>
                <w:highlight w:val="none"/>
              </w:rPr>
            </w:pPr>
            <w:r>
              <w:rPr>
                <w:rFonts w:hint="eastAsia"/>
                <w:b/>
                <w:bCs/>
                <w:color w:val="auto"/>
                <w:sz w:val="24"/>
                <w:lang w:val="en-US" w:eastAsia="zh-CN"/>
                <w:highlight w:val="none"/>
              </w:rPr>
              <w:t>4</w:t>
            </w:r>
            <w:r>
              <w:rPr>
                <w:rFonts w:hint="eastAsia"/>
                <w:b/>
                <w:bCs/>
                <w:color w:val="auto"/>
                <w:sz w:val="24"/>
                <w:highlight w:val="none"/>
              </w:rPr>
              <w:t>、项目与《石家庄市生态环境准入清单（2023年版）》符合性分析</w:t>
            </w:r>
          </w:p>
          <w:p>
            <w:pPr>
              <w:keepNext w:val="0"/>
              <w:keepLines w:val="0"/>
              <w:suppressLineNumbers w:val="0"/>
              <w:adjustRightInd w:val="0"/>
              <w:snapToGrid w:val="0"/>
              <w:spacing w:before="0" w:beforeAutospacing="0" w:after="0" w:afterAutospacing="0" w:line="500" w:lineRule="exact"/>
              <w:ind w:left="0" w:right="0" w:firstLineChars="200" w:firstLine="480"/>
              <w:rPr>
                <w:rFonts w:hint="eastAsia"/>
                <w:color w:val="auto"/>
                <w:sz w:val="24"/>
                <w:szCs w:val="20"/>
                <w:highlight w:val="none"/>
              </w:rPr>
            </w:pPr>
            <w:r>
              <w:rPr>
                <w:rFonts w:hint="eastAsia"/>
                <w:color w:val="auto"/>
                <w:sz w:val="24"/>
                <w:highlight w:val="none"/>
              </w:rPr>
              <w:t>项目位于河北省</w:t>
            </w:r>
            <w:r>
              <w:rPr>
                <w:rFonts w:hint="eastAsia"/>
                <w:color w:val="auto"/>
                <w:sz w:val="24"/>
                <w:lang w:eastAsia="zh-CN"/>
                <w:highlight w:val="none"/>
              </w:rPr>
              <w:t>石家庄市栾城区装备制造基地楼底镇段家营村裕翔街168号103厂房（南）</w:t>
            </w:r>
            <w:r>
              <w:rPr>
                <w:rFonts w:hint="eastAsia"/>
                <w:color w:val="auto"/>
                <w:sz w:val="24"/>
                <w:highlight w:val="none"/>
              </w:rPr>
              <w:t>，</w:t>
            </w:r>
            <w:r>
              <w:rPr>
                <w:rFonts w:hint="eastAsia"/>
                <w:color w:val="auto"/>
                <w:sz w:val="24"/>
                <w:szCs w:val="20"/>
                <w:highlight w:val="none"/>
              </w:rPr>
              <w:t>根据</w:t>
            </w:r>
            <w:r>
              <w:rPr>
                <w:rFonts w:hint="eastAsia"/>
                <w:color w:val="auto"/>
                <w:sz w:val="24"/>
                <w:szCs w:val="20"/>
                <w:lang w:val="en-US" w:eastAsia="zh-CN"/>
                <w:highlight w:val="none"/>
              </w:rPr>
              <w:t>2024年4月28日更新的</w:t>
            </w:r>
            <w:r>
              <w:rPr>
                <w:rFonts w:hint="eastAsia"/>
                <w:color w:val="auto"/>
                <w:sz w:val="24"/>
                <w:szCs w:val="20"/>
                <w:highlight w:val="none"/>
              </w:rPr>
              <w:t>《石家庄市生态环境准入清单（2023年版）》及河北省环评预约挂号服务平台-</w:t>
            </w:r>
            <w:r>
              <w:rPr>
                <w:color w:val="auto"/>
                <w:sz w:val="24"/>
                <w:szCs w:val="20"/>
                <w:highlight w:val="none"/>
              </w:rPr>
              <w:t>三线一单</w:t>
            </w:r>
            <w:r>
              <w:rPr>
                <w:rFonts w:hint="eastAsia"/>
                <w:color w:val="auto"/>
                <w:sz w:val="24"/>
                <w:szCs w:val="20"/>
                <w:highlight w:val="none"/>
              </w:rPr>
              <w:t>查询，石家庄市、栾城区重点管控单元生态环境准入清单如下：</w:t>
            </w:r>
          </w:p>
          <w:p>
            <w:pPr>
              <w:pStyle w:val="16"/>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eastAsia="宋体" w:cs="Times New Roman" w:hAnsi="Times New Roman"/>
                <w:b/>
                <w:bCs/>
                <w:color w:val="auto"/>
                <w:kern w:val="2"/>
                <w:sz w:val="24"/>
                <w:szCs w:val="24"/>
                <w:lang w:val="en-US" w:eastAsia="zh-CN" w:bidi="ar-SA"/>
                <w:highlight w:val="none"/>
              </w:rPr>
            </w:pPr>
            <w:r>
              <w:rPr>
                <w:rFonts w:ascii="Times New Roman" w:eastAsia="宋体" w:cs="Times New Roman" w:hAnsi="Times New Roman" w:hint="eastAsia"/>
                <w:b/>
                <w:bCs/>
                <w:color w:val="auto"/>
                <w:kern w:val="2"/>
                <w:sz w:val="24"/>
                <w:szCs w:val="24"/>
                <w:lang w:val="en-US" w:eastAsia="zh-CN" w:bidi="ar-SA"/>
                <w:highlight w:val="none"/>
              </w:rPr>
              <w:t>表1-</w:t>
            </w:r>
            <w:r>
              <w:rPr>
                <w:rFonts w:ascii="Times New Roman" w:cs="Times New Roman" w:hAnsi="Times New Roman" w:hint="eastAsia"/>
                <w:b/>
                <w:bCs/>
                <w:color w:val="auto"/>
                <w:kern w:val="2"/>
                <w:sz w:val="24"/>
                <w:szCs w:val="24"/>
                <w:lang w:val="en-US" w:eastAsia="zh-CN" w:bidi="ar-SA"/>
                <w:highlight w:val="none"/>
              </w:rPr>
              <w:t>8</w:t>
            </w:r>
            <w:r>
              <w:rPr>
                <w:rFonts w:ascii="Times New Roman" w:eastAsia="宋体" w:cs="Times New Roman" w:hAnsi="Times New Roman" w:hint="eastAsia"/>
                <w:b/>
                <w:bCs/>
                <w:color w:val="auto"/>
                <w:kern w:val="2"/>
                <w:sz w:val="24"/>
                <w:szCs w:val="24"/>
                <w:lang w:val="en-US" w:eastAsia="zh-CN" w:bidi="ar-SA"/>
                <w:highlight w:val="none"/>
              </w:rPr>
              <w:t xml:space="preserve">  </w:t>
            </w:r>
            <w:r>
              <w:rPr>
                <w:rFonts w:ascii="Times New Roman" w:cs="Times New Roman" w:hAnsi="Times New Roman" w:hint="eastAsia"/>
                <w:b/>
                <w:bCs/>
                <w:color w:val="auto"/>
                <w:kern w:val="2"/>
                <w:sz w:val="24"/>
                <w:szCs w:val="24"/>
                <w:lang w:val="en-US" w:eastAsia="zh-CN" w:bidi="ar-SA"/>
                <w:highlight w:val="none"/>
              </w:rPr>
              <w:t>项目与</w:t>
            </w:r>
            <w:r>
              <w:rPr>
                <w:rFonts w:hint="eastAsia"/>
                <w:b/>
                <w:bCs/>
                <w:color w:val="auto"/>
                <w:sz w:val="24"/>
                <w:highlight w:val="none"/>
              </w:rPr>
              <w:t>石家庄市生态环境准入清单</w:t>
            </w:r>
            <w:r>
              <w:rPr>
                <w:rFonts w:hint="eastAsia"/>
                <w:b/>
                <w:bCs/>
                <w:color w:val="auto"/>
                <w:sz w:val="24"/>
                <w:lang w:val="en-US" w:eastAsia="zh-CN"/>
                <w:highlight w:val="none"/>
              </w:rPr>
              <w:t>符合性分析一览表</w:t>
            </w:r>
          </w:p>
          <w:tbl>
            <w:tblPr>
              <w:jc w:val="center"/>
              <w:tblW w:w="5000" w:type="pct"/>
              <w:tblBorders>
                <w:top w:val="single" w:sz="12" w:space="0" w:color="auto"/>
                <w:left w:val="none" w:sz="0" w:space="0" w:color="auto"/>
                <w:bottom w:val="single" w:sz="12" w:space="0" w:color="auto"/>
                <w:right w:val="none" w:sz="0" w:space="0" w:color="auto"/>
                <w:insideH w:val="single" w:sz="4" w:space="0" w:color="auto"/>
                <w:insideV w:val="single" w:sz="4" w:space="0" w:color="auto"/>
              </w:tblBorders>
              <w:tblCellMar>
                <w:top w:w="0" w:type="dxa"/>
                <w:left w:w="108" w:type="dxa"/>
                <w:bottom w:w="0" w:type="dxa"/>
                <w:right w:w="108" w:type="dxa"/>
              </w:tblCellMar>
              <w:tblLook w:val="0600" w:firstRow="0" w:lastRow="0" w:firstColumn="0" w:lastColumn="0" w:noHBand="1" w:noVBand="1"/>
            </w:tblPr>
            <w:tblGrid>
              <w:gridCol w:w="712"/>
              <w:gridCol w:w="158"/>
              <w:gridCol w:w="710"/>
              <w:gridCol w:w="2573"/>
              <w:gridCol w:w="2462"/>
              <w:gridCol w:w="988"/>
            </w:tblGrid>
            <w:tr>
              <w:trPr>
                <w:trHeight w:val="397"/>
              </w:trPr>
              <w:tc>
                <w:tcPr>
                  <w:tcW w:w="5000" w:type="pct"/>
                  <w:gridSpan w:val="6"/>
                  <w:tcBorders>
                    <w:tl2br w:val="nil"/>
                    <w:tr2bl w:val="nil"/>
                  </w:tcBorders>
                  <w:vAlign w:val="center"/>
                </w:tcPr>
                <w:p>
                  <w:pPr>
                    <w:adjustRightInd w:val="0"/>
                    <w:snapToGrid w:val="0"/>
                    <w:jc w:val="center"/>
                    <w:rPr>
                      <w:rFonts w:hint="eastAsia"/>
                      <w:color w:val="auto"/>
                      <w:szCs w:val="21"/>
                      <w:highlight w:val="none"/>
                    </w:rPr>
                  </w:pPr>
                  <w:r>
                    <w:rPr>
                      <w:rFonts w:hint="eastAsia"/>
                      <w:b/>
                      <w:bCs/>
                      <w:color w:val="auto"/>
                      <w:szCs w:val="21"/>
                      <w:highlight w:val="none"/>
                    </w:rPr>
                    <w:t>全市生态环境准入综合管控要求</w:t>
                  </w:r>
                </w:p>
              </w:tc>
            </w:tr>
            <w:tr>
              <w:trPr>
                <w:trHeight w:val="397"/>
              </w:trPr>
              <w:tc>
                <w:tcPr>
                  <w:tcW w:w="572" w:type="pct"/>
                  <w:gridSpan w:val="2"/>
                  <w:tcBorders>
                    <w:tl2br w:val="nil"/>
                    <w:tr2bl w:val="nil"/>
                  </w:tcBorders>
                  <w:vAlign w:val="center"/>
                </w:tcPr>
                <w:p>
                  <w:pPr>
                    <w:adjustRightInd w:val="0"/>
                    <w:snapToGrid w:val="0"/>
                    <w:jc w:val="center"/>
                    <w:rPr>
                      <w:color w:val="auto"/>
                      <w:szCs w:val="21"/>
                      <w:highlight w:val="none"/>
                    </w:rPr>
                  </w:pPr>
                  <w:r>
                    <w:rPr>
                      <w:rFonts w:hint="eastAsia"/>
                      <w:color w:val="auto"/>
                      <w:szCs w:val="21"/>
                      <w:highlight w:val="none"/>
                    </w:rPr>
                    <w:t>重点区域</w:t>
                  </w:r>
                </w:p>
              </w:tc>
              <w:tc>
                <w:tcPr>
                  <w:tcW w:w="2159" w:type="pct"/>
                  <w:gridSpan w:val="2"/>
                  <w:tcBorders>
                    <w:tl2br w:val="nil"/>
                    <w:tr2bl w:val="nil"/>
                  </w:tcBorders>
                  <w:vAlign w:val="center"/>
                </w:tcPr>
                <w:p>
                  <w:pPr>
                    <w:adjustRightInd w:val="0"/>
                    <w:snapToGrid w:val="0"/>
                    <w:jc w:val="center"/>
                    <w:rPr>
                      <w:rFonts w:hint="eastAsia"/>
                      <w:color w:val="auto"/>
                      <w:szCs w:val="21"/>
                      <w:highlight w:val="none"/>
                    </w:rPr>
                  </w:pPr>
                  <w:r>
                    <w:rPr>
                      <w:rFonts w:hint="eastAsia"/>
                      <w:color w:val="auto"/>
                      <w:szCs w:val="21"/>
                      <w:highlight w:val="none"/>
                    </w:rPr>
                    <w:t>管控策略</w:t>
                  </w:r>
                </w:p>
              </w:tc>
              <w:tc>
                <w:tcPr>
                  <w:tcW w:w="1619" w:type="pct"/>
                  <w:tcBorders>
                    <w:tl2br w:val="nil"/>
                    <w:tr2bl w:val="nil"/>
                  </w:tcBorders>
                  <w:vAlign w:val="center"/>
                </w:tcPr>
                <w:p>
                  <w:pPr>
                    <w:adjustRightInd w:val="0"/>
                    <w:snapToGrid w:val="0"/>
                    <w:jc w:val="center"/>
                    <w:rPr>
                      <w:rFonts w:hint="eastAsia"/>
                      <w:color w:val="auto"/>
                      <w:szCs w:val="21"/>
                      <w:highlight w:val="none"/>
                    </w:rPr>
                  </w:pPr>
                  <w:r>
                    <w:rPr>
                      <w:rFonts w:hint="eastAsia"/>
                      <w:color w:val="auto"/>
                      <w:szCs w:val="21"/>
                      <w:highlight w:val="none"/>
                    </w:rPr>
                    <w:t>项目情况</w:t>
                  </w:r>
                </w:p>
              </w:tc>
              <w:tc>
                <w:tcPr>
                  <w:tcW w:w="648" w:type="pct"/>
                  <w:tcBorders>
                    <w:tl2br w:val="nil"/>
                    <w:tr2bl w:val="nil"/>
                  </w:tcBorders>
                  <w:vAlign w:val="center"/>
                </w:tcPr>
                <w:p>
                  <w:pPr>
                    <w:adjustRightInd w:val="0"/>
                    <w:snapToGrid w:val="0"/>
                    <w:jc w:val="center"/>
                    <w:rPr>
                      <w:rFonts w:hint="eastAsia"/>
                      <w:color w:val="auto"/>
                      <w:szCs w:val="21"/>
                      <w:highlight w:val="none"/>
                    </w:rPr>
                  </w:pPr>
                  <w:r>
                    <w:rPr>
                      <w:rFonts w:hint="eastAsia"/>
                      <w:color w:val="auto"/>
                      <w:szCs w:val="21"/>
                      <w:highlight w:val="none"/>
                    </w:rPr>
                    <w:t>是否符合相关要求</w:t>
                  </w:r>
                </w:p>
              </w:tc>
            </w:tr>
            <w:tr>
              <w:trPr>
                <w:trHeight w:val="397"/>
              </w:trPr>
              <w:tc>
                <w:tcPr>
                  <w:tcW w:w="572" w:type="pct"/>
                  <w:gridSpan w:val="2"/>
                  <w:tcBorders>
                    <w:tl2br w:val="nil"/>
                    <w:tr2bl w:val="nil"/>
                  </w:tcBorders>
                  <w:vAlign w:val="center"/>
                </w:tcPr>
                <w:p>
                  <w:pPr>
                    <w:adjustRightInd w:val="0"/>
                    <w:snapToGrid w:val="0"/>
                    <w:jc w:val="center"/>
                    <w:rPr>
                      <w:rFonts w:hint="eastAsia"/>
                      <w:color w:val="auto"/>
                      <w:szCs w:val="21"/>
                      <w:highlight w:val="none"/>
                    </w:rPr>
                  </w:pPr>
                  <w:r>
                    <w:rPr>
                      <w:rFonts w:hint="eastAsia"/>
                      <w:color w:val="auto"/>
                      <w:szCs w:val="21"/>
                      <w:highlight w:val="none"/>
                    </w:rPr>
                    <w:t>全市域</w:t>
                  </w:r>
                </w:p>
              </w:tc>
              <w:tc>
                <w:tcPr>
                  <w:tcW w:w="2159" w:type="pct"/>
                  <w:gridSpan w:val="2"/>
                  <w:tcBorders>
                    <w:tl2br w:val="nil"/>
                    <w:tr2bl w:val="nil"/>
                  </w:tcBorders>
                  <w:vAlign w:val="center"/>
                </w:tcPr>
                <w:p>
                  <w:pPr>
                    <w:adjustRightInd w:val="0"/>
                    <w:snapToGrid w:val="0"/>
                    <w:rPr>
                      <w:rFonts w:hint="eastAsia"/>
                      <w:color w:val="auto"/>
                      <w:szCs w:val="21"/>
                      <w:highlight w:val="none"/>
                    </w:rPr>
                  </w:pPr>
                  <w:r>
                    <w:rPr>
                      <w:rFonts w:hint="eastAsia"/>
                      <w:color w:val="auto"/>
                      <w:szCs w:val="21"/>
                      <w:highlight w:val="none"/>
                    </w:rPr>
                    <w:t>1、优化产业结构。落实国家、省、市产业政策，严格</w:t>
                  </w:r>
                  <w:r>
                    <w:rPr>
                      <w:rFonts w:hint="eastAsia"/>
                      <w:color w:val="auto"/>
                      <w:szCs w:val="21"/>
                      <w:lang w:eastAsia="zh-CN"/>
                      <w:highlight w:val="none"/>
                    </w:rPr>
                    <w:t>“</w:t>
                  </w:r>
                  <w:r>
                    <w:rPr>
                      <w:rFonts w:hint="eastAsia"/>
                      <w:color w:val="auto"/>
                      <w:szCs w:val="21"/>
                      <w:highlight w:val="none"/>
                    </w:rPr>
                    <w:t>两高</w:t>
                  </w:r>
                  <w:r>
                    <w:rPr>
                      <w:rFonts w:hint="eastAsia"/>
                      <w:color w:val="auto"/>
                      <w:szCs w:val="21"/>
                      <w:lang w:eastAsia="zh-CN"/>
                      <w:highlight w:val="none"/>
                    </w:rPr>
                    <w:t>”</w:t>
                  </w:r>
                  <w:r>
                    <w:rPr>
                      <w:rFonts w:hint="eastAsia"/>
                      <w:color w:val="auto"/>
                      <w:szCs w:val="21"/>
                      <w:highlight w:val="none"/>
                    </w:rPr>
                    <w:t>项目环评审批，落实区域削减要求，推进减污降碳协同控制。</w:t>
                  </w:r>
                </w:p>
                <w:p>
                  <w:pPr>
                    <w:adjustRightInd w:val="0"/>
                    <w:snapToGrid w:val="0"/>
                    <w:rPr>
                      <w:rFonts w:hint="eastAsia"/>
                      <w:color w:val="auto"/>
                      <w:szCs w:val="21"/>
                      <w:highlight w:val="none"/>
                    </w:rPr>
                  </w:pPr>
                  <w:r>
                    <w:rPr>
                      <w:rFonts w:hint="eastAsia"/>
                      <w:color w:val="auto"/>
                      <w:szCs w:val="21"/>
                      <w:highlight w:val="none"/>
                    </w:rPr>
                    <w:t>2、强化产业入园。优化园区布局，提升园区规划、环评实效性，提升园区资源利用效率和绿色低碳水平，加强新建项目入园，严格现有分散企业污染管控。</w:t>
                  </w:r>
                </w:p>
              </w:tc>
              <w:tc>
                <w:tcPr>
                  <w:tcW w:w="1619" w:type="pct"/>
                  <w:tcBorders>
                    <w:tl2br w:val="nil"/>
                    <w:tr2bl w:val="nil"/>
                  </w:tcBorders>
                  <w:vAlign w:val="center"/>
                </w:tcPr>
                <w:p>
                  <w:pPr>
                    <w:adjustRightInd w:val="0"/>
                    <w:snapToGrid w:val="0"/>
                    <w:rPr>
                      <w:rFonts w:hint="eastAsia"/>
                      <w:color w:val="auto"/>
                      <w:szCs w:val="21"/>
                      <w:highlight w:val="none"/>
                    </w:rPr>
                  </w:pPr>
                  <w:r>
                    <w:rPr>
                      <w:rFonts w:hint="eastAsia"/>
                      <w:color w:val="auto"/>
                      <w:szCs w:val="21"/>
                      <w:highlight w:val="none"/>
                    </w:rPr>
                    <w:t>1、项目不属于</w:t>
                  </w:r>
                  <w:r>
                    <w:rPr>
                      <w:rFonts w:hint="eastAsia"/>
                      <w:color w:val="auto"/>
                      <w:szCs w:val="21"/>
                      <w:lang w:eastAsia="zh-CN"/>
                      <w:highlight w:val="none"/>
                    </w:rPr>
                    <w:t>“</w:t>
                  </w:r>
                  <w:r>
                    <w:rPr>
                      <w:rFonts w:hint="eastAsia"/>
                      <w:color w:val="auto"/>
                      <w:szCs w:val="21"/>
                      <w:highlight w:val="none"/>
                    </w:rPr>
                    <w:t>两高</w:t>
                  </w:r>
                  <w:r>
                    <w:rPr>
                      <w:rFonts w:hint="eastAsia"/>
                      <w:color w:val="auto"/>
                      <w:szCs w:val="21"/>
                      <w:lang w:eastAsia="zh-CN"/>
                      <w:highlight w:val="none"/>
                    </w:rPr>
                    <w:t>”</w:t>
                  </w:r>
                  <w:r>
                    <w:rPr>
                      <w:rFonts w:hint="eastAsia"/>
                      <w:color w:val="auto"/>
                      <w:szCs w:val="21"/>
                      <w:highlight w:val="none"/>
                    </w:rPr>
                    <w:t>项目，属于《产业结构调整指导目录（2024年本）》中的允许类项目，项目已在河北石家庄装备制造产业园管理委员会备案，符合国家、地方产业政策；</w:t>
                  </w:r>
                </w:p>
                <w:p>
                  <w:pPr>
                    <w:adjustRightInd w:val="0"/>
                    <w:snapToGrid w:val="0"/>
                    <w:rPr>
                      <w:rFonts w:hint="eastAsia"/>
                      <w:color w:val="auto"/>
                      <w:szCs w:val="21"/>
                      <w:highlight w:val="none"/>
                    </w:rPr>
                  </w:pPr>
                  <w:r>
                    <w:rPr>
                      <w:rFonts w:hint="eastAsia"/>
                      <w:color w:val="auto"/>
                      <w:szCs w:val="21"/>
                      <w:highlight w:val="none"/>
                    </w:rPr>
                    <w:t>2、</w:t>
                  </w:r>
                  <w:r>
                    <w:rPr>
                      <w:rFonts w:ascii="Times New Roman" w:cs="Times New Roman" w:hAnsi="Times New Roman"/>
                      <w:b w:val="0"/>
                      <w:bCs w:val="0"/>
                      <w:color w:val="auto"/>
                      <w:highlight w:val="none"/>
                    </w:rPr>
                    <w:t>项目位于</w:t>
                  </w:r>
                  <w:r>
                    <w:rPr>
                      <w:rFonts w:cs="Times New Roman" w:hint="eastAsia"/>
                      <w:color w:val="auto"/>
                      <w:szCs w:val="21"/>
                      <w:lang w:val="en-US" w:eastAsia="zh-CN"/>
                      <w:highlight w:val="none"/>
                    </w:rPr>
                    <w:t>石家庄市栾城区装备制造基地楼底镇段家营村裕翔街168号103厂房（南）</w:t>
                  </w:r>
                  <w:r>
                    <w:rPr>
                      <w:rFonts w:ascii="Times New Roman" w:cs="Times New Roman" w:hAnsi="Times New Roman"/>
                      <w:b w:val="0"/>
                      <w:bCs w:val="0"/>
                      <w:color w:val="auto"/>
                      <w:highlight w:val="none"/>
                    </w:rPr>
                    <w:t>，位于</w:t>
                  </w:r>
                  <w:r>
                    <w:rPr>
                      <w:rFonts w:ascii="Times New Roman" w:cs="Times New Roman" w:hAnsi="Times New Roman"/>
                      <w:color w:val="auto"/>
                      <w:highlight w:val="none"/>
                    </w:rPr>
                    <w:t>河北石家庄装备制造产业园西部片区</w:t>
                  </w:r>
                  <w:r>
                    <w:rPr>
                      <w:rFonts w:ascii="Times New Roman" w:cs="Times New Roman" w:hAnsi="Times New Roman"/>
                      <w:b w:val="0"/>
                      <w:bCs w:val="0"/>
                      <w:color w:val="auto"/>
                      <w:highlight w:val="none"/>
                    </w:rPr>
                    <w:t>规划范围内</w:t>
                  </w:r>
                  <w:r>
                    <w:rPr>
                      <w:rFonts w:hint="eastAsia"/>
                      <w:color w:val="auto"/>
                      <w:szCs w:val="21"/>
                      <w:highlight w:val="none"/>
                    </w:rPr>
                    <w:t>。</w:t>
                  </w:r>
                </w:p>
              </w:tc>
              <w:tc>
                <w:tcPr>
                  <w:tcW w:w="648" w:type="pct"/>
                  <w:tcBorders>
                    <w:tl2br w:val="nil"/>
                    <w:tr2bl w:val="nil"/>
                  </w:tcBorders>
                  <w:vAlign w:val="center"/>
                </w:tcPr>
                <w:p>
                  <w:pPr>
                    <w:adjustRightInd w:val="0"/>
                    <w:snapToGrid w:val="0"/>
                    <w:jc w:val="center"/>
                    <w:rPr>
                      <w:rFonts w:hint="eastAsia"/>
                      <w:color w:val="auto"/>
                      <w:szCs w:val="21"/>
                      <w:highlight w:val="none"/>
                    </w:rPr>
                  </w:pPr>
                  <w:r>
                    <w:rPr>
                      <w:rFonts w:hint="eastAsia"/>
                      <w:color w:val="auto"/>
                      <w:szCs w:val="21"/>
                      <w:highlight w:val="none"/>
                    </w:rPr>
                    <w:t>是</w:t>
                  </w:r>
                </w:p>
              </w:tc>
            </w:tr>
            <w:tr>
              <w:trPr>
                <w:trHeight w:val="397"/>
              </w:trPr>
              <w:tc>
                <w:tcPr>
                  <w:tcW w:w="572" w:type="pct"/>
                  <w:gridSpan w:val="2"/>
                  <w:tcBorders>
                    <w:tl2br w:val="nil"/>
                    <w:tr2bl w:val="nil"/>
                  </w:tcBorders>
                  <w:vAlign w:val="center"/>
                </w:tcPr>
                <w:p>
                  <w:pPr>
                    <w:adjustRightInd w:val="0"/>
                    <w:snapToGrid w:val="0"/>
                    <w:jc w:val="center"/>
                    <w:rPr>
                      <w:rFonts w:hint="eastAsia"/>
                      <w:color w:val="auto"/>
                      <w:szCs w:val="21"/>
                      <w:highlight w:val="none"/>
                    </w:rPr>
                  </w:pPr>
                  <w:r>
                    <w:rPr>
                      <w:rFonts w:hint="eastAsia"/>
                      <w:color w:val="auto"/>
                      <w:szCs w:val="21"/>
                      <w:highlight w:val="none"/>
                    </w:rPr>
                    <w:t>地下水重点管控区</w:t>
                  </w:r>
                </w:p>
              </w:tc>
              <w:tc>
                <w:tcPr>
                  <w:tcW w:w="2159" w:type="pct"/>
                  <w:gridSpan w:val="2"/>
                  <w:tcBorders>
                    <w:tl2br w:val="nil"/>
                    <w:tr2bl w:val="nil"/>
                  </w:tcBorders>
                  <w:vAlign w:val="center"/>
                </w:tcPr>
                <w:p>
                  <w:pPr>
                    <w:adjustRightInd w:val="0"/>
                    <w:snapToGrid w:val="0"/>
                    <w:rPr>
                      <w:rFonts w:hint="eastAsia"/>
                      <w:color w:val="auto"/>
                      <w:szCs w:val="21"/>
                      <w:highlight w:val="none"/>
                    </w:rPr>
                  </w:pPr>
                  <w:r>
                    <w:rPr>
                      <w:rFonts w:hint="eastAsia"/>
                      <w:color w:val="auto"/>
                      <w:szCs w:val="21"/>
                      <w:highlight w:val="none"/>
                    </w:rPr>
                    <w:t>落实最严格水资源管理制度，强化用水监管，优化用水结构，推动城镇农村生活、工业、农业节水，发掘多源供水，缓解地下水超采压力，加强地下水开采重点管控区和生态用水补给区的管控。</w:t>
                  </w:r>
                </w:p>
              </w:tc>
              <w:tc>
                <w:tcPr>
                  <w:tcW w:w="1619" w:type="pct"/>
                  <w:tcBorders>
                    <w:tl2br w:val="nil"/>
                    <w:tr2bl w:val="nil"/>
                  </w:tcBorders>
                  <w:vAlign w:val="center"/>
                </w:tcPr>
                <w:p>
                  <w:pPr>
                    <w:widowControl/>
                    <w:adjustRightInd w:val="0"/>
                    <w:snapToGrid w:val="0"/>
                    <w:jc w:val="center"/>
                    <w:rPr>
                      <w:rFonts w:hint="eastAsia"/>
                      <w:color w:val="auto"/>
                      <w:szCs w:val="21"/>
                      <w:highlight w:val="none"/>
                    </w:rPr>
                  </w:pPr>
                  <w:r>
                    <w:rPr>
                      <w:rFonts w:hint="eastAsia"/>
                      <w:color w:val="auto"/>
                      <w:szCs w:val="21"/>
                      <w:highlight w:val="none"/>
                    </w:rPr>
                    <w:t>项目用水</w:t>
                  </w:r>
                  <w:r>
                    <w:rPr>
                      <w:rFonts w:hint="eastAsia"/>
                      <w:color w:val="auto"/>
                      <w:szCs w:val="21"/>
                      <w:lang w:eastAsia="zh-CN"/>
                      <w:highlight w:val="none"/>
                    </w:rPr>
                    <w:t>由园区供水管网提供</w:t>
                  </w:r>
                  <w:r>
                    <w:rPr>
                      <w:rFonts w:hint="eastAsia"/>
                      <w:color w:val="auto"/>
                      <w:szCs w:val="21"/>
                      <w:highlight w:val="none"/>
                    </w:rPr>
                    <w:t>，不开采地下水。</w:t>
                  </w:r>
                </w:p>
              </w:tc>
              <w:tc>
                <w:tcPr>
                  <w:tcW w:w="648" w:type="pct"/>
                  <w:tcBorders>
                    <w:tl2br w:val="nil"/>
                    <w:tr2bl w:val="nil"/>
                  </w:tcBorders>
                  <w:vAlign w:val="center"/>
                </w:tcPr>
                <w:p>
                  <w:pPr>
                    <w:widowControl/>
                    <w:adjustRightInd w:val="0"/>
                    <w:snapToGrid w:val="0"/>
                    <w:jc w:val="center"/>
                    <w:rPr>
                      <w:rFonts w:hint="eastAsia"/>
                      <w:color w:val="auto"/>
                      <w:szCs w:val="21"/>
                      <w:highlight w:val="none"/>
                    </w:rPr>
                  </w:pPr>
                  <w:r>
                    <w:rPr>
                      <w:rFonts w:hint="eastAsia"/>
                      <w:color w:val="auto"/>
                      <w:szCs w:val="21"/>
                      <w:highlight w:val="none"/>
                    </w:rPr>
                    <w:t>是</w:t>
                  </w:r>
                </w:p>
              </w:tc>
            </w:tr>
            <w:tr>
              <w:trPr>
                <w:trHeight w:val="397"/>
              </w:trPr>
              <w:tc>
                <w:tcPr>
                  <w:tcW w:w="5000" w:type="pct"/>
                  <w:gridSpan w:val="6"/>
                  <w:tcBorders>
                    <w:tl2br w:val="nil"/>
                    <w:tr2bl w:val="nil"/>
                  </w:tcBorders>
                  <w:vAlign w:val="center"/>
                </w:tcPr>
                <w:p>
                  <w:pPr>
                    <w:adjustRightInd w:val="0"/>
                    <w:snapToGrid w:val="0"/>
                    <w:jc w:val="center"/>
                    <w:rPr>
                      <w:rFonts w:hint="eastAsia"/>
                      <w:color w:val="auto"/>
                      <w:szCs w:val="21"/>
                      <w:highlight w:val="none"/>
                    </w:rPr>
                  </w:pPr>
                  <w:r>
                    <w:rPr>
                      <w:rFonts w:hint="eastAsia"/>
                      <w:b/>
                      <w:bCs/>
                      <w:color w:val="auto"/>
                      <w:szCs w:val="21"/>
                      <w:highlight w:val="none"/>
                    </w:rPr>
                    <w:t>全市水环境总体管控要求</w:t>
                  </w:r>
                </w:p>
              </w:tc>
            </w:tr>
            <w:tr>
              <w:trPr>
                <w:trHeight w:val="397"/>
              </w:trPr>
              <w:tc>
                <w:tcPr>
                  <w:tcW w:w="572" w:type="pct"/>
                  <w:gridSpan w:val="2"/>
                  <w:tcBorders>
                    <w:tl2br w:val="nil"/>
                    <w:tr2bl w:val="nil"/>
                  </w:tcBorders>
                  <w:vAlign w:val="center"/>
                </w:tcPr>
                <w:p>
                  <w:pPr>
                    <w:adjustRightInd w:val="0"/>
                    <w:snapToGrid w:val="0"/>
                    <w:jc w:val="center"/>
                    <w:rPr>
                      <w:rFonts w:hint="eastAsia"/>
                      <w:color w:val="auto"/>
                      <w:szCs w:val="21"/>
                      <w:highlight w:val="none"/>
                    </w:rPr>
                  </w:pPr>
                  <w:r>
                    <w:rPr>
                      <w:rFonts w:hint="eastAsia"/>
                      <w:color w:val="auto"/>
                      <w:szCs w:val="21"/>
                      <w:highlight w:val="none"/>
                    </w:rPr>
                    <w:t>分类</w:t>
                  </w:r>
                </w:p>
              </w:tc>
              <w:tc>
                <w:tcPr>
                  <w:tcW w:w="466" w:type="pct"/>
                  <w:tcBorders>
                    <w:tl2br w:val="nil"/>
                    <w:tr2bl w:val="nil"/>
                  </w:tcBorders>
                  <w:vAlign w:val="center"/>
                </w:tcPr>
                <w:p>
                  <w:pPr>
                    <w:adjustRightInd w:val="0"/>
                    <w:snapToGrid w:val="0"/>
                    <w:jc w:val="center"/>
                    <w:rPr>
                      <w:color w:val="auto"/>
                      <w:szCs w:val="21"/>
                      <w:highlight w:val="none"/>
                    </w:rPr>
                  </w:pPr>
                  <w:r>
                    <w:rPr>
                      <w:rFonts w:hint="eastAsia"/>
                      <w:color w:val="auto"/>
                      <w:szCs w:val="21"/>
                      <w:highlight w:val="none"/>
                    </w:rPr>
                    <w:t>管控类型</w:t>
                  </w:r>
                </w:p>
              </w:tc>
              <w:tc>
                <w:tcPr>
                  <w:tcW w:w="1692" w:type="pct"/>
                  <w:tcBorders>
                    <w:tl2br w:val="nil"/>
                    <w:tr2bl w:val="nil"/>
                  </w:tcBorders>
                  <w:vAlign w:val="center"/>
                </w:tcPr>
                <w:p>
                  <w:pPr>
                    <w:adjustRightInd w:val="0"/>
                    <w:snapToGrid w:val="0"/>
                    <w:jc w:val="center"/>
                    <w:rPr>
                      <w:rFonts w:hint="eastAsia"/>
                      <w:color w:val="auto"/>
                      <w:szCs w:val="21"/>
                      <w:highlight w:val="none"/>
                    </w:rPr>
                  </w:pPr>
                  <w:r>
                    <w:rPr>
                      <w:rFonts w:hint="eastAsia"/>
                      <w:color w:val="auto"/>
                      <w:szCs w:val="21"/>
                      <w:highlight w:val="none"/>
                    </w:rPr>
                    <w:t>管控要求</w:t>
                  </w:r>
                </w:p>
              </w:tc>
              <w:tc>
                <w:tcPr>
                  <w:tcW w:w="1619" w:type="pct"/>
                  <w:tcBorders>
                    <w:tl2br w:val="nil"/>
                    <w:tr2bl w:val="nil"/>
                  </w:tcBorders>
                  <w:vAlign w:val="center"/>
                </w:tcPr>
                <w:p>
                  <w:pPr>
                    <w:adjustRightInd w:val="0"/>
                    <w:snapToGrid w:val="0"/>
                    <w:jc w:val="center"/>
                    <w:rPr>
                      <w:rFonts w:hint="eastAsia"/>
                      <w:color w:val="auto"/>
                      <w:szCs w:val="21"/>
                      <w:highlight w:val="none"/>
                    </w:rPr>
                  </w:pPr>
                  <w:r>
                    <w:rPr>
                      <w:rFonts w:hint="eastAsia"/>
                      <w:color w:val="auto"/>
                      <w:szCs w:val="21"/>
                      <w:highlight w:val="none"/>
                    </w:rPr>
                    <w:t>项目情况</w:t>
                  </w:r>
                </w:p>
              </w:tc>
              <w:tc>
                <w:tcPr>
                  <w:tcW w:w="648" w:type="pct"/>
                  <w:tcBorders>
                    <w:tl2br w:val="nil"/>
                    <w:tr2bl w:val="nil"/>
                  </w:tcBorders>
                  <w:vAlign w:val="center"/>
                </w:tcPr>
                <w:p>
                  <w:pPr>
                    <w:adjustRightInd w:val="0"/>
                    <w:snapToGrid w:val="0"/>
                    <w:jc w:val="center"/>
                    <w:rPr>
                      <w:rFonts w:hint="eastAsia"/>
                      <w:color w:val="auto"/>
                      <w:szCs w:val="21"/>
                      <w:highlight w:val="none"/>
                    </w:rPr>
                  </w:pPr>
                  <w:r>
                    <w:rPr>
                      <w:rFonts w:hint="eastAsia"/>
                      <w:color w:val="auto"/>
                      <w:szCs w:val="21"/>
                      <w:highlight w:val="none"/>
                    </w:rPr>
                    <w:t>是否符合相关要求</w:t>
                  </w:r>
                </w:p>
              </w:tc>
            </w:tr>
            <w:tr>
              <w:trPr>
                <w:trHeight w:val="397"/>
              </w:trPr>
              <w:tc>
                <w:tcPr>
                  <w:tcW w:w="572" w:type="pct"/>
                  <w:gridSpan w:val="2"/>
                  <w:vMerge w:val="restart"/>
                  <w:tcBorders>
                    <w:tl2br w:val="nil"/>
                    <w:tr2bl w:val="nil"/>
                  </w:tcBorders>
                  <w:vAlign w:val="center"/>
                </w:tcPr>
                <w:p>
                  <w:pPr>
                    <w:adjustRightInd w:val="0"/>
                    <w:snapToGrid w:val="0"/>
                    <w:jc w:val="center"/>
                    <w:rPr>
                      <w:rFonts w:hint="eastAsia"/>
                      <w:color w:val="auto"/>
                      <w:szCs w:val="21"/>
                      <w:highlight w:val="none"/>
                    </w:rPr>
                  </w:pPr>
                  <w:r>
                    <w:rPr>
                      <w:rFonts w:hint="eastAsia"/>
                      <w:color w:val="auto"/>
                      <w:szCs w:val="21"/>
                      <w:highlight w:val="none"/>
                    </w:rPr>
                    <w:t>水环境其他重点管控区</w:t>
                  </w:r>
                </w:p>
              </w:tc>
              <w:tc>
                <w:tcPr>
                  <w:tcW w:w="466" w:type="pct"/>
                  <w:tcBorders>
                    <w:tl2br w:val="nil"/>
                    <w:tr2bl w:val="nil"/>
                  </w:tcBorders>
                  <w:vAlign w:val="center"/>
                </w:tcPr>
                <w:p>
                  <w:pPr>
                    <w:adjustRightInd w:val="0"/>
                    <w:snapToGrid w:val="0"/>
                    <w:jc w:val="center"/>
                    <w:rPr>
                      <w:rFonts w:hint="eastAsia"/>
                      <w:color w:val="auto"/>
                      <w:szCs w:val="21"/>
                      <w:highlight w:val="none"/>
                    </w:rPr>
                  </w:pPr>
                  <w:r>
                    <w:rPr>
                      <w:rFonts w:hint="eastAsia"/>
                      <w:color w:val="auto"/>
                      <w:szCs w:val="21"/>
                      <w:highlight w:val="none"/>
                    </w:rPr>
                    <w:t>空间布局约束</w:t>
                  </w:r>
                </w:p>
              </w:tc>
              <w:tc>
                <w:tcPr>
                  <w:tcW w:w="1692" w:type="pct"/>
                  <w:tcBorders>
                    <w:tl2br w:val="nil"/>
                    <w:tr2bl w:val="nil"/>
                  </w:tcBorders>
                  <w:vAlign w:val="center"/>
                </w:tcPr>
                <w:p>
                  <w:pPr>
                    <w:adjustRightInd w:val="0"/>
                    <w:snapToGrid w:val="0"/>
                    <w:rPr>
                      <w:rFonts w:hint="eastAsia"/>
                      <w:color w:val="auto"/>
                      <w:szCs w:val="21"/>
                      <w:highlight w:val="none"/>
                    </w:rPr>
                  </w:pPr>
                  <w:r>
                    <w:rPr>
                      <w:rFonts w:hint="eastAsia"/>
                      <w:color w:val="auto"/>
                      <w:szCs w:val="21"/>
                      <w:highlight w:val="none"/>
                    </w:rPr>
                    <w:t>1、针对断流河道优先保障水生态流量和生态安全。</w:t>
                  </w:r>
                </w:p>
                <w:p>
                  <w:pPr>
                    <w:adjustRightInd w:val="0"/>
                    <w:snapToGrid w:val="0"/>
                    <w:rPr>
                      <w:rFonts w:hint="eastAsia"/>
                      <w:color w:val="auto"/>
                      <w:szCs w:val="21"/>
                      <w:highlight w:val="none"/>
                    </w:rPr>
                  </w:pPr>
                  <w:r>
                    <w:rPr>
                      <w:rFonts w:hint="eastAsia"/>
                      <w:color w:val="auto"/>
                      <w:szCs w:val="21"/>
                      <w:highlight w:val="none"/>
                    </w:rPr>
                    <w:t>2、调整和优化产业结构，严格按照区域环境承载能力，合理规划居住区与工业功能区。</w:t>
                  </w:r>
                </w:p>
              </w:tc>
              <w:tc>
                <w:tcPr>
                  <w:tcW w:w="1619" w:type="pct"/>
                  <w:tcBorders>
                    <w:tl2br w:val="nil"/>
                    <w:tr2bl w:val="nil"/>
                  </w:tcBorders>
                  <w:vAlign w:val="center"/>
                </w:tcPr>
                <w:p>
                  <w:pPr>
                    <w:adjustRightInd w:val="0"/>
                    <w:snapToGrid w:val="0"/>
                    <w:jc w:val="both"/>
                    <w:rPr>
                      <w:color w:val="auto"/>
                      <w:szCs w:val="21"/>
                      <w:highlight w:val="none"/>
                    </w:rPr>
                  </w:pPr>
                  <w:r>
                    <w:rPr>
                      <w:rFonts w:hint="eastAsia"/>
                      <w:color w:val="auto"/>
                      <w:szCs w:val="21"/>
                      <w:highlight w:val="none"/>
                    </w:rPr>
                    <w:t>项目所在区域附近无地表水体，</w:t>
                  </w:r>
                  <w:r>
                    <w:rPr>
                      <w:rFonts w:hint="eastAsia"/>
                      <w:color w:val="auto"/>
                      <w:sz w:val="21"/>
                      <w:szCs w:val="21"/>
                      <w:highlight w:val="none"/>
                    </w:rPr>
                    <w:t>距离项目最近的水体为</w:t>
                  </w:r>
                  <w:r>
                    <w:rPr>
                      <w:rFonts w:hint="eastAsia"/>
                      <w:color w:val="auto"/>
                      <w:sz w:val="21"/>
                      <w:szCs w:val="21"/>
                      <w:lang w:val="en-US" w:eastAsia="zh-CN"/>
                      <w:highlight w:val="none"/>
                    </w:rPr>
                    <w:t>东侧370m的</w:t>
                  </w:r>
                  <w:r>
                    <w:rPr>
                      <w:rFonts w:hint="eastAsia"/>
                      <w:color w:val="auto"/>
                      <w:sz w:val="21"/>
                      <w:szCs w:val="21"/>
                      <w:lang w:eastAsia="zh-CN"/>
                      <w:highlight w:val="none"/>
                    </w:rPr>
                    <w:t>总退水渠</w:t>
                  </w:r>
                  <w:r>
                    <w:rPr>
                      <w:rFonts w:hint="eastAsia"/>
                      <w:color w:val="auto"/>
                      <w:sz w:val="21"/>
                      <w:szCs w:val="21"/>
                      <w:lang w:val="en-US" w:eastAsia="zh-CN"/>
                      <w:highlight w:val="none"/>
                    </w:rPr>
                    <w:t>及西南侧350m的</w:t>
                  </w:r>
                  <w:r>
                    <w:rPr>
                      <w:rFonts w:hint="eastAsia"/>
                      <w:color w:val="auto"/>
                      <w:sz w:val="21"/>
                      <w:szCs w:val="21"/>
                      <w:highlight w:val="none"/>
                    </w:rPr>
                    <w:t>洨河</w:t>
                  </w:r>
                  <w:r>
                    <w:rPr>
                      <w:rFonts w:hint="eastAsia"/>
                      <w:color w:val="auto"/>
                      <w:szCs w:val="21"/>
                      <w:highlight w:val="none"/>
                    </w:rPr>
                    <w:t>，用地属于工业用地未在居民区，满足居住区与工业功能区分离要求。</w:t>
                  </w:r>
                </w:p>
              </w:tc>
              <w:tc>
                <w:tcPr>
                  <w:tcW w:w="648" w:type="pct"/>
                  <w:tcBorders>
                    <w:tl2br w:val="nil"/>
                    <w:tr2bl w:val="nil"/>
                  </w:tcBorders>
                  <w:vAlign w:val="center"/>
                </w:tcPr>
                <w:p>
                  <w:pPr>
                    <w:adjustRightInd w:val="0"/>
                    <w:snapToGrid w:val="0"/>
                    <w:jc w:val="center"/>
                    <w:rPr>
                      <w:rFonts w:hint="eastAsia"/>
                      <w:color w:val="auto"/>
                      <w:szCs w:val="21"/>
                      <w:highlight w:val="none"/>
                    </w:rPr>
                  </w:pPr>
                  <w:r>
                    <w:rPr>
                      <w:rFonts w:hint="eastAsia"/>
                      <w:color w:val="auto"/>
                      <w:szCs w:val="21"/>
                      <w:highlight w:val="none"/>
                    </w:rPr>
                    <w:t>是</w:t>
                  </w:r>
                </w:p>
              </w:tc>
            </w:tr>
            <w:tr>
              <w:trPr>
                <w:trHeight w:val="397"/>
              </w:trPr>
              <w:tc>
                <w:tcPr>
                  <w:tcW w:w="572" w:type="pct"/>
                  <w:gridSpan w:val="2"/>
                  <w:vMerge/>
                  <w:tcBorders>
                    <w:tl2br w:val="nil"/>
                    <w:tr2bl w:val="nil"/>
                  </w:tcBorders>
                  <w:vAlign w:val="center"/>
                </w:tcPr>
                <w:p/>
              </w:tc>
              <w:tc>
                <w:tcPr>
                  <w:tcW w:w="466" w:type="pct"/>
                  <w:tcBorders>
                    <w:tl2br w:val="nil"/>
                    <w:tr2bl w:val="nil"/>
                  </w:tcBorders>
                  <w:vAlign w:val="center"/>
                </w:tcPr>
                <w:p>
                  <w:pPr>
                    <w:adjustRightInd w:val="0"/>
                    <w:snapToGrid w:val="0"/>
                    <w:jc w:val="center"/>
                    <w:rPr>
                      <w:rFonts w:hint="eastAsia"/>
                      <w:color w:val="auto"/>
                      <w:szCs w:val="21"/>
                      <w:highlight w:val="none"/>
                    </w:rPr>
                  </w:pPr>
                  <w:r>
                    <w:rPr>
                      <w:rFonts w:hint="eastAsia"/>
                      <w:color w:val="auto"/>
                      <w:szCs w:val="21"/>
                      <w:highlight w:val="none"/>
                    </w:rPr>
                    <w:t>污染物排放管控</w:t>
                  </w:r>
                </w:p>
              </w:tc>
              <w:tc>
                <w:tcPr>
                  <w:tcW w:w="1692" w:type="pct"/>
                  <w:tcBorders>
                    <w:tl2br w:val="nil"/>
                    <w:tr2bl w:val="nil"/>
                  </w:tcBorders>
                  <w:vAlign w:val="center"/>
                </w:tcPr>
                <w:p>
                  <w:pPr>
                    <w:adjustRightInd w:val="0"/>
                    <w:snapToGrid w:val="0"/>
                    <w:rPr>
                      <w:rFonts w:hint="eastAsia"/>
                      <w:color w:val="auto"/>
                      <w:szCs w:val="21"/>
                      <w:highlight w:val="none"/>
                    </w:rPr>
                  </w:pPr>
                  <w:r>
                    <w:rPr>
                      <w:rFonts w:hint="eastAsia"/>
                      <w:color w:val="auto"/>
                      <w:szCs w:val="21"/>
                      <w:highlight w:val="none"/>
                    </w:rPr>
                    <w:t>1、执行《子牙河流域水污染物排放标准》（DB13/2796-2018）或《大清河流域水污染物排放标准》（DB13/2795-2018）水污染物排放标准，实施区域污染物总量控制，减少新建高污染项目，整改治理污染项目。</w:t>
                  </w:r>
                </w:p>
                <w:p>
                  <w:pPr>
                    <w:adjustRightInd w:val="0"/>
                    <w:snapToGrid w:val="0"/>
                    <w:rPr>
                      <w:rFonts w:hint="eastAsia"/>
                      <w:color w:val="auto"/>
                      <w:szCs w:val="21"/>
                      <w:highlight w:val="none"/>
                    </w:rPr>
                  </w:pPr>
                  <w:r>
                    <w:rPr>
                      <w:rFonts w:hint="eastAsia"/>
                      <w:color w:val="auto"/>
                      <w:szCs w:val="21"/>
                      <w:highlight w:val="none"/>
                    </w:rPr>
                    <w:t>2、加强农业农村和工业企业污染防治，有效控制入河污染物排放。</w:t>
                  </w:r>
                </w:p>
              </w:tc>
              <w:tc>
                <w:tcPr>
                  <w:tcW w:w="1619" w:type="pct"/>
                  <w:tcBorders>
                    <w:tl2br w:val="nil"/>
                    <w:tr2bl w:val="nil"/>
                  </w:tcBorders>
                  <w:vAlign w:val="center"/>
                </w:tcPr>
                <w:p>
                  <w:pPr>
                    <w:adjustRightInd w:val="0"/>
                    <w:snapToGrid w:val="0"/>
                    <w:jc w:val="both"/>
                    <w:rPr>
                      <w:rFonts w:eastAsia="宋体" w:hint="eastAsia"/>
                      <w:color w:val="auto"/>
                      <w:szCs w:val="21"/>
                      <w:lang w:eastAsia="zh-CN"/>
                      <w:highlight w:val="none"/>
                    </w:rPr>
                  </w:pPr>
                  <w:r>
                    <w:rPr>
                      <w:rFonts w:hint="eastAsia"/>
                      <w:color w:val="auto"/>
                      <w:szCs w:val="21"/>
                      <w:highlight w:val="none"/>
                    </w:rPr>
                    <w:t>项目不属于高污染项目</w:t>
                  </w:r>
                  <w:r>
                    <w:rPr>
                      <w:rFonts w:hint="eastAsia"/>
                      <w:color w:val="auto"/>
                      <w:szCs w:val="21"/>
                      <w:lang w:eastAsia="zh-CN"/>
                      <w:highlight w:val="none"/>
                    </w:rPr>
                    <w:t>，</w:t>
                  </w:r>
                  <w:r>
                    <w:rPr>
                      <w:rFonts w:ascii="Times New Roman" w:eastAsia="Segoe UI" w:cs="Times New Roman" w:hAnsi="Times New Roman"/>
                      <w:bCs w:val="0"/>
                      <w:i w:val="0"/>
                      <w:iCs w:val="0"/>
                      <w:caps w:val="0"/>
                      <w:smallCaps w:val="0"/>
                      <w:color w:val="auto"/>
                      <w:spacing w:val="0"/>
                      <w:kern w:val="0"/>
                      <w:sz w:val="21"/>
                      <w:szCs w:val="21"/>
                      <w:shd w:val="clear" w:color="auto" w:fill="FFFFFF"/>
                      <w:lang w:val="en-US" w:eastAsia="zh-CN" w:bidi="ar-SA"/>
                      <w:highlight w:val="none"/>
                    </w:rPr>
                    <w:t>项目</w:t>
                  </w:r>
                  <w:r>
                    <w:rPr>
                      <w:rFonts w:ascii="Times New Roman" w:eastAsia="Segoe UI" w:cs="Times New Roman" w:hAnsi="Times New Roman" w:hint="eastAsia"/>
                      <w:bCs w:val="0"/>
                      <w:i w:val="0"/>
                      <w:iCs w:val="0"/>
                      <w:caps w:val="0"/>
                      <w:smallCaps w:val="0"/>
                      <w:color w:val="auto"/>
                      <w:spacing w:val="0"/>
                      <w:kern w:val="0"/>
                      <w:sz w:val="21"/>
                      <w:szCs w:val="21"/>
                      <w:shd w:val="clear" w:color="auto" w:fill="FFFFFF"/>
                      <w:lang w:val="en-US" w:eastAsia="zh-CN" w:bidi="ar-SA"/>
                      <w:highlight w:val="none"/>
                    </w:rPr>
                    <w:t>废水主要为生活污水</w:t>
                  </w:r>
                  <w:r>
                    <w:rPr>
                      <w:rFonts w:eastAsia="Segoe UI" w:cs="Times New Roman" w:hint="eastAsia"/>
                      <w:bCs w:val="0"/>
                      <w:i w:val="0"/>
                      <w:iCs w:val="0"/>
                      <w:caps w:val="0"/>
                      <w:smallCaps w:val="0"/>
                      <w:color w:val="auto"/>
                      <w:spacing w:val="0"/>
                      <w:kern w:val="0"/>
                      <w:sz w:val="21"/>
                      <w:szCs w:val="21"/>
                      <w:shd w:val="clear" w:color="auto" w:fill="FFFFFF"/>
                      <w:lang w:val="en-US" w:eastAsia="zh-CN" w:bidi="ar-SA"/>
                      <w:highlight w:val="none"/>
                    </w:rPr>
                    <w:t>，</w:t>
                  </w:r>
                  <w:r>
                    <w:rPr>
                      <w:rFonts w:ascii="Times New Roman" w:eastAsia="宋体" w:cs="Times New Roman" w:hAnsi="Times New Roman"/>
                      <w:color w:val="auto"/>
                      <w:kern w:val="2"/>
                      <w:sz w:val="21"/>
                      <w:szCs w:val="21"/>
                      <w:lang w:val="en-US" w:eastAsia="zh-CN" w:bidi="ar-SA"/>
                      <w:highlight w:val="none"/>
                    </w:rPr>
                    <w:t>依托河北泽豪环保新材料科技有限公司化粪池处理后，</w:t>
                  </w:r>
                  <w:r>
                    <w:rPr>
                      <w:rFonts w:cs="Times New Roman" w:hint="eastAsia"/>
                      <w:color w:val="auto"/>
                      <w:kern w:val="2"/>
                      <w:sz w:val="21"/>
                      <w:szCs w:val="21"/>
                      <w:lang w:val="en-US" w:eastAsia="zh-CN" w:bidi="ar-SA"/>
                      <w:highlight w:val="none"/>
                    </w:rPr>
                    <w:t>定期清掏，不外排</w:t>
                  </w:r>
                  <w:r>
                    <w:rPr>
                      <w:rFonts w:ascii="Times New Roman" w:eastAsia="Segoe UI" w:cs="Times New Roman" w:hAnsi="Times New Roman" w:hint="eastAsia"/>
                      <w:i w:val="0"/>
                      <w:iCs w:val="0"/>
                      <w:caps w:val="0"/>
                      <w:smallCaps w:val="0"/>
                      <w:color w:val="auto"/>
                      <w:spacing w:val="0"/>
                      <w:sz w:val="21"/>
                      <w:szCs w:val="21"/>
                      <w:shd w:val="clear" w:color="auto" w:fill="FFFFFF"/>
                      <w:lang w:val="en-US" w:eastAsia="zh-CN"/>
                      <w:highlight w:val="none"/>
                    </w:rPr>
                    <w:t>。</w:t>
                  </w:r>
                </w:p>
              </w:tc>
              <w:tc>
                <w:tcPr>
                  <w:tcW w:w="648" w:type="pct"/>
                  <w:tcBorders>
                    <w:tl2br w:val="nil"/>
                    <w:tr2bl w:val="nil"/>
                  </w:tcBorders>
                  <w:vAlign w:val="center"/>
                </w:tcPr>
                <w:p>
                  <w:pPr>
                    <w:adjustRightInd w:val="0"/>
                    <w:snapToGrid w:val="0"/>
                    <w:jc w:val="center"/>
                    <w:rPr>
                      <w:rFonts w:hint="eastAsia"/>
                      <w:color w:val="auto"/>
                      <w:szCs w:val="21"/>
                      <w:highlight w:val="none"/>
                    </w:rPr>
                  </w:pPr>
                  <w:r>
                    <w:rPr>
                      <w:rFonts w:hint="eastAsia"/>
                      <w:color w:val="auto"/>
                      <w:szCs w:val="21"/>
                      <w:highlight w:val="none"/>
                    </w:rPr>
                    <w:t>是</w:t>
                  </w:r>
                </w:p>
              </w:tc>
            </w:tr>
            <w:tr>
              <w:trPr>
                <w:trHeight w:val="397"/>
              </w:trPr>
              <w:tc>
                <w:tcPr>
                  <w:tcW w:w="5000" w:type="pct"/>
                  <w:gridSpan w:val="6"/>
                  <w:tcBorders>
                    <w:tl2br w:val="nil"/>
                    <w:tr2bl w:val="nil"/>
                  </w:tcBorders>
                  <w:vAlign w:val="center"/>
                </w:tcPr>
                <w:p>
                  <w:pPr>
                    <w:adjustRightInd w:val="0"/>
                    <w:snapToGrid w:val="0"/>
                    <w:jc w:val="center"/>
                    <w:rPr>
                      <w:rFonts w:hint="eastAsia"/>
                      <w:color w:val="auto"/>
                      <w:szCs w:val="21"/>
                      <w:highlight w:val="none"/>
                    </w:rPr>
                  </w:pPr>
                  <w:r>
                    <w:rPr>
                      <w:rFonts w:hint="eastAsia"/>
                      <w:b/>
                      <w:bCs/>
                      <w:color w:val="auto"/>
                      <w:szCs w:val="21"/>
                      <w:highlight w:val="none"/>
                    </w:rPr>
                    <w:t>大气环境总体准入要求</w:t>
                  </w:r>
                </w:p>
              </w:tc>
            </w:tr>
            <w:tr>
              <w:trPr>
                <w:trHeight w:val="397"/>
              </w:trPr>
              <w:tc>
                <w:tcPr>
                  <w:tcW w:w="572" w:type="pct"/>
                  <w:gridSpan w:val="2"/>
                  <w:tcBorders>
                    <w:tl2br w:val="nil"/>
                    <w:tr2bl w:val="nil"/>
                  </w:tcBorders>
                  <w:vAlign w:val="center"/>
                </w:tcPr>
                <w:p>
                  <w:pPr>
                    <w:adjustRightInd w:val="0"/>
                    <w:snapToGrid w:val="0"/>
                    <w:jc w:val="center"/>
                    <w:rPr>
                      <w:rFonts w:hint="eastAsia"/>
                      <w:color w:val="auto"/>
                      <w:szCs w:val="21"/>
                      <w:highlight w:val="none"/>
                    </w:rPr>
                  </w:pPr>
                  <w:r>
                    <w:rPr>
                      <w:rFonts w:hint="eastAsia"/>
                      <w:color w:val="auto"/>
                      <w:szCs w:val="21"/>
                      <w:highlight w:val="none"/>
                    </w:rPr>
                    <w:t>管控类型</w:t>
                  </w:r>
                </w:p>
              </w:tc>
              <w:tc>
                <w:tcPr>
                  <w:tcW w:w="2159" w:type="pct"/>
                  <w:gridSpan w:val="2"/>
                  <w:tcBorders>
                    <w:tl2br w:val="nil"/>
                    <w:tr2bl w:val="nil"/>
                  </w:tcBorders>
                  <w:vAlign w:val="center"/>
                </w:tcPr>
                <w:p>
                  <w:pPr>
                    <w:adjustRightInd w:val="0"/>
                    <w:snapToGrid w:val="0"/>
                    <w:jc w:val="center"/>
                    <w:rPr>
                      <w:color w:val="auto"/>
                      <w:szCs w:val="21"/>
                      <w:highlight w:val="none"/>
                    </w:rPr>
                  </w:pPr>
                  <w:r>
                    <w:rPr>
                      <w:rFonts w:hint="eastAsia"/>
                      <w:color w:val="auto"/>
                      <w:szCs w:val="21"/>
                      <w:highlight w:val="none"/>
                    </w:rPr>
                    <w:t>准入要求</w:t>
                  </w:r>
                </w:p>
              </w:tc>
              <w:tc>
                <w:tcPr>
                  <w:tcW w:w="1619" w:type="pct"/>
                  <w:tcBorders>
                    <w:tl2br w:val="nil"/>
                    <w:tr2bl w:val="nil"/>
                  </w:tcBorders>
                  <w:vAlign w:val="center"/>
                </w:tcPr>
                <w:p>
                  <w:pPr>
                    <w:adjustRightInd w:val="0"/>
                    <w:snapToGrid w:val="0"/>
                    <w:jc w:val="center"/>
                    <w:rPr>
                      <w:rFonts w:hint="eastAsia"/>
                      <w:color w:val="auto"/>
                      <w:szCs w:val="21"/>
                      <w:highlight w:val="none"/>
                    </w:rPr>
                  </w:pPr>
                  <w:r>
                    <w:rPr>
                      <w:rFonts w:hint="eastAsia"/>
                      <w:color w:val="auto"/>
                      <w:szCs w:val="21"/>
                      <w:highlight w:val="none"/>
                    </w:rPr>
                    <w:t>项目情况</w:t>
                  </w:r>
                </w:p>
              </w:tc>
              <w:tc>
                <w:tcPr>
                  <w:tcW w:w="648" w:type="pct"/>
                  <w:tcBorders>
                    <w:tl2br w:val="nil"/>
                    <w:tr2bl w:val="nil"/>
                  </w:tcBorders>
                  <w:vAlign w:val="center"/>
                </w:tcPr>
                <w:p>
                  <w:pPr>
                    <w:adjustRightInd w:val="0"/>
                    <w:snapToGrid w:val="0"/>
                    <w:jc w:val="center"/>
                    <w:rPr>
                      <w:rFonts w:hint="eastAsia"/>
                      <w:color w:val="auto"/>
                      <w:szCs w:val="21"/>
                      <w:highlight w:val="none"/>
                    </w:rPr>
                  </w:pPr>
                  <w:r>
                    <w:rPr>
                      <w:rFonts w:hint="eastAsia"/>
                      <w:color w:val="auto"/>
                      <w:szCs w:val="21"/>
                      <w:highlight w:val="none"/>
                    </w:rPr>
                    <w:t>是否符合相关要求</w:t>
                  </w:r>
                </w:p>
              </w:tc>
            </w:tr>
            <w:tr>
              <w:trPr>
                <w:trHeight w:val="397"/>
              </w:trPr>
              <w:tc>
                <w:tcPr>
                  <w:tcW w:w="572" w:type="pct"/>
                  <w:gridSpan w:val="2"/>
                  <w:tcBorders>
                    <w:tl2br w:val="nil"/>
                    <w:tr2bl w:val="nil"/>
                  </w:tcBorders>
                  <w:vAlign w:val="center"/>
                </w:tcPr>
                <w:p>
                  <w:pPr>
                    <w:rPr>
                      <w:rFonts w:hint="eastAsia"/>
                      <w:color w:val="auto"/>
                      <w:szCs w:val="21"/>
                      <w:highlight w:val="none"/>
                    </w:rPr>
                  </w:pPr>
                  <w:r>
                    <w:rPr>
                      <w:rFonts w:hint="eastAsia"/>
                      <w:color w:val="auto"/>
                      <w:szCs w:val="21"/>
                      <w:highlight w:val="none"/>
                    </w:rPr>
                    <w:t>空间布局约束</w:t>
                  </w:r>
                </w:p>
              </w:tc>
              <w:tc>
                <w:tcPr>
                  <w:tcW w:w="2159" w:type="pct"/>
                  <w:gridSpan w:val="2"/>
                  <w:tcBorders>
                    <w:tl2br w:val="nil"/>
                    <w:tr2bl w:val="nil"/>
                  </w:tcBorders>
                  <w:vAlign w:val="center"/>
                </w:tcPr>
                <w:p>
                  <w:pPr>
                    <w:rPr>
                      <w:rFonts w:hint="eastAsia"/>
                      <w:color w:val="auto"/>
                      <w:szCs w:val="21"/>
                      <w:highlight w:val="none"/>
                    </w:rPr>
                  </w:pPr>
                  <w:r>
                    <w:rPr>
                      <w:rFonts w:hint="eastAsia"/>
                      <w:color w:val="auto"/>
                      <w:szCs w:val="21"/>
                      <w:highlight w:val="none"/>
                    </w:rPr>
                    <w:t>1、加大钢铁、焦化等行业结构调整力度，推进化工、石化企业治理改造，优先发展战略</w:t>
                  </w:r>
                  <w:r>
                    <w:rPr>
                      <w:color w:val="auto"/>
                      <w:szCs w:val="21"/>
                      <w:highlight w:val="none"/>
                    </w:rPr>
                    <w:t>性</w:t>
                  </w:r>
                  <w:r>
                    <w:rPr>
                      <w:rFonts w:hint="eastAsia"/>
                      <w:color w:val="auto"/>
                      <w:szCs w:val="21"/>
                      <w:highlight w:val="none"/>
                    </w:rPr>
                    <w:t>新兴产业和先进制造业，坚决遏制高耗能高排放低水平项目盲目发展。</w:t>
                  </w:r>
                </w:p>
                <w:p>
                  <w:pPr>
                    <w:rPr>
                      <w:rFonts w:hint="eastAsia"/>
                      <w:color w:val="auto"/>
                      <w:szCs w:val="21"/>
                      <w:highlight w:val="none"/>
                    </w:rPr>
                  </w:pPr>
                  <w:r>
                    <w:rPr>
                      <w:rFonts w:hint="eastAsia"/>
                      <w:color w:val="auto"/>
                      <w:szCs w:val="21"/>
                      <w:highlight w:val="none"/>
                    </w:rPr>
                    <w:t>2、引导重点行业向环境容量充足、扩散条件较好区域布局。</w:t>
                  </w:r>
                </w:p>
                <w:p>
                  <w:pPr>
                    <w:rPr>
                      <w:rFonts w:hint="eastAsia"/>
                      <w:color w:val="auto"/>
                      <w:szCs w:val="21"/>
                      <w:highlight w:val="none"/>
                    </w:rPr>
                  </w:pPr>
                  <w:r>
                    <w:rPr>
                      <w:rFonts w:hint="eastAsia"/>
                      <w:color w:val="auto"/>
                      <w:szCs w:val="21"/>
                      <w:highlight w:val="none"/>
                    </w:rPr>
                    <w:t>3、大气环境受体敏感重点管控区、大气环境布局敏感重点管控区、大气环境弱扩散重点管控区严格控制高耗能、高排放项目建设。严禁新增钢铁、焦化、水泥、平板玻璃、电解铝等产能。</w:t>
                  </w:r>
                </w:p>
                <w:p>
                  <w:pPr>
                    <w:rPr>
                      <w:rFonts w:hint="eastAsia"/>
                      <w:color w:val="auto"/>
                      <w:szCs w:val="21"/>
                      <w:highlight w:val="none"/>
                    </w:rPr>
                  </w:pPr>
                  <w:r>
                    <w:rPr>
                      <w:rFonts w:hint="eastAsia"/>
                      <w:color w:val="auto"/>
                      <w:szCs w:val="21"/>
                      <w:highlight w:val="none"/>
                    </w:rPr>
                    <w:t>4、大气环境受体敏感重点管控区中重点涉气行业企业，除必须依托城市或直接服务于城市的企业外，均应规划退城搬迁。</w:t>
                  </w:r>
                </w:p>
                <w:p>
                  <w:pPr>
                    <w:rPr>
                      <w:rFonts w:hint="eastAsia"/>
                      <w:color w:val="auto"/>
                      <w:szCs w:val="21"/>
                      <w:highlight w:val="none"/>
                    </w:rPr>
                  </w:pPr>
                  <w:r>
                    <w:rPr>
                      <w:rFonts w:hint="eastAsia"/>
                      <w:color w:val="auto"/>
                      <w:szCs w:val="21"/>
                      <w:highlight w:val="none"/>
                    </w:rPr>
                    <w:t>5、大气环境弱扩散重点管控区内严格控制新建、扩建燃煤火电、钢铁，以及除国家、省、市规划外的石化等高污染高排放项目。</w:t>
                  </w:r>
                </w:p>
                <w:p>
                  <w:pPr>
                    <w:rPr>
                      <w:rFonts w:hint="eastAsia"/>
                      <w:color w:val="auto"/>
                      <w:szCs w:val="21"/>
                      <w:highlight w:val="none"/>
                    </w:rPr>
                  </w:pPr>
                  <w:r>
                    <w:rPr>
                      <w:rFonts w:hint="eastAsia"/>
                      <w:color w:val="auto"/>
                      <w:szCs w:val="21"/>
                      <w:highlight w:val="none"/>
                    </w:rPr>
                    <w:t>6、对热效率低下、敞开未封闭，装备简易落后、自动化程度低，布局分散、规模小、无组织排放突出，以及无治理设施或治理设施工艺落后的工业炉窑，依法责令停业关闭。</w:t>
                  </w:r>
                </w:p>
                <w:p>
                  <w:pPr>
                    <w:rPr>
                      <w:rFonts w:hint="eastAsia"/>
                      <w:color w:val="auto"/>
                      <w:szCs w:val="21"/>
                      <w:highlight w:val="none"/>
                    </w:rPr>
                  </w:pPr>
                  <w:r>
                    <w:rPr>
                      <w:rFonts w:hint="eastAsia"/>
                      <w:color w:val="auto"/>
                      <w:szCs w:val="21"/>
                      <w:highlight w:val="none"/>
                    </w:rPr>
                    <w:t>7、全市禁止新建35蒸吨/小时及以下燃煤锅炉，35蒸吨/小时以上燃煤锅炉要达到超低排放标准。城市主城区和县城禁止新建35蒸吨/小时及以下生物质和燃油（醇基燃料）锅炉，35蒸吨/小时以上的燃油和生物质锅炉要达到超低排放标准。</w:t>
                  </w:r>
                </w:p>
                <w:p>
                  <w:pPr>
                    <w:rPr>
                      <w:rFonts w:hint="eastAsia"/>
                      <w:color w:val="auto"/>
                      <w:szCs w:val="21"/>
                      <w:highlight w:val="none"/>
                    </w:rPr>
                  </w:pPr>
                  <w:r>
                    <w:rPr>
                      <w:rFonts w:hint="eastAsia"/>
                      <w:color w:val="auto"/>
                      <w:szCs w:val="21"/>
                      <w:highlight w:val="none"/>
                    </w:rPr>
                    <w:t>8、禁燃区内不得新建、扩建燃烧煤炭、重油、渣油等高污染燃料的设施；现有未改用清洁能源替代的高污染燃料设施，应当配套建设先进工艺的脱硫、脱硝、除尘装置或者采取其他措施，控制二氧化硫、氮氧化物和烟尘等排放；仍未达到大气污染物排放标准的，应当停止使用。禁燃区内禁止原煤散烧。禁止销售、使用高污染燃料。</w:t>
                  </w:r>
                </w:p>
              </w:tc>
              <w:tc>
                <w:tcPr>
                  <w:tcW w:w="1619" w:type="pct"/>
                  <w:tcBorders>
                    <w:tl2br w:val="nil"/>
                    <w:tr2bl w:val="nil"/>
                  </w:tcBorders>
                  <w:vAlign w:val="center"/>
                </w:tcPr>
                <w:p>
                  <w:pPr>
                    <w:rPr>
                      <w:rFonts w:hint="eastAsia"/>
                      <w:color w:val="auto"/>
                      <w:szCs w:val="21"/>
                      <w:highlight w:val="none"/>
                    </w:rPr>
                  </w:pPr>
                  <w:r>
                    <w:rPr>
                      <w:rFonts w:hint="eastAsia"/>
                      <w:color w:val="auto"/>
                      <w:szCs w:val="21"/>
                      <w:highlight w:val="none"/>
                    </w:rPr>
                    <w:t>1.项目不属于钢铁、焦化等行业，不属于高耗能高排放低水平项目；</w:t>
                  </w:r>
                </w:p>
                <w:p>
                  <w:pPr>
                    <w:rPr>
                      <w:rFonts w:hint="eastAsia"/>
                      <w:color w:val="auto"/>
                      <w:szCs w:val="21"/>
                      <w:highlight w:val="none"/>
                    </w:rPr>
                  </w:pPr>
                  <w:r>
                    <w:rPr>
                      <w:rFonts w:hint="eastAsia"/>
                      <w:color w:val="auto"/>
                      <w:szCs w:val="21"/>
                      <w:highlight w:val="none"/>
                    </w:rPr>
                    <w:t>2.项目不属于重点行业。</w:t>
                  </w:r>
                </w:p>
                <w:p>
                  <w:pPr>
                    <w:rPr>
                      <w:rFonts w:hint="eastAsia"/>
                      <w:color w:val="auto"/>
                      <w:szCs w:val="21"/>
                      <w:highlight w:val="none"/>
                    </w:rPr>
                  </w:pPr>
                  <w:r>
                    <w:rPr>
                      <w:rFonts w:hint="eastAsia"/>
                      <w:color w:val="auto"/>
                      <w:szCs w:val="21"/>
                      <w:highlight w:val="none"/>
                    </w:rPr>
                    <w:t>3.项目不属于高耗能、高排放项目，不属于钢铁、焦化、水泥、平板玻璃、电解铝等新增产能项目。</w:t>
                  </w:r>
                </w:p>
                <w:p>
                  <w:pPr>
                    <w:rPr>
                      <w:rFonts w:hint="eastAsia"/>
                      <w:color w:val="auto"/>
                      <w:szCs w:val="21"/>
                      <w:highlight w:val="none"/>
                    </w:rPr>
                  </w:pPr>
                  <w:r>
                    <w:rPr>
                      <w:rFonts w:hint="eastAsia"/>
                      <w:color w:val="auto"/>
                      <w:szCs w:val="21"/>
                      <w:highlight w:val="none"/>
                    </w:rPr>
                    <w:t>4.项</w:t>
                  </w:r>
                  <w:r>
                    <w:rPr>
                      <w:rFonts w:ascii="Times New Roman" w:eastAsia="宋体" w:cs="Times New Roman" w:hAnsi="Times New Roman" w:hint="eastAsia"/>
                      <w:color w:val="auto"/>
                      <w:szCs w:val="21"/>
                      <w:highlight w:val="none"/>
                    </w:rPr>
                    <w:t>目位于</w:t>
                  </w:r>
                  <w:r>
                    <w:rPr>
                      <w:rFonts w:cs="Times New Roman" w:hint="eastAsia"/>
                      <w:color w:val="auto"/>
                      <w:szCs w:val="21"/>
                      <w:lang w:eastAsia="zh-CN"/>
                      <w:highlight w:val="none"/>
                    </w:rPr>
                    <w:t>石家庄市栾城区装备制造基地楼底镇段家营村裕翔街168号103厂房（南）</w:t>
                  </w:r>
                  <w:r>
                    <w:rPr>
                      <w:rFonts w:ascii="Times New Roman" w:eastAsia="宋体" w:cs="Times New Roman" w:hAnsi="Times New Roman" w:hint="eastAsia"/>
                      <w:color w:val="auto"/>
                      <w:szCs w:val="21"/>
                      <w:highlight w:val="none"/>
                    </w:rPr>
                    <w:t>，不在城区范围内。</w:t>
                  </w:r>
                </w:p>
                <w:p>
                  <w:pPr>
                    <w:rPr>
                      <w:rFonts w:hint="eastAsia"/>
                      <w:color w:val="auto"/>
                      <w:szCs w:val="21"/>
                      <w:highlight w:val="none"/>
                    </w:rPr>
                  </w:pPr>
                  <w:r>
                    <w:rPr>
                      <w:rFonts w:hint="eastAsia"/>
                      <w:color w:val="auto"/>
                      <w:szCs w:val="21"/>
                      <w:highlight w:val="none"/>
                    </w:rPr>
                    <w:t>5.项目不属于新建、扩建燃煤火电、钢铁，以及除国家、省、市规划外的石化等高污染高排放项目。</w:t>
                  </w:r>
                </w:p>
                <w:p>
                  <w:pPr>
                    <w:rPr>
                      <w:rFonts w:hint="eastAsia"/>
                      <w:color w:val="auto"/>
                      <w:szCs w:val="21"/>
                      <w:highlight w:val="none"/>
                    </w:rPr>
                  </w:pPr>
                  <w:r>
                    <w:rPr>
                      <w:rFonts w:hint="eastAsia"/>
                      <w:color w:val="auto"/>
                      <w:szCs w:val="21"/>
                      <w:highlight w:val="none"/>
                    </w:rPr>
                    <w:t>6.项目不涉及工业炉窑。</w:t>
                  </w:r>
                </w:p>
                <w:p>
                  <w:pPr>
                    <w:rPr>
                      <w:rFonts w:hint="eastAsia"/>
                      <w:color w:val="auto"/>
                      <w:szCs w:val="21"/>
                      <w:highlight w:val="none"/>
                    </w:rPr>
                  </w:pPr>
                  <w:r>
                    <w:rPr>
                      <w:rFonts w:hint="eastAsia"/>
                      <w:color w:val="auto"/>
                      <w:szCs w:val="21"/>
                      <w:highlight w:val="none"/>
                    </w:rPr>
                    <w:t>7.项目不涉及锅炉使用。</w:t>
                  </w:r>
                </w:p>
                <w:p>
                  <w:pPr>
                    <w:rPr>
                      <w:color w:val="auto"/>
                      <w:highlight w:val="none"/>
                    </w:rPr>
                  </w:pPr>
                  <w:r>
                    <w:rPr>
                      <w:rFonts w:hint="eastAsia"/>
                      <w:color w:val="auto"/>
                      <w:szCs w:val="21"/>
                      <w:highlight w:val="none"/>
                    </w:rPr>
                    <w:t>8.项目不涉及煤炭、重油、渣油等高污染燃料的使用，项目生产均采用电能，不涉及二氧化硫、氮氧化物的排放。</w:t>
                  </w:r>
                </w:p>
              </w:tc>
              <w:tc>
                <w:tcPr>
                  <w:tcW w:w="648" w:type="pct"/>
                  <w:tcBorders>
                    <w:tl2br w:val="nil"/>
                    <w:tr2bl w:val="nil"/>
                  </w:tcBorders>
                  <w:vAlign w:val="center"/>
                </w:tcPr>
                <w:p>
                  <w:pPr>
                    <w:adjustRightInd w:val="0"/>
                    <w:snapToGrid w:val="0"/>
                    <w:jc w:val="center"/>
                    <w:rPr>
                      <w:rFonts w:hint="eastAsia"/>
                      <w:color w:val="auto"/>
                      <w:szCs w:val="21"/>
                      <w:highlight w:val="none"/>
                    </w:rPr>
                  </w:pPr>
                  <w:r>
                    <w:rPr>
                      <w:rFonts w:hint="eastAsia"/>
                      <w:color w:val="auto"/>
                      <w:szCs w:val="21"/>
                      <w:highlight w:val="none"/>
                    </w:rPr>
                    <w:t>是</w:t>
                  </w:r>
                </w:p>
              </w:tc>
            </w:tr>
            <w:tr>
              <w:trPr>
                <w:trHeight w:val="397"/>
              </w:trPr>
              <w:tc>
                <w:tcPr>
                  <w:tcW w:w="572" w:type="pct"/>
                  <w:gridSpan w:val="2"/>
                  <w:tcBorders>
                    <w:tl2br w:val="nil"/>
                    <w:tr2bl w:val="nil"/>
                  </w:tcBorders>
                  <w:vAlign w:val="center"/>
                </w:tcPr>
                <w:p>
                  <w:pPr>
                    <w:jc w:val="center"/>
                    <w:rPr>
                      <w:rFonts w:hint="eastAsia"/>
                      <w:color w:val="auto"/>
                      <w:szCs w:val="21"/>
                      <w:highlight w:val="none"/>
                    </w:rPr>
                  </w:pPr>
                  <w:r>
                    <w:rPr>
                      <w:rFonts w:hint="eastAsia"/>
                      <w:color w:val="auto"/>
                      <w:szCs w:val="21"/>
                      <w:highlight w:val="none"/>
                    </w:rPr>
                    <w:t>污染物排放管控</w:t>
                  </w:r>
                </w:p>
              </w:tc>
              <w:tc>
                <w:tcPr>
                  <w:tcW w:w="2159" w:type="pct"/>
                  <w:gridSpan w:val="2"/>
                  <w:tcBorders>
                    <w:tl2br w:val="nil"/>
                    <w:tr2bl w:val="nil"/>
                  </w:tcBorders>
                  <w:vAlign w:val="center"/>
                </w:tcPr>
                <w:p>
                  <w:pPr>
                    <w:rPr>
                      <w:rFonts w:hint="eastAsia"/>
                      <w:color w:val="auto"/>
                      <w:szCs w:val="21"/>
                      <w:highlight w:val="none"/>
                    </w:rPr>
                  </w:pPr>
                  <w:r>
                    <w:rPr>
                      <w:rFonts w:hint="eastAsia"/>
                      <w:color w:val="auto"/>
                      <w:szCs w:val="21"/>
                      <w:highlight w:val="none"/>
                    </w:rPr>
                    <w:t>1、严格区域削减要求。严格执行《生态环境部办公厅关于加强重点行业建设项目区域削减措施监督管理的通知》（环办环评〔2020〕36号）相关要求。</w:t>
                  </w:r>
                </w:p>
                <w:p>
                  <w:pPr>
                    <w:rPr>
                      <w:rFonts w:hint="eastAsia"/>
                      <w:color w:val="auto"/>
                      <w:szCs w:val="21"/>
                      <w:highlight w:val="none"/>
                    </w:rPr>
                  </w:pPr>
                  <w:r>
                    <w:rPr>
                      <w:rFonts w:hint="eastAsia"/>
                      <w:color w:val="auto"/>
                      <w:szCs w:val="21"/>
                      <w:highlight w:val="none"/>
                    </w:rPr>
                    <w:t>2、对保留的工业炉窑开展环保提标改造，配套建设高效脱硫脱硝除尘设施，确保稳定达标排放，按照《河北省工业炉窑综合治理实施方案》执行。</w:t>
                  </w:r>
                </w:p>
                <w:p>
                  <w:pPr>
                    <w:rPr>
                      <w:rFonts w:hint="eastAsia"/>
                      <w:color w:val="auto"/>
                      <w:szCs w:val="21"/>
                      <w:highlight w:val="none"/>
                    </w:rPr>
                  </w:pPr>
                  <w:r>
                    <w:rPr>
                      <w:rFonts w:hint="eastAsia"/>
                      <w:color w:val="auto"/>
                      <w:szCs w:val="21"/>
                      <w:highlight w:val="none"/>
                    </w:rPr>
                    <w:t>3、按照《低挥发性有机化合物含量涂料产品技术要求》</w:t>
                  </w:r>
                  <w:r>
                    <w:rPr>
                      <w:rFonts w:hint="eastAsia"/>
                      <w:color w:val="auto"/>
                      <w:szCs w:val="21"/>
                      <w:lang w:eastAsia="zh-CN"/>
                      <w:highlight w:val="none"/>
                    </w:rPr>
                    <w:t>（</w:t>
                  </w:r>
                  <w:r>
                    <w:rPr>
                      <w:rFonts w:hint="eastAsia"/>
                      <w:color w:val="auto"/>
                      <w:szCs w:val="21"/>
                      <w:highlight w:val="none"/>
                    </w:rPr>
                    <w:t>GB/T 38597-2020），开展低挥发性有机物含量涂料推广替代试点工作，加快推进党政机关单位定点印刷企业率先使用水性油墨、大豆油墨等低挥发性有机物含量油墨和胶粘剂。</w:t>
                  </w:r>
                </w:p>
                <w:p>
                  <w:pPr>
                    <w:rPr>
                      <w:rFonts w:hint="eastAsia"/>
                      <w:color w:val="auto"/>
                      <w:szCs w:val="21"/>
                      <w:highlight w:val="none"/>
                    </w:rPr>
                  </w:pPr>
                  <w:r>
                    <w:rPr>
                      <w:rFonts w:hint="eastAsia"/>
                      <w:color w:val="auto"/>
                      <w:szCs w:val="21"/>
                      <w:highlight w:val="none"/>
                    </w:rPr>
                    <w:t>4、加强无组织排放治理，开展钢铁、水泥、燃煤电厂、焦化平板玻璃、陶瓷等行业重点行业无组织排放检查工作，物料存储运输等全部采用密闭或封闭形式。</w:t>
                  </w:r>
                </w:p>
                <w:p>
                  <w:pPr>
                    <w:rPr>
                      <w:rFonts w:hint="eastAsia"/>
                      <w:color w:val="auto"/>
                      <w:szCs w:val="21"/>
                      <w:highlight w:val="none"/>
                    </w:rPr>
                  </w:pPr>
                  <w:r>
                    <w:rPr>
                      <w:rFonts w:hint="eastAsia"/>
                      <w:color w:val="auto"/>
                      <w:szCs w:val="21"/>
                      <w:highlight w:val="none"/>
                    </w:rPr>
                    <w:t>5、加快推进铁路专用线建设，大宗货物及产品年货运量150万吨以上的企业原则上全部修建铁路专用线，达不到的采用清洁能源汽车或国六排放标准汽车代替。</w:t>
                  </w:r>
                </w:p>
                <w:p>
                  <w:pPr>
                    <w:rPr>
                      <w:rFonts w:hint="eastAsia"/>
                      <w:color w:val="auto"/>
                      <w:szCs w:val="21"/>
                      <w:highlight w:val="none"/>
                    </w:rPr>
                  </w:pPr>
                  <w:r>
                    <w:rPr>
                      <w:rFonts w:hint="eastAsia"/>
                      <w:color w:val="auto"/>
                      <w:szCs w:val="21"/>
                      <w:highlight w:val="none"/>
                    </w:rPr>
                    <w:t>6、深化建筑施工扬尘专项整治，严格执行《石家庄市建设工程围挡设置和扬尘管理标准》加强道路扬尘综合整治。全市工业企业料堆场全部实现规范管理；对环境敏感区的煤场、料场、渣场实现在线监控和视频监控全覆盖。</w:t>
                  </w:r>
                </w:p>
                <w:p>
                  <w:pPr>
                    <w:rPr>
                      <w:rFonts w:hint="eastAsia"/>
                      <w:color w:val="auto"/>
                      <w:szCs w:val="21"/>
                      <w:highlight w:val="none"/>
                    </w:rPr>
                  </w:pPr>
                  <w:r>
                    <w:rPr>
                      <w:rFonts w:hint="eastAsia"/>
                      <w:color w:val="auto"/>
                      <w:szCs w:val="21"/>
                      <w:highlight w:val="none"/>
                    </w:rPr>
                    <w:t>7、严禁秸秆、垃圾露天焚烧，实施农村地区的散煤替代及清洁开发利用工程。</w:t>
                  </w:r>
                </w:p>
                <w:p>
                  <w:pPr>
                    <w:rPr>
                      <w:rFonts w:hint="eastAsia"/>
                      <w:color w:val="auto"/>
                      <w:szCs w:val="21"/>
                      <w:highlight w:val="none"/>
                    </w:rPr>
                  </w:pPr>
                  <w:r>
                    <w:rPr>
                      <w:rFonts w:hint="eastAsia"/>
                      <w:color w:val="auto"/>
                      <w:szCs w:val="21"/>
                      <w:highlight w:val="none"/>
                    </w:rPr>
                    <w:t>8、巩固钢铁、焦化、煤电、水泥、平板玻璃、陶瓷等行业超低排放成效，实施工艺全流程深度治理，全面加强无组织排放管控。</w:t>
                  </w:r>
                </w:p>
                <w:p>
                  <w:pPr>
                    <w:rPr>
                      <w:rFonts w:hint="eastAsia"/>
                      <w:color w:val="auto"/>
                      <w:szCs w:val="21"/>
                      <w:highlight w:val="none"/>
                    </w:rPr>
                  </w:pPr>
                  <w:r>
                    <w:rPr>
                      <w:rFonts w:hint="eastAsia"/>
                      <w:color w:val="auto"/>
                      <w:szCs w:val="21"/>
                      <w:highlight w:val="none"/>
                    </w:rPr>
                    <w:t>9、对以煤、石油焦、重油等为燃料的工业炉窑，加快使用清洁低碳能源以及利用工厂余热、电厂热力等进行替代，全市禁止掺烧高硫石油焦（硫含量大于3%）。玻璃行业全面禁止掺烧高硫石油焦。</w:t>
                  </w:r>
                </w:p>
              </w:tc>
              <w:tc>
                <w:tcPr>
                  <w:tcW w:w="1619" w:type="pct"/>
                  <w:tcBorders>
                    <w:tl2br w:val="nil"/>
                    <w:tr2bl w:val="nil"/>
                  </w:tcBorders>
                  <w:vAlign w:val="center"/>
                </w:tcPr>
                <w:p>
                  <w:pPr>
                    <w:rPr>
                      <w:rFonts w:hint="eastAsia"/>
                      <w:color w:val="auto"/>
                      <w:szCs w:val="21"/>
                      <w:highlight w:val="none"/>
                    </w:rPr>
                  </w:pPr>
                  <w:r>
                    <w:rPr>
                      <w:rFonts w:hint="eastAsia"/>
                      <w:color w:val="auto"/>
                      <w:szCs w:val="21"/>
                      <w:highlight w:val="none"/>
                    </w:rPr>
                    <w:t>1.项目不涉及二氧化硫及氮氧化物的排放</w:t>
                  </w:r>
                  <w:r>
                    <w:rPr>
                      <w:rFonts w:ascii="Times New Roman" w:eastAsia="宋体" w:cs="Times New Roman" w:hAnsi="Times New Roman" w:hint="eastAsia"/>
                      <w:color w:val="auto"/>
                      <w:kern w:val="2"/>
                      <w:sz w:val="21"/>
                      <w:szCs w:val="21"/>
                      <w:lang w:val="en-US" w:eastAsia="zh-CN" w:bidi="ar-SA"/>
                      <w:highlight w:val="none"/>
                    </w:rPr>
                    <w:t>。</w:t>
                  </w:r>
                </w:p>
                <w:p>
                  <w:pPr>
                    <w:rPr>
                      <w:color w:val="auto"/>
                      <w:szCs w:val="21"/>
                      <w:highlight w:val="none"/>
                    </w:rPr>
                  </w:pPr>
                  <w:r>
                    <w:rPr>
                      <w:rFonts w:hint="eastAsia"/>
                      <w:color w:val="auto"/>
                      <w:szCs w:val="21"/>
                      <w:highlight w:val="none"/>
                    </w:rPr>
                    <w:t>2.项目不涉及工业炉窑使用。</w:t>
                  </w:r>
                </w:p>
                <w:p>
                  <w:pPr>
                    <w:rPr>
                      <w:rFonts w:hint="eastAsia"/>
                      <w:color w:val="auto"/>
                      <w:szCs w:val="21"/>
                      <w:highlight w:val="none"/>
                    </w:rPr>
                  </w:pPr>
                  <w:r>
                    <w:rPr>
                      <w:rFonts w:hint="eastAsia"/>
                      <w:color w:val="auto"/>
                      <w:szCs w:val="21"/>
                      <w:highlight w:val="none"/>
                    </w:rPr>
                    <w:t>3.</w:t>
                  </w:r>
                  <w:r>
                    <w:rPr>
                      <w:rFonts w:hint="eastAsia"/>
                      <w:color w:val="auto"/>
                      <w:szCs w:val="21"/>
                      <w:lang w:eastAsia="zh-CN"/>
                      <w:highlight w:val="none"/>
                    </w:rPr>
                    <w:t>不涉及</w:t>
                  </w:r>
                  <w:r>
                    <w:rPr>
                      <w:rFonts w:hint="eastAsia"/>
                      <w:color w:val="auto"/>
                      <w:szCs w:val="21"/>
                      <w:highlight w:val="none"/>
                    </w:rPr>
                    <w:t>。</w:t>
                  </w:r>
                </w:p>
                <w:p>
                  <w:pPr>
                    <w:rPr>
                      <w:rFonts w:hint="eastAsia"/>
                      <w:color w:val="auto"/>
                      <w:szCs w:val="21"/>
                      <w:highlight w:val="none"/>
                    </w:rPr>
                  </w:pPr>
                  <w:r>
                    <w:rPr>
                      <w:rFonts w:hint="eastAsia"/>
                      <w:color w:val="auto"/>
                      <w:szCs w:val="21"/>
                      <w:highlight w:val="none"/>
                    </w:rPr>
                    <w:t>5.项目物料均采用清洁能源汽车或国六汽车进行运输。</w:t>
                  </w:r>
                </w:p>
                <w:p>
                  <w:pPr>
                    <w:rPr>
                      <w:color w:val="auto"/>
                      <w:szCs w:val="21"/>
                      <w:highlight w:val="none"/>
                    </w:rPr>
                  </w:pPr>
                  <w:r>
                    <w:rPr>
                      <w:rFonts w:hint="eastAsia"/>
                      <w:color w:val="auto"/>
                      <w:szCs w:val="21"/>
                      <w:highlight w:val="none"/>
                    </w:rPr>
                    <w:t>6.</w:t>
                  </w:r>
                  <w:r>
                    <w:rPr>
                      <w:rFonts w:hint="eastAsia"/>
                      <w:color w:val="auto"/>
                      <w:szCs w:val="21"/>
                      <w:lang w:val="zh-CN"/>
                      <w:highlight w:val="none"/>
                    </w:rPr>
                    <w:t>项目</w:t>
                  </w:r>
                  <w:r>
                    <w:rPr>
                      <w:rFonts w:hint="eastAsia"/>
                      <w:color w:val="auto"/>
                      <w:szCs w:val="21"/>
                      <w:highlight w:val="none"/>
                    </w:rPr>
                    <w:t>在现有车间进行生</w:t>
                  </w:r>
                  <w:r>
                    <w:rPr>
                      <w:rFonts w:eastAsia="宋体" w:hint="eastAsia"/>
                      <w:color w:val="auto"/>
                      <w:szCs w:val="21"/>
                      <w:lang w:val="zh-CN"/>
                      <w:highlight w:val="none"/>
                    </w:rPr>
                    <w:t>产，</w:t>
                  </w:r>
                  <w:r>
                    <w:rPr>
                      <w:rFonts w:eastAsia="宋体" w:hint="eastAsia"/>
                      <w:color w:val="auto"/>
                      <w:szCs w:val="21"/>
                      <w:lang w:val="en-US" w:eastAsia="zh-CN"/>
                      <w:highlight w:val="none"/>
                    </w:rPr>
                    <w:t>施工废气</w:t>
                  </w:r>
                  <w:r>
                    <w:rPr>
                      <w:rFonts w:eastAsia="宋体" w:hint="eastAsia"/>
                      <w:color w:val="auto"/>
                      <w:szCs w:val="21"/>
                      <w:lang w:val="zh-CN" w:eastAsia="zh-CN"/>
                      <w:highlight w:val="none"/>
                    </w:rPr>
                    <w:t>通过采取措施可最大限度的降低施工扬尘对周围环境的影响，随着施工期的结束，施工扬尘影响也将结束</w:t>
                  </w:r>
                  <w:r>
                    <w:rPr>
                      <w:rFonts w:eastAsia="宋体" w:hint="eastAsia"/>
                      <w:color w:val="auto"/>
                      <w:szCs w:val="21"/>
                      <w:lang w:val="zh-CN"/>
                      <w:highlight w:val="none"/>
                    </w:rPr>
                    <w:t>。</w:t>
                  </w:r>
                </w:p>
                <w:p>
                  <w:pPr>
                    <w:rPr>
                      <w:rFonts w:hint="eastAsia"/>
                      <w:color w:val="auto"/>
                      <w:szCs w:val="21"/>
                      <w:highlight w:val="none"/>
                    </w:rPr>
                  </w:pPr>
                  <w:r>
                    <w:rPr>
                      <w:rFonts w:hint="eastAsia"/>
                      <w:color w:val="auto"/>
                      <w:szCs w:val="21"/>
                      <w:highlight w:val="none"/>
                    </w:rPr>
                    <w:t>7.项目不涉及散煤使用，不涉及秸秆、垃圾露天焚烧。</w:t>
                  </w:r>
                </w:p>
                <w:p>
                  <w:pPr>
                    <w:rPr>
                      <w:rFonts w:hint="eastAsia"/>
                      <w:color w:val="auto"/>
                      <w:szCs w:val="21"/>
                      <w:highlight w:val="none"/>
                    </w:rPr>
                  </w:pPr>
                  <w:r>
                    <w:rPr>
                      <w:rFonts w:hint="eastAsia"/>
                      <w:color w:val="auto"/>
                      <w:szCs w:val="21"/>
                      <w:highlight w:val="none"/>
                    </w:rPr>
                    <w:t>8.项目不属于钢铁、焦化、煤电、水泥、平板玻璃、陶瓷等行业，产生的污染物经采取措施后达标排放。</w:t>
                  </w:r>
                </w:p>
                <w:p>
                  <w:pPr>
                    <w:rPr>
                      <w:color w:val="auto"/>
                      <w:szCs w:val="21"/>
                      <w:highlight w:val="none"/>
                    </w:rPr>
                  </w:pPr>
                  <w:r>
                    <w:rPr>
                      <w:rFonts w:hint="eastAsia"/>
                      <w:color w:val="auto"/>
                      <w:szCs w:val="21"/>
                      <w:highlight w:val="none"/>
                    </w:rPr>
                    <w:t>9.项目不涉及煤、石油焦、重油等为燃料的使用，不涉及工业炉窑使用。</w:t>
                  </w:r>
                </w:p>
              </w:tc>
              <w:tc>
                <w:tcPr>
                  <w:tcW w:w="648" w:type="pct"/>
                  <w:tcBorders>
                    <w:tl2br w:val="nil"/>
                    <w:tr2bl w:val="nil"/>
                  </w:tcBorders>
                  <w:vAlign w:val="center"/>
                </w:tcPr>
                <w:p>
                  <w:pPr>
                    <w:adjustRightInd w:val="0"/>
                    <w:snapToGrid w:val="0"/>
                    <w:jc w:val="center"/>
                    <w:rPr>
                      <w:color w:val="auto"/>
                      <w:szCs w:val="21"/>
                      <w:highlight w:val="none"/>
                    </w:rPr>
                  </w:pPr>
                  <w:r>
                    <w:rPr>
                      <w:rFonts w:hint="eastAsia"/>
                      <w:color w:val="auto"/>
                      <w:szCs w:val="21"/>
                      <w:highlight w:val="none"/>
                    </w:rPr>
                    <w:t>是</w:t>
                  </w:r>
                </w:p>
              </w:tc>
            </w:tr>
            <w:tr>
              <w:trPr>
                <w:trHeight w:val="397"/>
              </w:trPr>
              <w:tc>
                <w:tcPr>
                  <w:tcW w:w="572" w:type="pct"/>
                  <w:gridSpan w:val="2"/>
                  <w:tcBorders>
                    <w:tl2br w:val="nil"/>
                    <w:tr2bl w:val="nil"/>
                  </w:tcBorders>
                  <w:vAlign w:val="center"/>
                </w:tcPr>
                <w:p>
                  <w:pPr>
                    <w:jc w:val="center"/>
                    <w:rPr>
                      <w:rFonts w:hint="eastAsia"/>
                      <w:color w:val="auto"/>
                      <w:szCs w:val="21"/>
                      <w:highlight w:val="none"/>
                    </w:rPr>
                  </w:pPr>
                  <w:r>
                    <w:rPr>
                      <w:rFonts w:hint="eastAsia"/>
                      <w:color w:val="auto"/>
                      <w:szCs w:val="21"/>
                      <w:highlight w:val="none"/>
                    </w:rPr>
                    <w:t>环境风险防控</w:t>
                  </w:r>
                </w:p>
              </w:tc>
              <w:tc>
                <w:tcPr>
                  <w:tcW w:w="2159" w:type="pct"/>
                  <w:gridSpan w:val="2"/>
                  <w:tcBorders>
                    <w:tl2br w:val="nil"/>
                    <w:tr2bl w:val="nil"/>
                  </w:tcBorders>
                  <w:vAlign w:val="center"/>
                </w:tcPr>
                <w:p>
                  <w:pPr>
                    <w:rPr>
                      <w:rFonts w:hint="eastAsia"/>
                      <w:color w:val="auto"/>
                      <w:szCs w:val="21"/>
                      <w:highlight w:val="none"/>
                    </w:rPr>
                  </w:pPr>
                  <w:r>
                    <w:rPr>
                      <w:rFonts w:hint="eastAsia"/>
                      <w:color w:val="auto"/>
                      <w:szCs w:val="21"/>
                      <w:highlight w:val="none"/>
                    </w:rPr>
                    <w:t>强化源头准入，落实国家重点管控新污染物清单及其禁止、限制、限排措施。对使用有毒有害化学物质或在生产过程中排放新污染物的企业，依法实施强制性清洁生产审核。强化石油化工、涂料、纺织印染、橡胶、农药、医药等行业新污染物环境风险管控。</w:t>
                  </w:r>
                </w:p>
              </w:tc>
              <w:tc>
                <w:tcPr>
                  <w:tcW w:w="1619" w:type="pct"/>
                  <w:tcBorders>
                    <w:tl2br w:val="nil"/>
                    <w:tr2bl w:val="nil"/>
                  </w:tcBorders>
                  <w:vAlign w:val="center"/>
                </w:tcPr>
                <w:p>
                  <w:pPr>
                    <w:rPr>
                      <w:rFonts w:hint="eastAsia"/>
                      <w:color w:val="auto"/>
                      <w:szCs w:val="21"/>
                      <w:highlight w:val="none"/>
                    </w:rPr>
                  </w:pPr>
                  <w:r>
                    <w:rPr>
                      <w:rFonts w:hint="eastAsia"/>
                      <w:color w:val="auto"/>
                      <w:szCs w:val="21"/>
                      <w:highlight w:val="none"/>
                    </w:rPr>
                    <w:t>项目不涉及有毒有害化学物质使用，不属于石油化工、涂料、纺织印染、橡胶、农药、医药等行业新污染物环境风险管控，项目要求待企业取得批复后，根据要求，成立应急组织机构，定期开展应急演练。</w:t>
                  </w:r>
                </w:p>
              </w:tc>
              <w:tc>
                <w:tcPr>
                  <w:tcW w:w="648" w:type="pct"/>
                  <w:tcBorders>
                    <w:tl2br w:val="nil"/>
                    <w:tr2bl w:val="nil"/>
                  </w:tcBorders>
                  <w:vAlign w:val="center"/>
                </w:tcPr>
                <w:p>
                  <w:pPr>
                    <w:jc w:val="center"/>
                    <w:rPr>
                      <w:rFonts w:hint="eastAsia"/>
                      <w:color w:val="auto"/>
                      <w:szCs w:val="21"/>
                      <w:highlight w:val="none"/>
                    </w:rPr>
                  </w:pPr>
                  <w:r>
                    <w:rPr>
                      <w:rFonts w:hint="eastAsia"/>
                      <w:color w:val="auto"/>
                      <w:szCs w:val="21"/>
                      <w:highlight w:val="none"/>
                    </w:rPr>
                    <w:t>是</w:t>
                  </w:r>
                </w:p>
              </w:tc>
            </w:tr>
            <w:tr>
              <w:trPr>
                <w:trHeight w:val="397"/>
              </w:trPr>
              <w:tc>
                <w:tcPr>
                  <w:tcW w:w="5000" w:type="pct"/>
                  <w:gridSpan w:val="6"/>
                  <w:tcBorders>
                    <w:tl2br w:val="nil"/>
                    <w:tr2bl w:val="nil"/>
                  </w:tcBorders>
                  <w:vAlign w:val="center"/>
                </w:tcPr>
                <w:p>
                  <w:pPr>
                    <w:adjustRightInd w:val="0"/>
                    <w:snapToGrid w:val="0"/>
                    <w:jc w:val="center"/>
                    <w:rPr>
                      <w:rFonts w:hint="eastAsia"/>
                      <w:color w:val="auto"/>
                      <w:szCs w:val="21"/>
                      <w:highlight w:val="none"/>
                    </w:rPr>
                  </w:pPr>
                  <w:r>
                    <w:rPr>
                      <w:rFonts w:hint="eastAsia"/>
                      <w:b/>
                      <w:bCs/>
                      <w:color w:val="auto"/>
                      <w:szCs w:val="21"/>
                      <w:highlight w:val="none"/>
                    </w:rPr>
                    <w:t>全市土壤环境总体管控要求</w:t>
                  </w:r>
                </w:p>
              </w:tc>
            </w:tr>
            <w:tr>
              <w:trPr>
                <w:trHeight w:val="397"/>
              </w:trPr>
              <w:tc>
                <w:tcPr>
                  <w:tcW w:w="572" w:type="pct"/>
                  <w:gridSpan w:val="2"/>
                  <w:tcBorders>
                    <w:tl2br w:val="nil"/>
                    <w:tr2bl w:val="nil"/>
                  </w:tcBorders>
                  <w:vAlign w:val="center"/>
                </w:tcPr>
                <w:p>
                  <w:pPr>
                    <w:adjustRightInd w:val="0"/>
                    <w:snapToGrid w:val="0"/>
                    <w:jc w:val="center"/>
                    <w:rPr>
                      <w:rFonts w:hint="eastAsia"/>
                      <w:color w:val="auto"/>
                      <w:szCs w:val="21"/>
                      <w:highlight w:val="none"/>
                    </w:rPr>
                  </w:pPr>
                  <w:r>
                    <w:rPr>
                      <w:rFonts w:hint="eastAsia"/>
                      <w:color w:val="auto"/>
                      <w:szCs w:val="21"/>
                      <w:highlight w:val="none"/>
                    </w:rPr>
                    <w:t>属性</w:t>
                  </w:r>
                </w:p>
              </w:tc>
              <w:tc>
                <w:tcPr>
                  <w:tcW w:w="2159" w:type="pct"/>
                  <w:gridSpan w:val="2"/>
                  <w:tcBorders>
                    <w:tl2br w:val="nil"/>
                    <w:tr2bl w:val="nil"/>
                  </w:tcBorders>
                  <w:vAlign w:val="center"/>
                </w:tcPr>
                <w:p>
                  <w:pPr>
                    <w:adjustRightInd w:val="0"/>
                    <w:snapToGrid w:val="0"/>
                    <w:jc w:val="center"/>
                    <w:rPr>
                      <w:rFonts w:hint="eastAsia"/>
                      <w:color w:val="auto"/>
                      <w:szCs w:val="21"/>
                      <w:highlight w:val="none"/>
                    </w:rPr>
                  </w:pPr>
                  <w:r>
                    <w:rPr>
                      <w:rFonts w:hint="eastAsia"/>
                      <w:color w:val="auto"/>
                      <w:szCs w:val="21"/>
                      <w:highlight w:val="none"/>
                    </w:rPr>
                    <w:t>管控要求</w:t>
                  </w:r>
                </w:p>
              </w:tc>
              <w:tc>
                <w:tcPr>
                  <w:tcW w:w="1619" w:type="pct"/>
                  <w:tcBorders>
                    <w:tl2br w:val="nil"/>
                    <w:tr2bl w:val="nil"/>
                  </w:tcBorders>
                  <w:vAlign w:val="center"/>
                </w:tcPr>
                <w:p>
                  <w:pPr>
                    <w:adjustRightInd w:val="0"/>
                    <w:snapToGrid w:val="0"/>
                    <w:jc w:val="center"/>
                    <w:rPr>
                      <w:rFonts w:hint="eastAsia"/>
                      <w:color w:val="auto"/>
                      <w:szCs w:val="21"/>
                      <w:highlight w:val="none"/>
                    </w:rPr>
                  </w:pPr>
                  <w:r>
                    <w:rPr>
                      <w:rFonts w:hint="eastAsia"/>
                      <w:color w:val="auto"/>
                      <w:szCs w:val="21"/>
                      <w:highlight w:val="none"/>
                    </w:rPr>
                    <w:t>项目情况</w:t>
                  </w:r>
                </w:p>
              </w:tc>
              <w:tc>
                <w:tcPr>
                  <w:tcW w:w="648" w:type="pct"/>
                  <w:tcBorders>
                    <w:tl2br w:val="nil"/>
                    <w:tr2bl w:val="nil"/>
                  </w:tcBorders>
                  <w:vAlign w:val="center"/>
                </w:tcPr>
                <w:p>
                  <w:pPr>
                    <w:adjustRightInd w:val="0"/>
                    <w:snapToGrid w:val="0"/>
                    <w:jc w:val="center"/>
                    <w:rPr>
                      <w:rFonts w:hint="eastAsia"/>
                      <w:color w:val="auto"/>
                      <w:szCs w:val="21"/>
                      <w:highlight w:val="none"/>
                    </w:rPr>
                  </w:pPr>
                  <w:r>
                    <w:rPr>
                      <w:rFonts w:hint="eastAsia"/>
                      <w:color w:val="auto"/>
                      <w:szCs w:val="21"/>
                      <w:highlight w:val="none"/>
                    </w:rPr>
                    <w:t>是否符合相关要求</w:t>
                  </w:r>
                </w:p>
              </w:tc>
            </w:tr>
            <w:tr>
              <w:trPr>
                <w:trHeight w:val="397"/>
              </w:trPr>
              <w:tc>
                <w:tcPr>
                  <w:tcW w:w="572" w:type="pct"/>
                  <w:gridSpan w:val="2"/>
                  <w:tcBorders>
                    <w:tl2br w:val="nil"/>
                    <w:tr2bl w:val="nil"/>
                  </w:tcBorders>
                  <w:vAlign w:val="center"/>
                </w:tcPr>
                <w:p>
                  <w:pPr>
                    <w:adjustRightInd w:val="0"/>
                    <w:snapToGrid w:val="0"/>
                    <w:jc w:val="center"/>
                    <w:rPr>
                      <w:rFonts w:hint="eastAsia"/>
                      <w:color w:val="auto"/>
                      <w:szCs w:val="21"/>
                      <w:highlight w:val="none"/>
                    </w:rPr>
                  </w:pPr>
                  <w:r>
                    <w:rPr>
                      <w:rFonts w:hint="eastAsia"/>
                      <w:color w:val="auto"/>
                      <w:szCs w:val="21"/>
                      <w:highlight w:val="none"/>
                    </w:rPr>
                    <w:t>建设用地风险管控和</w:t>
                  </w:r>
                </w:p>
                <w:p>
                  <w:pPr>
                    <w:adjustRightInd w:val="0"/>
                    <w:snapToGrid w:val="0"/>
                    <w:jc w:val="center"/>
                    <w:rPr>
                      <w:rFonts w:hint="eastAsia"/>
                      <w:color w:val="auto"/>
                      <w:szCs w:val="21"/>
                      <w:highlight w:val="none"/>
                    </w:rPr>
                  </w:pPr>
                  <w:r>
                    <w:rPr>
                      <w:rFonts w:hint="eastAsia"/>
                      <w:color w:val="auto"/>
                      <w:szCs w:val="21"/>
                      <w:highlight w:val="none"/>
                    </w:rPr>
                    <w:t>修复</w:t>
                  </w:r>
                </w:p>
              </w:tc>
              <w:tc>
                <w:tcPr>
                  <w:tcW w:w="2159" w:type="pct"/>
                  <w:gridSpan w:val="2"/>
                  <w:tcBorders>
                    <w:tl2br w:val="nil"/>
                    <w:tr2bl w:val="nil"/>
                  </w:tcBorders>
                  <w:vAlign w:val="center"/>
                </w:tcPr>
                <w:p>
                  <w:pPr>
                    <w:rPr>
                      <w:rFonts w:hint="eastAsia"/>
                      <w:color w:val="auto"/>
                      <w:szCs w:val="21"/>
                      <w:highlight w:val="none"/>
                    </w:rPr>
                  </w:pPr>
                  <w:r>
                    <w:rPr>
                      <w:rFonts w:hint="eastAsia"/>
                      <w:color w:val="auto"/>
                      <w:szCs w:val="21"/>
                      <w:highlight w:val="none"/>
                    </w:rPr>
                    <w:t>1、依法推进建设用地土壤状况调查评估。以用途变更为</w:t>
                  </w:r>
                  <w:r>
                    <w:rPr>
                      <w:rFonts w:hint="eastAsia"/>
                      <w:color w:val="auto"/>
                      <w:szCs w:val="21"/>
                      <w:lang w:eastAsia="zh-CN"/>
                      <w:highlight w:val="none"/>
                    </w:rPr>
                    <w:t>“</w:t>
                  </w:r>
                  <w:r>
                    <w:rPr>
                      <w:rFonts w:hint="eastAsia"/>
                      <w:color w:val="auto"/>
                      <w:szCs w:val="21"/>
                      <w:highlight w:val="none"/>
                    </w:rPr>
                    <w:t>一住两公</w:t>
                  </w:r>
                  <w:r>
                    <w:rPr>
                      <w:rFonts w:hint="eastAsia"/>
                      <w:color w:val="auto"/>
                      <w:szCs w:val="21"/>
                      <w:lang w:eastAsia="zh-CN"/>
                      <w:highlight w:val="none"/>
                    </w:rPr>
                    <w:t>”</w:t>
                  </w:r>
                  <w:r>
                    <w:rPr>
                      <w:rFonts w:hint="eastAsia"/>
                      <w:color w:val="auto"/>
                      <w:szCs w:val="21"/>
                      <w:highlight w:val="none"/>
                    </w:rPr>
                    <w:t>地块，以及腾退工矿企业用地为重点，依法开展土壤污染状况调查和风险评估。</w:t>
                  </w:r>
                </w:p>
                <w:p>
                  <w:pPr>
                    <w:rPr>
                      <w:rFonts w:hint="eastAsia"/>
                      <w:color w:val="auto"/>
                      <w:szCs w:val="21"/>
                      <w:highlight w:val="none"/>
                    </w:rPr>
                  </w:pPr>
                  <w:r>
                    <w:rPr>
                      <w:rFonts w:hint="eastAsia"/>
                      <w:color w:val="auto"/>
                      <w:szCs w:val="21"/>
                      <w:highlight w:val="none"/>
                    </w:rPr>
                    <w:t>2、对土壤污染状况调查报告评审表明污染物含量超过土壤污染风险管控标准的建设用地地块，土壤污染责任人、土地使用权人应当按照国务院生态环境主管部门的规定进行土壤污染风险评估。</w:t>
                  </w:r>
                </w:p>
                <w:p>
                  <w:pPr>
                    <w:rPr>
                      <w:rFonts w:hint="eastAsia"/>
                      <w:color w:val="auto"/>
                      <w:szCs w:val="21"/>
                      <w:highlight w:val="none"/>
                    </w:rPr>
                  </w:pPr>
                  <w:r>
                    <w:rPr>
                      <w:rFonts w:hint="eastAsia"/>
                      <w:color w:val="auto"/>
                      <w:szCs w:val="21"/>
                      <w:highlight w:val="none"/>
                    </w:rPr>
                    <w:t>3、对建设用地土壤污染风险管控和修复名录中需要实施修复的地块，土壤污染责任人应当结合土地利用总体规划和城乡规划编制修复方案，报地方人民政府生态环境主管部门备案并实施。</w:t>
                  </w:r>
                </w:p>
                <w:p>
                  <w:pPr>
                    <w:rPr>
                      <w:rFonts w:hint="eastAsia"/>
                      <w:color w:val="auto"/>
                      <w:szCs w:val="21"/>
                      <w:highlight w:val="none"/>
                    </w:rPr>
                  </w:pPr>
                  <w:r>
                    <w:rPr>
                      <w:rFonts w:hint="eastAsia"/>
                      <w:color w:val="auto"/>
                      <w:szCs w:val="21"/>
                      <w:highlight w:val="none"/>
                    </w:rPr>
                    <w:t>4、风险管控、修复活动完成后，需要实施后期管理的，土壤污染责任人应当按照要求实施后期管理。</w:t>
                  </w:r>
                </w:p>
                <w:p>
                  <w:pPr>
                    <w:rPr>
                      <w:rFonts w:hint="eastAsia"/>
                      <w:color w:val="auto"/>
                      <w:szCs w:val="21"/>
                      <w:highlight w:val="none"/>
                    </w:rPr>
                  </w:pPr>
                  <w:r>
                    <w:rPr>
                      <w:rFonts w:hint="eastAsia"/>
                      <w:color w:val="auto"/>
                      <w:szCs w:val="21"/>
                      <w:highlight w:val="none"/>
                    </w:rPr>
                    <w:t xml:space="preserve">5、各县（市、区）在编制国土空间等相关规划时，充分考虑建设用地土壤污染环境风险，合理确定土地用途。 </w:t>
                  </w:r>
                </w:p>
                <w:p>
                  <w:pPr>
                    <w:rPr>
                      <w:rFonts w:hint="eastAsia"/>
                      <w:color w:val="auto"/>
                      <w:szCs w:val="21"/>
                      <w:highlight w:val="none"/>
                    </w:rPr>
                  </w:pPr>
                  <w:r>
                    <w:rPr>
                      <w:rFonts w:hint="eastAsia"/>
                      <w:color w:val="auto"/>
                      <w:szCs w:val="21"/>
                      <w:highlight w:val="none"/>
                    </w:rPr>
                    <w:t>6、严格落实建设用地土壤污染风险管控和修复名录制度。未达到土壤污染风险评估报告确定的风险管控、修复目标的地块，不得开工建设与风险管控和修复无关的项目。</w:t>
                  </w:r>
                </w:p>
              </w:tc>
              <w:tc>
                <w:tcPr>
                  <w:tcW w:w="1619" w:type="pct"/>
                  <w:tcBorders>
                    <w:tl2br w:val="nil"/>
                    <w:tr2bl w:val="nil"/>
                  </w:tcBorders>
                  <w:vAlign w:val="center"/>
                </w:tcPr>
                <w:p>
                  <w:pPr>
                    <w:rPr>
                      <w:rFonts w:hint="eastAsia"/>
                      <w:color w:val="auto"/>
                      <w:szCs w:val="21"/>
                      <w:highlight w:val="none"/>
                    </w:rPr>
                  </w:pPr>
                  <w:r>
                    <w:rPr>
                      <w:rFonts w:hint="eastAsia"/>
                      <w:color w:val="auto"/>
                      <w:szCs w:val="21"/>
                      <w:highlight w:val="none"/>
                    </w:rPr>
                    <w:t>1.项目</w:t>
                  </w:r>
                  <w:r>
                    <w:rPr>
                      <w:rFonts w:ascii="Times New Roman" w:eastAsia="宋体" w:cs="Times New Roman" w:hAnsi="Times New Roman" w:hint="eastAsia"/>
                      <w:color w:val="auto"/>
                      <w:szCs w:val="21"/>
                      <w:highlight w:val="none"/>
                    </w:rPr>
                    <w:t>位于</w:t>
                  </w:r>
                  <w:r>
                    <w:rPr>
                      <w:rFonts w:cs="Times New Roman" w:hint="eastAsia"/>
                      <w:color w:val="auto"/>
                      <w:szCs w:val="21"/>
                      <w:lang w:eastAsia="zh-CN"/>
                      <w:highlight w:val="none"/>
                    </w:rPr>
                    <w:t>石家庄市栾城区装备制造基地楼底镇段家营村裕翔街168号103厂房（南）</w:t>
                  </w:r>
                  <w:r>
                    <w:rPr>
                      <w:rFonts w:ascii="Times New Roman" w:eastAsia="宋体" w:cs="Times New Roman" w:hAnsi="Times New Roman" w:hint="eastAsia"/>
                      <w:color w:val="auto"/>
                      <w:szCs w:val="21"/>
                      <w:highlight w:val="none"/>
                    </w:rPr>
                    <w:t>，不涉及土地用途变更</w:t>
                  </w:r>
                  <w:r>
                    <w:rPr>
                      <w:rFonts w:hint="eastAsia"/>
                      <w:color w:val="auto"/>
                      <w:szCs w:val="21"/>
                      <w:highlight w:val="none"/>
                    </w:rPr>
                    <w:t>情况，不涉及土壤环境状况调查评估。同时，项目采取分区防渗措施，厂区道路硬化，项目固废合理处置，正常生产情况下，项目对厂区及附近土壤环境的影响较小。</w:t>
                  </w:r>
                </w:p>
                <w:p>
                  <w:pPr>
                    <w:rPr>
                      <w:rFonts w:hint="eastAsia"/>
                      <w:color w:val="auto"/>
                      <w:szCs w:val="21"/>
                      <w:highlight w:val="none"/>
                    </w:rPr>
                  </w:pPr>
                  <w:r>
                    <w:rPr>
                      <w:rFonts w:hint="eastAsia"/>
                      <w:color w:val="auto"/>
                      <w:szCs w:val="21"/>
                      <w:highlight w:val="none"/>
                    </w:rPr>
                    <w:t>2.项目不涉及土地用途变更情况，不涉及土壤环境状况调查评估。</w:t>
                  </w:r>
                </w:p>
                <w:p>
                  <w:pPr>
                    <w:rPr>
                      <w:rFonts w:hint="eastAsia"/>
                      <w:color w:val="auto"/>
                      <w:szCs w:val="21"/>
                      <w:highlight w:val="none"/>
                    </w:rPr>
                  </w:pPr>
                  <w:r>
                    <w:rPr>
                      <w:rFonts w:hint="eastAsia"/>
                      <w:color w:val="auto"/>
                      <w:szCs w:val="21"/>
                      <w:highlight w:val="none"/>
                    </w:rPr>
                    <w:t>3.项目不涉及土壤环境状况调查评估，不涉及土壤污染风险管控和修复名录中需要实施修复的地块。</w:t>
                  </w:r>
                </w:p>
                <w:p>
                  <w:pPr>
                    <w:rPr>
                      <w:rFonts w:hint="eastAsia"/>
                      <w:color w:val="auto"/>
                      <w:szCs w:val="21"/>
                      <w:highlight w:val="none"/>
                    </w:rPr>
                  </w:pPr>
                  <w:r>
                    <w:rPr>
                      <w:rFonts w:hint="eastAsia"/>
                      <w:color w:val="auto"/>
                      <w:szCs w:val="21"/>
                      <w:highlight w:val="none"/>
                    </w:rPr>
                    <w:t>4.项目不涉及需要实施修复的地块。</w:t>
                  </w:r>
                </w:p>
                <w:p>
                  <w:pPr>
                    <w:rPr>
                      <w:rFonts w:hint="eastAsia"/>
                      <w:color w:val="auto"/>
                      <w:szCs w:val="21"/>
                      <w:highlight w:val="none"/>
                    </w:rPr>
                  </w:pPr>
                  <w:r>
                    <w:rPr>
                      <w:rFonts w:hint="eastAsia"/>
                      <w:color w:val="auto"/>
                      <w:szCs w:val="21"/>
                      <w:highlight w:val="none"/>
                    </w:rPr>
                    <w:t>5.项目在现有车间内建设，不属于非法占地。</w:t>
                  </w:r>
                </w:p>
                <w:p>
                  <w:pPr>
                    <w:rPr>
                      <w:rFonts w:hint="eastAsia"/>
                      <w:color w:val="auto"/>
                      <w:szCs w:val="21"/>
                      <w:highlight w:val="none"/>
                    </w:rPr>
                  </w:pPr>
                  <w:r>
                    <w:rPr>
                      <w:rFonts w:hint="eastAsia"/>
                      <w:color w:val="auto"/>
                      <w:szCs w:val="21"/>
                      <w:highlight w:val="none"/>
                    </w:rPr>
                    <w:t>6.项目不涉及需要实施修复的地块。</w:t>
                  </w:r>
                </w:p>
              </w:tc>
              <w:tc>
                <w:tcPr>
                  <w:tcW w:w="648" w:type="pct"/>
                  <w:tcBorders>
                    <w:tl2br w:val="nil"/>
                    <w:tr2bl w:val="nil"/>
                  </w:tcBorders>
                  <w:vAlign w:val="center"/>
                </w:tcPr>
                <w:p>
                  <w:pPr>
                    <w:jc w:val="center"/>
                    <w:rPr>
                      <w:rFonts w:hint="eastAsia"/>
                      <w:color w:val="auto"/>
                      <w:szCs w:val="21"/>
                      <w:highlight w:val="none"/>
                    </w:rPr>
                  </w:pPr>
                  <w:r>
                    <w:rPr>
                      <w:rFonts w:hint="eastAsia"/>
                      <w:color w:val="auto"/>
                      <w:szCs w:val="21"/>
                      <w:highlight w:val="none"/>
                    </w:rPr>
                    <w:t>是</w:t>
                  </w:r>
                </w:p>
              </w:tc>
            </w:tr>
            <w:tr>
              <w:trPr>
                <w:trHeight w:val="397"/>
              </w:trPr>
              <w:tc>
                <w:tcPr>
                  <w:tcW w:w="5000" w:type="pct"/>
                  <w:gridSpan w:val="6"/>
                  <w:tcBorders>
                    <w:tl2br w:val="nil"/>
                    <w:tr2bl w:val="nil"/>
                  </w:tcBorders>
                  <w:vAlign w:val="center"/>
                </w:tcPr>
                <w:p>
                  <w:pPr>
                    <w:adjustRightInd w:val="0"/>
                    <w:snapToGrid w:val="0"/>
                    <w:jc w:val="center"/>
                    <w:rPr>
                      <w:rFonts w:hint="eastAsia"/>
                      <w:color w:val="auto"/>
                      <w:szCs w:val="21"/>
                      <w:highlight w:val="none"/>
                    </w:rPr>
                  </w:pPr>
                  <w:r>
                    <w:rPr>
                      <w:rFonts w:hint="eastAsia"/>
                      <w:b/>
                      <w:bCs/>
                      <w:color w:val="auto"/>
                      <w:szCs w:val="21"/>
                      <w:highlight w:val="none"/>
                    </w:rPr>
                    <w:t>全市自然资源总体管控要求</w:t>
                  </w:r>
                </w:p>
              </w:tc>
            </w:tr>
            <w:tr>
              <w:trPr>
                <w:trHeight w:val="397"/>
              </w:trPr>
              <w:tc>
                <w:tcPr>
                  <w:tcW w:w="468" w:type="pct"/>
                  <w:tcBorders>
                    <w:tl2br w:val="nil"/>
                    <w:tr2bl w:val="nil"/>
                  </w:tcBorders>
                  <w:vAlign w:val="center"/>
                </w:tcPr>
                <w:p>
                  <w:pPr>
                    <w:adjustRightInd w:val="0"/>
                    <w:snapToGrid w:val="0"/>
                    <w:jc w:val="center"/>
                    <w:rPr>
                      <w:color w:val="auto"/>
                      <w:szCs w:val="21"/>
                      <w:highlight w:val="none"/>
                    </w:rPr>
                  </w:pPr>
                  <w:r>
                    <w:rPr>
                      <w:rFonts w:hint="eastAsia"/>
                      <w:color w:val="auto"/>
                      <w:szCs w:val="21"/>
                      <w:highlight w:val="none"/>
                    </w:rPr>
                    <w:t>要素</w:t>
                  </w:r>
                </w:p>
              </w:tc>
              <w:tc>
                <w:tcPr>
                  <w:tcW w:w="570" w:type="pct"/>
                  <w:gridSpan w:val="2"/>
                  <w:tcBorders>
                    <w:tl2br w:val="nil"/>
                    <w:tr2bl w:val="nil"/>
                  </w:tcBorders>
                  <w:vAlign w:val="center"/>
                </w:tcPr>
                <w:p>
                  <w:pPr>
                    <w:adjustRightInd w:val="0"/>
                    <w:snapToGrid w:val="0"/>
                    <w:jc w:val="center"/>
                    <w:rPr>
                      <w:color w:val="auto"/>
                      <w:szCs w:val="21"/>
                      <w:highlight w:val="none"/>
                    </w:rPr>
                  </w:pPr>
                  <w:r>
                    <w:rPr>
                      <w:rFonts w:hint="eastAsia"/>
                      <w:color w:val="auto"/>
                      <w:szCs w:val="21"/>
                      <w:highlight w:val="none"/>
                    </w:rPr>
                    <w:t>管控类型</w:t>
                  </w:r>
                </w:p>
              </w:tc>
              <w:tc>
                <w:tcPr>
                  <w:tcW w:w="1692" w:type="pct"/>
                  <w:tcBorders>
                    <w:tl2br w:val="nil"/>
                    <w:tr2bl w:val="nil"/>
                  </w:tcBorders>
                  <w:vAlign w:val="center"/>
                </w:tcPr>
                <w:p>
                  <w:pPr>
                    <w:adjustRightInd w:val="0"/>
                    <w:snapToGrid w:val="0"/>
                    <w:jc w:val="center"/>
                    <w:rPr>
                      <w:color w:val="auto"/>
                      <w:szCs w:val="21"/>
                      <w:highlight w:val="none"/>
                    </w:rPr>
                  </w:pPr>
                  <w:r>
                    <w:rPr>
                      <w:rFonts w:hint="eastAsia"/>
                      <w:color w:val="auto"/>
                      <w:szCs w:val="21"/>
                      <w:highlight w:val="none"/>
                    </w:rPr>
                    <w:t>管控要求</w:t>
                  </w:r>
                </w:p>
              </w:tc>
              <w:tc>
                <w:tcPr>
                  <w:tcW w:w="1619" w:type="pct"/>
                  <w:tcBorders>
                    <w:tl2br w:val="nil"/>
                    <w:tr2bl w:val="nil"/>
                  </w:tcBorders>
                  <w:vAlign w:val="center"/>
                </w:tcPr>
                <w:p>
                  <w:pPr>
                    <w:adjustRightInd w:val="0"/>
                    <w:snapToGrid w:val="0"/>
                    <w:jc w:val="center"/>
                    <w:rPr>
                      <w:rFonts w:hint="eastAsia"/>
                      <w:color w:val="auto"/>
                      <w:szCs w:val="21"/>
                      <w:highlight w:val="none"/>
                    </w:rPr>
                  </w:pPr>
                  <w:r>
                    <w:rPr>
                      <w:rFonts w:hint="eastAsia"/>
                      <w:color w:val="auto"/>
                      <w:szCs w:val="21"/>
                      <w:highlight w:val="none"/>
                    </w:rPr>
                    <w:t>项目情况</w:t>
                  </w:r>
                </w:p>
              </w:tc>
              <w:tc>
                <w:tcPr>
                  <w:tcW w:w="648" w:type="pct"/>
                  <w:tcBorders>
                    <w:tl2br w:val="nil"/>
                    <w:tr2bl w:val="nil"/>
                  </w:tcBorders>
                  <w:vAlign w:val="center"/>
                </w:tcPr>
                <w:p>
                  <w:pPr>
                    <w:adjustRightInd w:val="0"/>
                    <w:snapToGrid w:val="0"/>
                    <w:jc w:val="center"/>
                    <w:rPr>
                      <w:rFonts w:hint="eastAsia"/>
                      <w:color w:val="auto"/>
                      <w:szCs w:val="21"/>
                      <w:highlight w:val="none"/>
                    </w:rPr>
                  </w:pPr>
                  <w:r>
                    <w:rPr>
                      <w:rFonts w:hint="eastAsia"/>
                      <w:color w:val="auto"/>
                      <w:szCs w:val="21"/>
                      <w:highlight w:val="none"/>
                    </w:rPr>
                    <w:t>是否符合相关要求</w:t>
                  </w:r>
                </w:p>
              </w:tc>
            </w:tr>
            <w:tr>
              <w:trPr>
                <w:trHeight w:val="397"/>
              </w:trPr>
              <w:tc>
                <w:tcPr>
                  <w:tcW w:w="468" w:type="pct"/>
                  <w:tcBorders>
                    <w:tl2br w:val="nil"/>
                    <w:tr2bl w:val="nil"/>
                  </w:tcBorders>
                  <w:vAlign w:val="center"/>
                </w:tcPr>
                <w:p>
                  <w:pPr>
                    <w:adjustRightInd w:val="0"/>
                    <w:snapToGrid w:val="0"/>
                    <w:jc w:val="center"/>
                    <w:rPr>
                      <w:rFonts w:hint="eastAsia"/>
                      <w:color w:val="auto"/>
                      <w:szCs w:val="21"/>
                      <w:highlight w:val="none"/>
                    </w:rPr>
                  </w:pPr>
                  <w:r>
                    <w:rPr>
                      <w:rFonts w:hint="eastAsia"/>
                      <w:color w:val="auto"/>
                      <w:szCs w:val="21"/>
                      <w:highlight w:val="none"/>
                    </w:rPr>
                    <w:t>水资源</w:t>
                  </w:r>
                </w:p>
              </w:tc>
              <w:tc>
                <w:tcPr>
                  <w:tcW w:w="570" w:type="pct"/>
                  <w:gridSpan w:val="2"/>
                  <w:tcBorders>
                    <w:tl2br w:val="nil"/>
                    <w:tr2bl w:val="nil"/>
                  </w:tcBorders>
                  <w:vAlign w:val="center"/>
                </w:tcPr>
                <w:p>
                  <w:pPr>
                    <w:adjustRightInd w:val="0"/>
                    <w:snapToGrid w:val="0"/>
                    <w:jc w:val="center"/>
                    <w:rPr>
                      <w:rFonts w:hint="eastAsia"/>
                      <w:color w:val="auto"/>
                      <w:szCs w:val="21"/>
                      <w:highlight w:val="none"/>
                    </w:rPr>
                  </w:pPr>
                  <w:r>
                    <w:rPr>
                      <w:rFonts w:hint="eastAsia"/>
                      <w:color w:val="auto"/>
                      <w:szCs w:val="21"/>
                      <w:highlight w:val="none"/>
                    </w:rPr>
                    <w:t>一般管控区</w:t>
                  </w:r>
                </w:p>
              </w:tc>
              <w:tc>
                <w:tcPr>
                  <w:tcW w:w="1692" w:type="pct"/>
                  <w:tcBorders>
                    <w:tl2br w:val="nil"/>
                    <w:tr2bl w:val="nil"/>
                  </w:tcBorders>
                  <w:vAlign w:val="center"/>
                </w:tcPr>
                <w:p>
                  <w:pPr>
                    <w:adjustRightInd w:val="0"/>
                    <w:snapToGrid w:val="0"/>
                    <w:rPr>
                      <w:rFonts w:hint="eastAsia"/>
                      <w:color w:val="auto"/>
                      <w:szCs w:val="21"/>
                      <w:highlight w:val="none"/>
                    </w:rPr>
                  </w:pPr>
                  <w:r>
                    <w:rPr>
                      <w:rFonts w:hint="eastAsia"/>
                      <w:color w:val="auto"/>
                      <w:szCs w:val="21"/>
                      <w:highlight w:val="none"/>
                    </w:rPr>
                    <w:t>1、严格执行</w:t>
                  </w:r>
                  <w:r>
                    <w:rPr>
                      <w:rFonts w:hint="eastAsia"/>
                      <w:color w:val="auto"/>
                      <w:szCs w:val="21"/>
                      <w:lang w:eastAsia="zh-CN"/>
                      <w:highlight w:val="none"/>
                    </w:rPr>
                    <w:t>“</w:t>
                  </w:r>
                  <w:r>
                    <w:rPr>
                      <w:rFonts w:hint="eastAsia"/>
                      <w:color w:val="auto"/>
                      <w:szCs w:val="21"/>
                      <w:highlight w:val="none"/>
                    </w:rPr>
                    <w:t>最严格水资源管理制度</w:t>
                  </w:r>
                  <w:r>
                    <w:rPr>
                      <w:rFonts w:hint="eastAsia"/>
                      <w:color w:val="auto"/>
                      <w:szCs w:val="21"/>
                      <w:lang w:eastAsia="zh-CN"/>
                      <w:highlight w:val="none"/>
                    </w:rPr>
                    <w:t>”</w:t>
                  </w:r>
                  <w:r>
                    <w:rPr>
                      <w:rFonts w:hint="eastAsia"/>
                      <w:color w:val="auto"/>
                      <w:szCs w:val="21"/>
                      <w:highlight w:val="none"/>
                    </w:rPr>
                    <w:t>确定的用水总量控制指标，加强水资源取水论证，严格水资源总量考核管理，同时全面推进节水型社会建设，提高用水效率。</w:t>
                  </w:r>
                </w:p>
                <w:p>
                  <w:pPr>
                    <w:adjustRightInd w:val="0"/>
                    <w:snapToGrid w:val="0"/>
                    <w:rPr>
                      <w:rFonts w:hint="eastAsia"/>
                      <w:color w:val="auto"/>
                      <w:szCs w:val="21"/>
                      <w:highlight w:val="none"/>
                    </w:rPr>
                  </w:pPr>
                  <w:r>
                    <w:rPr>
                      <w:rFonts w:hint="eastAsia"/>
                      <w:color w:val="auto"/>
                      <w:szCs w:val="21"/>
                      <w:highlight w:val="none"/>
                    </w:rPr>
                    <w:t>2、地下水开采重点管控区外的地下水超采区按照《华北地区地下水超采综合治理行动方案》、《河北省人民政府关于公布地下水超采区和禁止开采区、限制开采区范围的通知》及《关于地下水超采综合治理实施意见》进行管控。</w:t>
                  </w:r>
                </w:p>
              </w:tc>
              <w:tc>
                <w:tcPr>
                  <w:tcW w:w="1619" w:type="pct"/>
                  <w:tcBorders>
                    <w:tl2br w:val="nil"/>
                    <w:tr2bl w:val="nil"/>
                  </w:tcBorders>
                  <w:vAlign w:val="center"/>
                </w:tcPr>
                <w:p>
                  <w:pPr>
                    <w:adjustRightInd w:val="0"/>
                    <w:snapToGrid w:val="0"/>
                    <w:jc w:val="center"/>
                    <w:rPr>
                      <w:rFonts w:hint="eastAsia"/>
                      <w:color w:val="auto"/>
                      <w:szCs w:val="21"/>
                      <w:highlight w:val="none"/>
                    </w:rPr>
                  </w:pPr>
                  <w:r>
                    <w:rPr>
                      <w:rFonts w:hint="eastAsia"/>
                      <w:color w:val="auto"/>
                      <w:szCs w:val="21"/>
                      <w:highlight w:val="none"/>
                    </w:rPr>
                    <w:t>项目用水</w:t>
                  </w:r>
                  <w:r>
                    <w:rPr>
                      <w:rFonts w:ascii="Times New Roman" w:cs="Times New Roman" w:hAnsi="Times New Roman"/>
                      <w:b w:val="0"/>
                      <w:bCs w:val="0"/>
                      <w:color w:val="auto"/>
                      <w:highlight w:val="none"/>
                    </w:rPr>
                    <w:t>由园区供水管网供给</w:t>
                  </w:r>
                  <w:r>
                    <w:rPr>
                      <w:rFonts w:hint="eastAsia"/>
                      <w:color w:val="auto"/>
                      <w:szCs w:val="21"/>
                      <w:highlight w:val="none"/>
                    </w:rPr>
                    <w:t>，不开采地下水。</w:t>
                  </w:r>
                </w:p>
              </w:tc>
              <w:tc>
                <w:tcPr>
                  <w:tcW w:w="648" w:type="pct"/>
                  <w:tcBorders>
                    <w:tl2br w:val="nil"/>
                    <w:tr2bl w:val="nil"/>
                  </w:tcBorders>
                  <w:vAlign w:val="center"/>
                </w:tcPr>
                <w:p>
                  <w:pPr>
                    <w:adjustRightInd w:val="0"/>
                    <w:snapToGrid w:val="0"/>
                    <w:jc w:val="center"/>
                    <w:rPr>
                      <w:color w:val="auto"/>
                      <w:szCs w:val="21"/>
                      <w:highlight w:val="none"/>
                    </w:rPr>
                  </w:pPr>
                  <w:r>
                    <w:rPr>
                      <w:rFonts w:hint="eastAsia"/>
                      <w:color w:val="auto"/>
                      <w:szCs w:val="21"/>
                      <w:highlight w:val="none"/>
                    </w:rPr>
                    <w:t>是</w:t>
                  </w:r>
                </w:p>
              </w:tc>
            </w:tr>
            <w:tr>
              <w:trPr>
                <w:trHeight w:val="397"/>
              </w:trPr>
              <w:tc>
                <w:tcPr>
                  <w:tcW w:w="468" w:type="pct"/>
                  <w:vMerge w:val="restart"/>
                  <w:tcBorders>
                    <w:tl2br w:val="nil"/>
                    <w:tr2bl w:val="nil"/>
                  </w:tcBorders>
                  <w:vAlign w:val="center"/>
                </w:tcPr>
                <w:p>
                  <w:pPr>
                    <w:adjustRightInd w:val="0"/>
                    <w:snapToGrid w:val="0"/>
                    <w:jc w:val="center"/>
                    <w:rPr>
                      <w:color w:val="auto"/>
                      <w:szCs w:val="21"/>
                      <w:highlight w:val="none"/>
                    </w:rPr>
                  </w:pPr>
                  <w:r>
                    <w:rPr>
                      <w:rFonts w:hint="eastAsia"/>
                      <w:color w:val="auto"/>
                      <w:szCs w:val="21"/>
                      <w:highlight w:val="none"/>
                    </w:rPr>
                    <w:t>能源</w:t>
                  </w:r>
                </w:p>
              </w:tc>
              <w:tc>
                <w:tcPr>
                  <w:tcW w:w="570" w:type="pct"/>
                  <w:gridSpan w:val="2"/>
                  <w:tcBorders>
                    <w:tl2br w:val="nil"/>
                    <w:tr2bl w:val="nil"/>
                  </w:tcBorders>
                  <w:vAlign w:val="center"/>
                </w:tcPr>
                <w:p>
                  <w:pPr>
                    <w:widowControl/>
                    <w:jc w:val="center"/>
                    <w:rPr>
                      <w:rFonts w:hint="eastAsia"/>
                      <w:color w:val="auto"/>
                      <w:szCs w:val="21"/>
                      <w:highlight w:val="none"/>
                    </w:rPr>
                  </w:pPr>
                  <w:r>
                    <w:rPr>
                      <w:rFonts w:hint="eastAsia"/>
                      <w:color w:val="auto"/>
                      <w:szCs w:val="21"/>
                      <w:highlight w:val="none"/>
                    </w:rPr>
                    <w:t>高污染燃料禁燃区</w:t>
                  </w:r>
                </w:p>
              </w:tc>
              <w:tc>
                <w:tcPr>
                  <w:tcW w:w="1692" w:type="pct"/>
                  <w:tcBorders>
                    <w:tl2br w:val="nil"/>
                    <w:tr2bl w:val="nil"/>
                  </w:tcBorders>
                  <w:vAlign w:val="center"/>
                </w:tcPr>
                <w:p>
                  <w:pPr>
                    <w:adjustRightInd w:val="0"/>
                    <w:snapToGrid w:val="0"/>
                    <w:rPr>
                      <w:rFonts w:hint="eastAsia"/>
                      <w:color w:val="auto"/>
                      <w:szCs w:val="21"/>
                      <w:highlight w:val="none"/>
                    </w:rPr>
                  </w:pPr>
                  <w:r>
                    <w:rPr>
                      <w:rFonts w:hint="eastAsia"/>
                      <w:color w:val="auto"/>
                      <w:szCs w:val="21"/>
                      <w:highlight w:val="none"/>
                    </w:rPr>
                    <w:t>1、禁燃区内不得新建、改建、扩建燃烧煤炭、重油、渣油等高污染燃料的设施；现有燃烧高污染燃料的设施，应当限期改用清洁能源；未改用清洁能源替代的高污染燃料设施，应当配套建设先进工艺的脱硫、</w:t>
                  </w:r>
                </w:p>
                <w:p>
                  <w:pPr>
                    <w:adjustRightInd w:val="0"/>
                    <w:snapToGrid w:val="0"/>
                    <w:rPr>
                      <w:rFonts w:hint="eastAsia"/>
                      <w:color w:val="auto"/>
                      <w:szCs w:val="21"/>
                      <w:highlight w:val="none"/>
                    </w:rPr>
                  </w:pPr>
                  <w:r>
                    <w:rPr>
                      <w:rFonts w:hint="eastAsia"/>
                      <w:color w:val="auto"/>
                      <w:szCs w:val="21"/>
                      <w:highlight w:val="none"/>
                    </w:rPr>
                    <w:t>脱硝、除尘装置或者采取其他措施，控制二氧化硫、氮氧化物和烟尘等排放；仍未达到大气污染物排放标准的，应当停止使用。</w:t>
                  </w:r>
                </w:p>
                <w:p>
                  <w:pPr>
                    <w:adjustRightInd w:val="0"/>
                    <w:snapToGrid w:val="0"/>
                    <w:rPr>
                      <w:rFonts w:hint="eastAsia"/>
                      <w:color w:val="auto"/>
                      <w:szCs w:val="21"/>
                      <w:highlight w:val="none"/>
                    </w:rPr>
                  </w:pPr>
                  <w:r>
                    <w:rPr>
                      <w:rFonts w:hint="eastAsia"/>
                      <w:color w:val="auto"/>
                      <w:szCs w:val="21"/>
                      <w:highlight w:val="none"/>
                    </w:rPr>
                    <w:t>2、禁燃区内禁止销售、使用高污染燃料。</w:t>
                  </w:r>
                </w:p>
                <w:p>
                  <w:pPr>
                    <w:adjustRightInd w:val="0"/>
                    <w:snapToGrid w:val="0"/>
                    <w:rPr>
                      <w:rFonts w:hint="eastAsia"/>
                      <w:color w:val="auto"/>
                      <w:szCs w:val="21"/>
                      <w:highlight w:val="none"/>
                    </w:rPr>
                  </w:pPr>
                  <w:r>
                    <w:rPr>
                      <w:rFonts w:hint="eastAsia"/>
                      <w:color w:val="auto"/>
                      <w:szCs w:val="21"/>
                      <w:highlight w:val="none"/>
                    </w:rPr>
                    <w:t>3、禁燃区内禁止原煤散烧。</w:t>
                  </w:r>
                </w:p>
                <w:p>
                  <w:pPr>
                    <w:adjustRightInd w:val="0"/>
                    <w:snapToGrid w:val="0"/>
                    <w:rPr>
                      <w:rFonts w:hint="eastAsia"/>
                      <w:color w:val="auto"/>
                      <w:szCs w:val="21"/>
                      <w:highlight w:val="none"/>
                    </w:rPr>
                  </w:pPr>
                  <w:r>
                    <w:rPr>
                      <w:rFonts w:hint="eastAsia"/>
                      <w:color w:val="auto"/>
                      <w:szCs w:val="21"/>
                      <w:highlight w:val="none"/>
                    </w:rPr>
                    <w:t>4、其他平原县和山区县执行县级政府确定的禁燃区范围和管理要求。</w:t>
                  </w:r>
                </w:p>
              </w:tc>
              <w:tc>
                <w:tcPr>
                  <w:tcW w:w="1619" w:type="pct"/>
                  <w:tcBorders>
                    <w:tl2br w:val="nil"/>
                    <w:tr2bl w:val="nil"/>
                  </w:tcBorders>
                  <w:vAlign w:val="center"/>
                </w:tcPr>
                <w:p>
                  <w:pPr>
                    <w:adjustRightInd w:val="0"/>
                    <w:snapToGrid w:val="0"/>
                    <w:rPr>
                      <w:color w:val="auto"/>
                      <w:szCs w:val="21"/>
                      <w:highlight w:val="none"/>
                    </w:rPr>
                  </w:pPr>
                  <w:r>
                    <w:rPr>
                      <w:rFonts w:hint="eastAsia"/>
                      <w:color w:val="auto"/>
                      <w:szCs w:val="21"/>
                      <w:highlight w:val="none"/>
                    </w:rPr>
                    <w:t>1.项目采用电能，不涉及煤炭、重油、渣油等高污染燃料的使用。2.项目不涉及高污染燃料销售、使用；3.项目不涉及原煤散烧；4.项目采用电能，满足禁燃区范围和管理要求。</w:t>
                  </w:r>
                </w:p>
              </w:tc>
              <w:tc>
                <w:tcPr>
                  <w:tcW w:w="648" w:type="pct"/>
                  <w:tcBorders>
                    <w:tl2br w:val="nil"/>
                    <w:tr2bl w:val="nil"/>
                  </w:tcBorders>
                  <w:vAlign w:val="center"/>
                </w:tcPr>
                <w:p>
                  <w:pPr>
                    <w:jc w:val="center"/>
                    <w:rPr>
                      <w:rFonts w:hint="eastAsia"/>
                      <w:color w:val="auto"/>
                      <w:szCs w:val="21"/>
                      <w:highlight w:val="none"/>
                    </w:rPr>
                  </w:pPr>
                  <w:r>
                    <w:rPr>
                      <w:rFonts w:hint="eastAsia"/>
                      <w:color w:val="auto"/>
                      <w:szCs w:val="21"/>
                      <w:highlight w:val="none"/>
                    </w:rPr>
                    <w:t>是</w:t>
                  </w:r>
                </w:p>
              </w:tc>
            </w:tr>
            <w:tr>
              <w:trPr>
                <w:trHeight w:val="397"/>
              </w:trPr>
              <w:tc>
                <w:tcPr>
                  <w:tcW w:w="468" w:type="pct"/>
                  <w:vMerge/>
                  <w:tcBorders>
                    <w:tl2br w:val="nil"/>
                    <w:tr2bl w:val="nil"/>
                  </w:tcBorders>
                  <w:vAlign w:val="center"/>
                </w:tcPr>
                <w:p/>
              </w:tc>
              <w:tc>
                <w:tcPr>
                  <w:tcW w:w="570" w:type="pct"/>
                  <w:gridSpan w:val="2"/>
                  <w:tcBorders>
                    <w:tl2br w:val="nil"/>
                    <w:tr2bl w:val="nil"/>
                  </w:tcBorders>
                  <w:vAlign w:val="center"/>
                </w:tcPr>
                <w:p>
                  <w:pPr>
                    <w:widowControl/>
                    <w:jc w:val="center"/>
                    <w:rPr>
                      <w:rFonts w:hint="eastAsia"/>
                      <w:color w:val="auto"/>
                      <w:szCs w:val="21"/>
                      <w:highlight w:val="none"/>
                    </w:rPr>
                  </w:pPr>
                  <w:r>
                    <w:rPr>
                      <w:rFonts w:hint="eastAsia"/>
                      <w:color w:val="auto"/>
                      <w:szCs w:val="21"/>
                      <w:highlight w:val="none"/>
                    </w:rPr>
                    <w:t>一般管控区</w:t>
                  </w:r>
                </w:p>
              </w:tc>
              <w:tc>
                <w:tcPr>
                  <w:tcW w:w="1692" w:type="pct"/>
                  <w:tcBorders>
                    <w:tl2br w:val="nil"/>
                    <w:tr2bl w:val="nil"/>
                  </w:tcBorders>
                  <w:vAlign w:val="center"/>
                </w:tcPr>
                <w:p>
                  <w:pPr>
                    <w:adjustRightInd w:val="0"/>
                    <w:snapToGrid w:val="0"/>
                    <w:rPr>
                      <w:rFonts w:hint="eastAsia"/>
                      <w:color w:val="auto"/>
                      <w:szCs w:val="21"/>
                      <w:highlight w:val="none"/>
                    </w:rPr>
                  </w:pPr>
                  <w:r>
                    <w:rPr>
                      <w:rFonts w:hint="eastAsia"/>
                      <w:color w:val="auto"/>
                      <w:szCs w:val="21"/>
                      <w:highlight w:val="none"/>
                    </w:rPr>
                    <w:t>1、强化能源消费约束，严格实施能源消费总量和强度</w:t>
                  </w:r>
                  <w:r>
                    <w:rPr>
                      <w:rFonts w:hint="eastAsia"/>
                      <w:color w:val="auto"/>
                      <w:szCs w:val="21"/>
                      <w:lang w:eastAsia="zh-CN"/>
                      <w:highlight w:val="none"/>
                    </w:rPr>
                    <w:t>“</w:t>
                  </w:r>
                  <w:r>
                    <w:rPr>
                      <w:rFonts w:hint="eastAsia"/>
                      <w:color w:val="auto"/>
                      <w:szCs w:val="21"/>
                      <w:highlight w:val="none"/>
                    </w:rPr>
                    <w:t>双控</w:t>
                  </w:r>
                  <w:r>
                    <w:rPr>
                      <w:rFonts w:hint="eastAsia"/>
                      <w:color w:val="auto"/>
                      <w:szCs w:val="21"/>
                      <w:lang w:eastAsia="zh-CN"/>
                      <w:highlight w:val="none"/>
                    </w:rPr>
                    <w:t>”</w:t>
                  </w:r>
                  <w:r>
                    <w:rPr>
                      <w:rFonts w:hint="eastAsia"/>
                      <w:color w:val="auto"/>
                      <w:szCs w:val="21"/>
                      <w:highlight w:val="none"/>
                    </w:rPr>
                    <w:t>。从工艺技术、主要用能设备、节能措施等方面切实加强项目单耗先进性审查，新建高能耗项目单位产品（产值）能耗达到国际先进水平，用能设备达到国家一级能效标准。</w:t>
                  </w:r>
                </w:p>
                <w:p>
                  <w:pPr>
                    <w:adjustRightInd w:val="0"/>
                    <w:snapToGrid w:val="0"/>
                    <w:rPr>
                      <w:rFonts w:hint="eastAsia"/>
                      <w:color w:val="auto"/>
                      <w:szCs w:val="21"/>
                      <w:highlight w:val="none"/>
                    </w:rPr>
                  </w:pPr>
                  <w:r>
                    <w:rPr>
                      <w:rFonts w:hint="eastAsia"/>
                      <w:color w:val="auto"/>
                      <w:szCs w:val="21"/>
                      <w:highlight w:val="none"/>
                    </w:rPr>
                    <w:t>2、以工业、建筑和交通运输领域为重点，深入推进技术节能和管理节能。推进农业和农村节能，强化商用和民用节能，实施公共机构节能。完善节能措施引导，完善峰谷电价、阶梯气价等价格政策等。</w:t>
                  </w:r>
                </w:p>
                <w:p>
                  <w:pPr>
                    <w:adjustRightInd w:val="0"/>
                    <w:snapToGrid w:val="0"/>
                    <w:rPr>
                      <w:rFonts w:hint="eastAsia"/>
                      <w:color w:val="auto"/>
                      <w:szCs w:val="21"/>
                      <w:highlight w:val="none"/>
                    </w:rPr>
                  </w:pPr>
                  <w:r>
                    <w:rPr>
                      <w:rFonts w:hint="eastAsia"/>
                      <w:color w:val="auto"/>
                      <w:szCs w:val="21"/>
                      <w:highlight w:val="none"/>
                    </w:rPr>
                    <w:t>3、控制煤炭消费总量，加快产业结构向高新高端产业转变，推进钢铁、水泥等重点行业去产能。大力实施散煤替代。</w:t>
                  </w:r>
                </w:p>
                <w:p>
                  <w:pPr>
                    <w:adjustRightInd w:val="0"/>
                    <w:snapToGrid w:val="0"/>
                    <w:rPr>
                      <w:rFonts w:hint="eastAsia"/>
                      <w:color w:val="auto"/>
                      <w:szCs w:val="21"/>
                      <w:highlight w:val="none"/>
                    </w:rPr>
                  </w:pPr>
                  <w:r>
                    <w:rPr>
                      <w:rFonts w:hint="eastAsia"/>
                      <w:color w:val="auto"/>
                      <w:szCs w:val="21"/>
                      <w:highlight w:val="none"/>
                    </w:rPr>
                    <w:t>4、深入推进煤炭清洁高效利用，扩大清洁能源利用。加强煤炭质量监管，严格落实省、市燃煤质量标准，全市禁止生产、销售灰分劣质煤。严厉打击销售使用劣质煤行为。燃煤发电企业使用的煤炭要符合河北省《工业和民用燃料煤》标准。</w:t>
                  </w:r>
                </w:p>
              </w:tc>
              <w:tc>
                <w:tcPr>
                  <w:tcW w:w="1619" w:type="pct"/>
                  <w:tcBorders>
                    <w:tl2br w:val="nil"/>
                    <w:tr2bl w:val="nil"/>
                  </w:tcBorders>
                  <w:vAlign w:val="center"/>
                </w:tcPr>
                <w:p>
                  <w:pPr>
                    <w:jc w:val="center"/>
                    <w:rPr>
                      <w:rFonts w:hint="eastAsia"/>
                      <w:color w:val="auto"/>
                      <w:szCs w:val="21"/>
                      <w:highlight w:val="none"/>
                    </w:rPr>
                  </w:pPr>
                  <w:r>
                    <w:rPr>
                      <w:rFonts w:hint="eastAsia"/>
                      <w:color w:val="auto"/>
                      <w:szCs w:val="21"/>
                      <w:highlight w:val="none"/>
                    </w:rPr>
                    <w:t>项目生产采用电</w:t>
                  </w:r>
                  <w:r>
                    <w:rPr>
                      <w:rFonts w:hint="eastAsia"/>
                      <w:color w:val="auto"/>
                      <w:szCs w:val="21"/>
                      <w:lang w:val="en-US" w:eastAsia="zh-CN"/>
                      <w:highlight w:val="none"/>
                    </w:rPr>
                    <w:t>能</w:t>
                  </w:r>
                  <w:r>
                    <w:rPr>
                      <w:rFonts w:hint="eastAsia"/>
                      <w:color w:val="auto"/>
                      <w:szCs w:val="21"/>
                      <w:highlight w:val="none"/>
                    </w:rPr>
                    <w:t>，职工日常办公供暖由空调提供，不涉及</w:t>
                  </w:r>
                  <w:r>
                    <w:rPr>
                      <w:color w:val="auto"/>
                      <w:szCs w:val="21"/>
                      <w:highlight w:val="none"/>
                    </w:rPr>
                    <w:t>煤炭使用情况</w:t>
                  </w:r>
                  <w:r>
                    <w:rPr>
                      <w:rStyle w:val="82"/>
                      <w:rFonts w:ascii="Times New Roman" w:hAnsi="Times New Roman"/>
                      <w:color w:val="auto"/>
                      <w:sz w:val="21"/>
                      <w:szCs w:val="21"/>
                      <w:highlight w:val="none"/>
                    </w:rPr>
                    <w:t>。</w:t>
                  </w:r>
                </w:p>
              </w:tc>
              <w:tc>
                <w:tcPr>
                  <w:tcW w:w="648" w:type="pct"/>
                  <w:tcBorders>
                    <w:tl2br w:val="nil"/>
                    <w:tr2bl w:val="nil"/>
                  </w:tcBorders>
                  <w:vAlign w:val="center"/>
                </w:tcPr>
                <w:p>
                  <w:pPr>
                    <w:jc w:val="center"/>
                    <w:rPr>
                      <w:rFonts w:hint="eastAsia"/>
                      <w:color w:val="auto"/>
                      <w:szCs w:val="21"/>
                      <w:highlight w:val="none"/>
                    </w:rPr>
                  </w:pPr>
                  <w:r>
                    <w:rPr>
                      <w:rFonts w:hint="eastAsia"/>
                      <w:color w:val="auto"/>
                      <w:szCs w:val="21"/>
                      <w:highlight w:val="none"/>
                    </w:rPr>
                    <w:t>是</w:t>
                  </w:r>
                </w:p>
              </w:tc>
            </w:tr>
            <w:tr>
              <w:trPr>
                <w:trHeight w:val="397"/>
              </w:trPr>
              <w:tc>
                <w:tcPr>
                  <w:tcW w:w="5000" w:type="pct"/>
                  <w:gridSpan w:val="6"/>
                  <w:tcBorders>
                    <w:tl2br w:val="nil"/>
                    <w:tr2bl w:val="nil"/>
                  </w:tcBorders>
                  <w:vAlign w:val="center"/>
                </w:tcPr>
                <w:p>
                  <w:pPr>
                    <w:adjustRightInd w:val="0"/>
                    <w:snapToGrid w:val="0"/>
                    <w:jc w:val="center"/>
                    <w:rPr>
                      <w:rFonts w:hint="eastAsia"/>
                      <w:color w:val="auto"/>
                      <w:szCs w:val="21"/>
                      <w:highlight w:val="none"/>
                    </w:rPr>
                  </w:pPr>
                  <w:r>
                    <w:rPr>
                      <w:rFonts w:hint="eastAsia"/>
                      <w:b/>
                      <w:bCs/>
                      <w:color w:val="auto"/>
                      <w:szCs w:val="21"/>
                      <w:highlight w:val="none"/>
                    </w:rPr>
                    <w:t>全市产业布局总体管控要求</w:t>
                  </w:r>
                </w:p>
              </w:tc>
            </w:tr>
            <w:tr>
              <w:trPr>
                <w:trHeight w:val="397"/>
              </w:trPr>
              <w:tc>
                <w:tcPr>
                  <w:tcW w:w="1039" w:type="pct"/>
                  <w:gridSpan w:val="3"/>
                  <w:tcBorders>
                    <w:tl2br w:val="nil"/>
                    <w:tr2bl w:val="nil"/>
                  </w:tcBorders>
                  <w:vAlign w:val="center"/>
                </w:tcPr>
                <w:p>
                  <w:pPr>
                    <w:adjustRightInd w:val="0"/>
                    <w:snapToGrid w:val="0"/>
                    <w:jc w:val="center"/>
                    <w:rPr>
                      <w:color w:val="auto"/>
                      <w:szCs w:val="21"/>
                      <w:highlight w:val="none"/>
                    </w:rPr>
                  </w:pPr>
                  <w:r>
                    <w:rPr>
                      <w:rFonts w:hint="eastAsia"/>
                      <w:color w:val="auto"/>
                      <w:szCs w:val="21"/>
                      <w:highlight w:val="none"/>
                    </w:rPr>
                    <w:t>分类</w:t>
                  </w:r>
                </w:p>
              </w:tc>
              <w:tc>
                <w:tcPr>
                  <w:tcW w:w="1692" w:type="pct"/>
                  <w:tcBorders>
                    <w:tl2br w:val="nil"/>
                    <w:tr2bl w:val="nil"/>
                  </w:tcBorders>
                  <w:vAlign w:val="center"/>
                </w:tcPr>
                <w:p>
                  <w:pPr>
                    <w:adjustRightInd w:val="0"/>
                    <w:snapToGrid w:val="0"/>
                    <w:jc w:val="center"/>
                    <w:rPr>
                      <w:color w:val="auto"/>
                      <w:szCs w:val="21"/>
                      <w:highlight w:val="none"/>
                    </w:rPr>
                  </w:pPr>
                  <w:r>
                    <w:rPr>
                      <w:rFonts w:hint="eastAsia"/>
                      <w:color w:val="auto"/>
                      <w:szCs w:val="21"/>
                      <w:highlight w:val="none"/>
                    </w:rPr>
                    <w:t>管控要求</w:t>
                  </w:r>
                </w:p>
              </w:tc>
              <w:tc>
                <w:tcPr>
                  <w:tcW w:w="1619" w:type="pct"/>
                  <w:tcBorders>
                    <w:tl2br w:val="nil"/>
                    <w:tr2bl w:val="nil"/>
                  </w:tcBorders>
                  <w:vAlign w:val="center"/>
                </w:tcPr>
                <w:p>
                  <w:pPr>
                    <w:adjustRightInd w:val="0"/>
                    <w:snapToGrid w:val="0"/>
                    <w:jc w:val="center"/>
                    <w:rPr>
                      <w:rFonts w:hint="eastAsia"/>
                      <w:color w:val="auto"/>
                      <w:szCs w:val="21"/>
                      <w:highlight w:val="none"/>
                    </w:rPr>
                  </w:pPr>
                  <w:r>
                    <w:rPr>
                      <w:rFonts w:hint="eastAsia"/>
                      <w:color w:val="auto"/>
                      <w:szCs w:val="21"/>
                      <w:highlight w:val="none"/>
                    </w:rPr>
                    <w:t>项目情况</w:t>
                  </w:r>
                </w:p>
              </w:tc>
              <w:tc>
                <w:tcPr>
                  <w:tcW w:w="648" w:type="pct"/>
                  <w:tcBorders>
                    <w:tl2br w:val="nil"/>
                    <w:tr2bl w:val="nil"/>
                  </w:tcBorders>
                  <w:vAlign w:val="center"/>
                </w:tcPr>
                <w:p>
                  <w:pPr>
                    <w:adjustRightInd w:val="0"/>
                    <w:snapToGrid w:val="0"/>
                    <w:jc w:val="center"/>
                    <w:rPr>
                      <w:rFonts w:hint="eastAsia"/>
                      <w:color w:val="auto"/>
                      <w:szCs w:val="21"/>
                      <w:highlight w:val="none"/>
                    </w:rPr>
                  </w:pPr>
                  <w:r>
                    <w:rPr>
                      <w:rFonts w:hint="eastAsia"/>
                      <w:color w:val="auto"/>
                      <w:szCs w:val="21"/>
                      <w:highlight w:val="none"/>
                    </w:rPr>
                    <w:t>是否符合相关要求</w:t>
                  </w:r>
                </w:p>
              </w:tc>
            </w:tr>
            <w:tr>
              <w:trPr>
                <w:trHeight w:val="397"/>
              </w:trPr>
              <w:tc>
                <w:tcPr>
                  <w:tcW w:w="1039" w:type="pct"/>
                  <w:gridSpan w:val="3"/>
                  <w:tcBorders>
                    <w:tl2br w:val="nil"/>
                    <w:tr2bl w:val="nil"/>
                  </w:tcBorders>
                  <w:vAlign w:val="center"/>
                </w:tcPr>
                <w:p>
                  <w:pPr>
                    <w:adjustRightInd w:val="0"/>
                    <w:snapToGrid w:val="0"/>
                    <w:jc w:val="center"/>
                    <w:rPr>
                      <w:rFonts w:hint="eastAsia"/>
                      <w:color w:val="auto"/>
                      <w:szCs w:val="21"/>
                      <w:highlight w:val="none"/>
                    </w:rPr>
                  </w:pPr>
                  <w:r>
                    <w:rPr>
                      <w:rFonts w:hint="eastAsia"/>
                      <w:color w:val="auto"/>
                      <w:szCs w:val="21"/>
                      <w:highlight w:val="none"/>
                    </w:rPr>
                    <w:t>产业总体布局要求</w:t>
                  </w:r>
                </w:p>
              </w:tc>
              <w:tc>
                <w:tcPr>
                  <w:tcW w:w="1692" w:type="pct"/>
                  <w:tcBorders>
                    <w:tl2br w:val="nil"/>
                    <w:tr2bl w:val="nil"/>
                  </w:tcBorders>
                  <w:vAlign w:val="center"/>
                </w:tcPr>
                <w:p>
                  <w:pPr>
                    <w:adjustRightInd w:val="0"/>
                    <w:snapToGrid w:val="0"/>
                    <w:rPr>
                      <w:rFonts w:hint="eastAsia"/>
                      <w:color w:val="auto"/>
                      <w:szCs w:val="21"/>
                      <w:highlight w:val="none"/>
                    </w:rPr>
                  </w:pPr>
                  <w:r>
                    <w:rPr>
                      <w:rFonts w:hint="eastAsia"/>
                      <w:color w:val="auto"/>
                      <w:szCs w:val="21"/>
                      <w:highlight w:val="none"/>
                    </w:rPr>
                    <w:t>1、严格建设项目环境准入，新、改、扩建项目的环境影响评价应满足区域、规划环评要求。</w:t>
                  </w:r>
                </w:p>
                <w:p>
                  <w:pPr>
                    <w:adjustRightInd w:val="0"/>
                    <w:snapToGrid w:val="0"/>
                    <w:rPr>
                      <w:rFonts w:hint="eastAsia"/>
                      <w:color w:val="auto"/>
                      <w:szCs w:val="21"/>
                      <w:highlight w:val="none"/>
                    </w:rPr>
                  </w:pPr>
                  <w:r>
                    <w:rPr>
                      <w:rFonts w:hint="eastAsia"/>
                      <w:color w:val="auto"/>
                      <w:szCs w:val="21"/>
                      <w:highlight w:val="none"/>
                    </w:rPr>
                    <w:t>2、新建、改建、扩建用煤项目，应当实行煤炭的等量或者减量替代。</w:t>
                  </w:r>
                </w:p>
                <w:p>
                  <w:pPr>
                    <w:adjustRightInd w:val="0"/>
                    <w:snapToGrid w:val="0"/>
                    <w:rPr>
                      <w:rFonts w:hint="eastAsia"/>
                      <w:color w:val="auto"/>
                      <w:szCs w:val="21"/>
                      <w:highlight w:val="none"/>
                    </w:rPr>
                  </w:pPr>
                  <w:r>
                    <w:rPr>
                      <w:rFonts w:hint="eastAsia"/>
                      <w:color w:val="auto"/>
                      <w:szCs w:val="21"/>
                      <w:highlight w:val="none"/>
                    </w:rPr>
                    <w:t>3、严格执行国家《产业结构调整指导目录》、《市场准入负面清单》以及《河北省禁止投资的产业目录》中准入要求。</w:t>
                  </w:r>
                </w:p>
                <w:p>
                  <w:pPr>
                    <w:adjustRightInd w:val="0"/>
                    <w:snapToGrid w:val="0"/>
                    <w:rPr>
                      <w:rFonts w:hint="eastAsia"/>
                      <w:color w:val="auto"/>
                      <w:szCs w:val="21"/>
                      <w:highlight w:val="none"/>
                    </w:rPr>
                  </w:pPr>
                  <w:r>
                    <w:rPr>
                      <w:rFonts w:hint="eastAsia"/>
                      <w:color w:val="auto"/>
                      <w:szCs w:val="21"/>
                      <w:highlight w:val="none"/>
                    </w:rPr>
                    <w:t>4、严格控制《环境保护综合名录》中</w:t>
                  </w:r>
                  <w:r>
                    <w:rPr>
                      <w:rFonts w:hint="eastAsia"/>
                      <w:color w:val="auto"/>
                      <w:szCs w:val="21"/>
                      <w:lang w:eastAsia="zh-CN"/>
                      <w:highlight w:val="none"/>
                    </w:rPr>
                    <w:t>“</w:t>
                  </w:r>
                  <w:r>
                    <w:rPr>
                      <w:rFonts w:hint="eastAsia"/>
                      <w:color w:val="auto"/>
                      <w:szCs w:val="21"/>
                      <w:highlight w:val="none"/>
                    </w:rPr>
                    <w:t>高污染、高环境风险</w:t>
                  </w:r>
                  <w:r>
                    <w:rPr>
                      <w:rFonts w:hint="eastAsia"/>
                      <w:color w:val="auto"/>
                      <w:szCs w:val="21"/>
                      <w:lang w:eastAsia="zh-CN"/>
                      <w:highlight w:val="none"/>
                    </w:rPr>
                    <w:t>”</w:t>
                  </w:r>
                  <w:r>
                    <w:rPr>
                      <w:rFonts w:hint="eastAsia"/>
                      <w:color w:val="auto"/>
                      <w:szCs w:val="21"/>
                      <w:highlight w:val="none"/>
                    </w:rPr>
                    <w:t>产品加工项目，城市工业企业退城搬迁改造及产能置换项目除外。</w:t>
                  </w:r>
                </w:p>
                <w:p>
                  <w:pPr>
                    <w:adjustRightInd w:val="0"/>
                    <w:snapToGrid w:val="0"/>
                    <w:rPr>
                      <w:rFonts w:hint="eastAsia"/>
                      <w:color w:val="auto"/>
                      <w:szCs w:val="21"/>
                      <w:highlight w:val="none"/>
                    </w:rPr>
                  </w:pPr>
                  <w:r>
                    <w:rPr>
                      <w:rFonts w:hint="eastAsia"/>
                      <w:color w:val="auto"/>
                      <w:szCs w:val="21"/>
                      <w:highlight w:val="none"/>
                    </w:rPr>
                    <w:t>5、新建项目一律不得违规占用河库管理范围。</w:t>
                  </w:r>
                </w:p>
                <w:p>
                  <w:pPr>
                    <w:adjustRightInd w:val="0"/>
                    <w:snapToGrid w:val="0"/>
                    <w:rPr>
                      <w:rFonts w:hint="eastAsia"/>
                      <w:color w:val="auto"/>
                      <w:szCs w:val="21"/>
                      <w:highlight w:val="none"/>
                    </w:rPr>
                  </w:pPr>
                  <w:r>
                    <w:rPr>
                      <w:rFonts w:hint="eastAsia"/>
                      <w:color w:val="auto"/>
                      <w:szCs w:val="21"/>
                      <w:highlight w:val="none"/>
                    </w:rPr>
                    <w:t>6、以石化、化工、涂装、医药、包装印刷、油品储运销等行业领域为重点，安全高效推进挥发性有机物</w:t>
                  </w:r>
                  <w:r>
                    <w:rPr>
                      <w:rFonts w:hint="eastAsia"/>
                      <w:color w:val="auto"/>
                      <w:szCs w:val="21"/>
                      <w:lang w:eastAsia="zh-CN"/>
                      <w:highlight w:val="none"/>
                    </w:rPr>
                    <w:t>（</w:t>
                  </w:r>
                  <w:r>
                    <w:rPr>
                      <w:rFonts w:hint="eastAsia"/>
                      <w:color w:val="auto"/>
                      <w:szCs w:val="21"/>
                      <w:highlight w:val="none"/>
                    </w:rPr>
                    <w:t>VOCs</w:t>
                  </w:r>
                  <w:r>
                    <w:rPr>
                      <w:rFonts w:hint="eastAsia"/>
                      <w:color w:val="auto"/>
                      <w:szCs w:val="21"/>
                      <w:lang w:eastAsia="zh-CN"/>
                      <w:highlight w:val="none"/>
                    </w:rPr>
                    <w:t>）</w:t>
                  </w:r>
                  <w:r>
                    <w:rPr>
                      <w:rFonts w:hint="eastAsia"/>
                      <w:color w:val="auto"/>
                      <w:szCs w:val="21"/>
                      <w:highlight w:val="none"/>
                    </w:rPr>
                    <w:t>综合治理，实施原辅材料和产品源头替代、无组织排放和末端深度治理等提升改造工程。</w:t>
                  </w:r>
                </w:p>
                <w:p>
                  <w:pPr>
                    <w:adjustRightInd w:val="0"/>
                    <w:snapToGrid w:val="0"/>
                    <w:rPr>
                      <w:rFonts w:hint="eastAsia"/>
                      <w:color w:val="auto"/>
                      <w:szCs w:val="21"/>
                      <w:highlight w:val="none"/>
                    </w:rPr>
                  </w:pPr>
                  <w:r>
                    <w:rPr>
                      <w:rFonts w:hint="eastAsia"/>
                      <w:color w:val="auto"/>
                      <w:szCs w:val="21"/>
                      <w:highlight w:val="none"/>
                    </w:rPr>
                    <w:t xml:space="preserve">7、锅炉大气污染物排放控制要求、污染物监测要求、达标判定要求按照河北省地标《锅炉大气污染物排放标准》（DB13/5161-2020）执行。 </w:t>
                  </w:r>
                </w:p>
                <w:p>
                  <w:pPr>
                    <w:adjustRightInd w:val="0"/>
                    <w:snapToGrid w:val="0"/>
                    <w:rPr>
                      <w:rFonts w:hint="eastAsia"/>
                      <w:color w:val="auto"/>
                      <w:szCs w:val="21"/>
                      <w:highlight w:val="none"/>
                    </w:rPr>
                  </w:pPr>
                  <w:r>
                    <w:rPr>
                      <w:rFonts w:hint="eastAsia"/>
                      <w:color w:val="auto"/>
                      <w:szCs w:val="21"/>
                      <w:highlight w:val="none"/>
                    </w:rPr>
                    <w:t xml:space="preserve">8、禁止在居民区和学校、医院、疗养院、养老院等单位周边新建、改建、扩建有色金属冶炼、石油加工、焦化、化工、电镀、制革等可能造成土壤污染的建设项目。 </w:t>
                  </w:r>
                </w:p>
                <w:p>
                  <w:pPr>
                    <w:adjustRightInd w:val="0"/>
                    <w:snapToGrid w:val="0"/>
                    <w:rPr>
                      <w:rFonts w:hint="eastAsia"/>
                      <w:color w:val="auto"/>
                      <w:szCs w:val="21"/>
                      <w:highlight w:val="none"/>
                    </w:rPr>
                  </w:pPr>
                  <w:r>
                    <w:rPr>
                      <w:rFonts w:hint="eastAsia"/>
                      <w:color w:val="auto"/>
                      <w:szCs w:val="21"/>
                      <w:highlight w:val="none"/>
                    </w:rPr>
                    <w:t xml:space="preserve">9、在地下水超采区控制高耗水产业发展。 </w:t>
                  </w:r>
                </w:p>
                <w:p>
                  <w:pPr>
                    <w:adjustRightInd w:val="0"/>
                    <w:snapToGrid w:val="0"/>
                    <w:rPr>
                      <w:rFonts w:hint="eastAsia"/>
                      <w:color w:val="auto"/>
                      <w:szCs w:val="21"/>
                      <w:highlight w:val="none"/>
                    </w:rPr>
                  </w:pPr>
                  <w:r>
                    <w:rPr>
                      <w:rFonts w:hint="eastAsia"/>
                      <w:color w:val="auto"/>
                      <w:szCs w:val="21"/>
                      <w:highlight w:val="none"/>
                    </w:rPr>
                    <w:t>10、涉重金属重点行业企业</w:t>
                  </w:r>
                  <w:r>
                    <w:rPr>
                      <w:rFonts w:hint="eastAsia"/>
                      <w:color w:val="auto"/>
                      <w:szCs w:val="21"/>
                      <w:lang w:eastAsia="zh-CN"/>
                      <w:highlight w:val="none"/>
                    </w:rPr>
                    <w:t>“</w:t>
                  </w:r>
                  <w:r>
                    <w:rPr>
                      <w:rFonts w:hint="eastAsia"/>
                      <w:color w:val="auto"/>
                      <w:szCs w:val="21"/>
                      <w:highlight w:val="none"/>
                    </w:rPr>
                    <w:t>十四五</w:t>
                  </w:r>
                  <w:r>
                    <w:rPr>
                      <w:rFonts w:hint="eastAsia"/>
                      <w:color w:val="auto"/>
                      <w:szCs w:val="21"/>
                      <w:lang w:eastAsia="zh-CN"/>
                      <w:highlight w:val="none"/>
                    </w:rPr>
                    <w:t>”</w:t>
                  </w:r>
                  <w:r>
                    <w:rPr>
                      <w:rFonts w:hint="eastAsia"/>
                      <w:color w:val="auto"/>
                      <w:szCs w:val="21"/>
                      <w:highlight w:val="none"/>
                    </w:rPr>
                    <w:t xml:space="preserve">期间依法依规至少开展一轮强制性清洁生产审核，到2025年底，涉重金属重点行业企业基本达到国内清洁生产先进水平。 </w:t>
                  </w:r>
                </w:p>
                <w:p>
                  <w:pPr>
                    <w:adjustRightInd w:val="0"/>
                    <w:snapToGrid w:val="0"/>
                    <w:rPr>
                      <w:rFonts w:hint="eastAsia"/>
                      <w:color w:val="auto"/>
                      <w:szCs w:val="21"/>
                      <w:highlight w:val="none"/>
                    </w:rPr>
                  </w:pPr>
                  <w:r>
                    <w:rPr>
                      <w:rFonts w:hint="eastAsia"/>
                      <w:color w:val="auto"/>
                      <w:szCs w:val="21"/>
                      <w:highlight w:val="none"/>
                    </w:rPr>
                    <w:t xml:space="preserve">11、按照《关于进一步加强塑料污染治理的实施方案》要求，石家庄城市建成区和重点领域禁止、限制部分塑料制品的生产、销售和使用。 </w:t>
                  </w:r>
                </w:p>
                <w:p>
                  <w:pPr>
                    <w:adjustRightInd w:val="0"/>
                    <w:snapToGrid w:val="0"/>
                    <w:rPr>
                      <w:rFonts w:hint="eastAsia"/>
                      <w:color w:val="auto"/>
                      <w:szCs w:val="21"/>
                      <w:highlight w:val="none"/>
                    </w:rPr>
                  </w:pPr>
                  <w:r>
                    <w:rPr>
                      <w:rFonts w:hint="eastAsia"/>
                      <w:color w:val="auto"/>
                      <w:szCs w:val="21"/>
                      <w:highlight w:val="none"/>
                    </w:rPr>
                    <w:t>12、实施制造业绿色改造重点专项，开展制造业绿色发展示范工程，推进生物医药、化工、钢铁等行业工艺技术装备绿色化改造。鼓励企业实施绿色战略、绿色标准、绿色管理和绿色生产，推行</w:t>
                  </w:r>
                  <w:r>
                    <w:rPr>
                      <w:rFonts w:hint="eastAsia"/>
                      <w:color w:val="auto"/>
                      <w:szCs w:val="21"/>
                      <w:lang w:eastAsia="zh-CN"/>
                      <w:highlight w:val="none"/>
                    </w:rPr>
                    <w:t>“</w:t>
                  </w:r>
                  <w:r>
                    <w:rPr>
                      <w:rFonts w:hint="eastAsia"/>
                      <w:color w:val="auto"/>
                      <w:szCs w:val="21"/>
                      <w:highlight w:val="none"/>
                    </w:rPr>
                    <w:t>互联网+绿色制造</w:t>
                  </w:r>
                  <w:r>
                    <w:rPr>
                      <w:rFonts w:hint="eastAsia"/>
                      <w:color w:val="auto"/>
                      <w:szCs w:val="21"/>
                      <w:lang w:eastAsia="zh-CN"/>
                      <w:highlight w:val="none"/>
                    </w:rPr>
                    <w:t>”</w:t>
                  </w:r>
                  <w:r>
                    <w:rPr>
                      <w:rFonts w:hint="eastAsia"/>
                      <w:color w:val="auto"/>
                      <w:szCs w:val="21"/>
                      <w:highlight w:val="none"/>
                    </w:rPr>
                    <w:t xml:space="preserve">模式，开发绿色产品，建设绿色工厂，打造绿色供应链，构建绿色制造体系。大力发展节能环保、清洁生产和清洁能源产业。在钢铁、火电、水泥、化工等重点行业推广低碳节能技术改造，探索开展碳捕集、利用与封存试验示范，控制工业领域温室气体排放。加快构建绿色低碳的综合交通运输体系，实施一批绿色公路、绿色机场等示范工程。全面推行清洁生产，推进钢铁、石化、建材、纺织、食品等重点行业强制性清洁生产审核。 </w:t>
                  </w:r>
                </w:p>
                <w:p>
                  <w:pPr>
                    <w:adjustRightInd w:val="0"/>
                    <w:snapToGrid w:val="0"/>
                    <w:rPr>
                      <w:rFonts w:hint="eastAsia"/>
                      <w:color w:val="auto"/>
                      <w:szCs w:val="21"/>
                      <w:highlight w:val="none"/>
                    </w:rPr>
                  </w:pPr>
                  <w:r>
                    <w:rPr>
                      <w:rFonts w:hint="eastAsia"/>
                      <w:color w:val="auto"/>
                      <w:szCs w:val="21"/>
                      <w:highlight w:val="none"/>
                    </w:rPr>
                    <w:t>13、新建、改建、扩建</w:t>
                  </w:r>
                  <w:r>
                    <w:rPr>
                      <w:rFonts w:hint="eastAsia"/>
                      <w:color w:val="auto"/>
                      <w:szCs w:val="21"/>
                      <w:lang w:eastAsia="zh-CN"/>
                      <w:highlight w:val="none"/>
                    </w:rPr>
                    <w:t>“</w:t>
                  </w:r>
                  <w:r>
                    <w:rPr>
                      <w:rFonts w:hint="eastAsia"/>
                      <w:color w:val="auto"/>
                      <w:szCs w:val="21"/>
                      <w:highlight w:val="none"/>
                    </w:rPr>
                    <w:t>两高</w:t>
                  </w:r>
                  <w:r>
                    <w:rPr>
                      <w:rFonts w:hint="eastAsia"/>
                      <w:color w:val="auto"/>
                      <w:szCs w:val="21"/>
                      <w:lang w:eastAsia="zh-CN"/>
                      <w:highlight w:val="none"/>
                    </w:rPr>
                    <w:t>”</w:t>
                  </w:r>
                  <w:r>
                    <w:rPr>
                      <w:rFonts w:hint="eastAsia"/>
                      <w:color w:val="auto"/>
                      <w:szCs w:val="21"/>
                      <w:highlight w:val="none"/>
                    </w:rPr>
                    <w:t>项目须符合生态环境保护法律法规和相关法定规划，满足重点污染物排放总量控制、碳排放达峰目标、生态环境准入清单、相关规划环评和相应行业建设项目环境准入条件、环评文件审批原则要求。新增主要污染物排放量的</w:t>
                  </w:r>
                  <w:r>
                    <w:rPr>
                      <w:rFonts w:hint="eastAsia"/>
                      <w:color w:val="auto"/>
                      <w:szCs w:val="21"/>
                      <w:lang w:eastAsia="zh-CN"/>
                      <w:highlight w:val="none"/>
                    </w:rPr>
                    <w:t>“</w:t>
                  </w:r>
                  <w:r>
                    <w:rPr>
                      <w:rFonts w:hint="eastAsia"/>
                      <w:color w:val="auto"/>
                      <w:szCs w:val="21"/>
                      <w:highlight w:val="none"/>
                    </w:rPr>
                    <w:t>两高</w:t>
                  </w:r>
                  <w:r>
                    <w:rPr>
                      <w:rFonts w:hint="eastAsia"/>
                      <w:color w:val="auto"/>
                      <w:szCs w:val="21"/>
                      <w:lang w:eastAsia="zh-CN"/>
                      <w:highlight w:val="none"/>
                    </w:rPr>
                    <w:t>”</w:t>
                  </w:r>
                  <w:r>
                    <w:rPr>
                      <w:rFonts w:hint="eastAsia"/>
                      <w:color w:val="auto"/>
                      <w:szCs w:val="21"/>
                      <w:highlight w:val="none"/>
                    </w:rPr>
                    <w:t xml:space="preserve">项目，严格落实生态环境部《关于加强重点行业建设项目区域削减措施监督管理的通知要求》，提出有效区域削减方案，主要污染物实行区域倍量削减，规范削减措施来源，强化建设单位、出让减排量排污单位和地方政府责任，确保落实区域削减措施。 </w:t>
                  </w:r>
                </w:p>
                <w:p>
                  <w:pPr>
                    <w:adjustRightInd w:val="0"/>
                    <w:snapToGrid w:val="0"/>
                    <w:rPr>
                      <w:rFonts w:hint="eastAsia"/>
                      <w:color w:val="auto"/>
                      <w:szCs w:val="21"/>
                      <w:highlight w:val="none"/>
                    </w:rPr>
                  </w:pPr>
                  <w:r>
                    <w:rPr>
                      <w:rFonts w:hint="eastAsia"/>
                      <w:color w:val="auto"/>
                      <w:szCs w:val="21"/>
                      <w:highlight w:val="none"/>
                    </w:rPr>
                    <w:t>14、省级人民政府及其有关部门批准设立的经济技术开发区、高新技术产业开发区、旅游度假区等产业园区及市级人民政府批准设立的各类产业园区，在编制开发建设有关规划时，应依法开展规划环评工作，编制环境影响报告书。涉及</w:t>
                  </w:r>
                  <w:r>
                    <w:rPr>
                      <w:rFonts w:hint="eastAsia"/>
                      <w:color w:val="auto"/>
                      <w:szCs w:val="21"/>
                      <w:lang w:eastAsia="zh-CN"/>
                      <w:highlight w:val="none"/>
                    </w:rPr>
                    <w:t>“</w:t>
                  </w:r>
                  <w:r>
                    <w:rPr>
                      <w:rFonts w:hint="eastAsia"/>
                      <w:color w:val="auto"/>
                      <w:szCs w:val="21"/>
                      <w:highlight w:val="none"/>
                    </w:rPr>
                    <w:t>一区多园</w:t>
                  </w:r>
                  <w:r>
                    <w:rPr>
                      <w:rFonts w:hint="eastAsia"/>
                      <w:color w:val="auto"/>
                      <w:szCs w:val="21"/>
                      <w:lang w:eastAsia="zh-CN"/>
                      <w:highlight w:val="none"/>
                    </w:rPr>
                    <w:t>”</w:t>
                  </w:r>
                  <w:r>
                    <w:rPr>
                      <w:rFonts w:hint="eastAsia"/>
                      <w:color w:val="auto"/>
                      <w:szCs w:val="21"/>
                      <w:highlight w:val="none"/>
                    </w:rPr>
                    <w:t>的产业园区，应整体开展规划环境影响评价（跟踪评价）工作，实现规划环评</w:t>
                  </w:r>
                  <w:r>
                    <w:rPr>
                      <w:rFonts w:hint="eastAsia"/>
                      <w:color w:val="auto"/>
                      <w:szCs w:val="21"/>
                      <w:lang w:eastAsia="zh-CN"/>
                      <w:highlight w:val="none"/>
                    </w:rPr>
                    <w:t>“</w:t>
                  </w:r>
                  <w:r>
                    <w:rPr>
                      <w:rFonts w:hint="eastAsia"/>
                      <w:color w:val="auto"/>
                      <w:szCs w:val="21"/>
                      <w:highlight w:val="none"/>
                    </w:rPr>
                    <w:t>一本制</w:t>
                  </w:r>
                  <w:r>
                    <w:rPr>
                      <w:rFonts w:hint="eastAsia"/>
                      <w:color w:val="auto"/>
                      <w:szCs w:val="21"/>
                      <w:lang w:eastAsia="zh-CN"/>
                      <w:highlight w:val="none"/>
                    </w:rPr>
                    <w:t>”</w:t>
                  </w:r>
                  <w:r>
                    <w:rPr>
                      <w:rFonts w:hint="eastAsia"/>
                      <w:color w:val="auto"/>
                      <w:szCs w:val="21"/>
                      <w:highlight w:val="none"/>
                    </w:rPr>
                    <w:t>。</w:t>
                  </w:r>
                </w:p>
              </w:tc>
              <w:tc>
                <w:tcPr>
                  <w:tcW w:w="1619" w:type="pct"/>
                  <w:tcBorders>
                    <w:tl2br w:val="nil"/>
                    <w:tr2bl w:val="nil"/>
                  </w:tcBorders>
                  <w:vAlign w:val="center"/>
                </w:tcPr>
                <w:p>
                  <w:pPr>
                    <w:adjustRightInd w:val="0"/>
                    <w:snapToGrid w:val="0"/>
                    <w:rPr>
                      <w:color w:val="auto"/>
                      <w:szCs w:val="21"/>
                      <w:highlight w:val="none"/>
                    </w:rPr>
                  </w:pPr>
                  <w:r>
                    <w:rPr>
                      <w:rFonts w:hint="eastAsia"/>
                      <w:color w:val="auto"/>
                      <w:szCs w:val="21"/>
                      <w:highlight w:val="none"/>
                    </w:rPr>
                    <w:t>1.项目不属于《市场准入负面清单（2025年版）》中的禁止类项目</w:t>
                  </w:r>
                  <w:r>
                    <w:rPr>
                      <w:rFonts w:hint="eastAsia"/>
                      <w:color w:val="auto"/>
                      <w:highlight w:val="none"/>
                    </w:rPr>
                    <w:t>，</w:t>
                  </w:r>
                  <w:r>
                    <w:rPr>
                      <w:rFonts w:hint="eastAsia"/>
                      <w:color w:val="auto"/>
                      <w:szCs w:val="21"/>
                      <w:highlight w:val="none"/>
                    </w:rPr>
                    <w:t>为允许建设项目。</w:t>
                  </w:r>
                </w:p>
                <w:p>
                  <w:pPr>
                    <w:adjustRightInd w:val="0"/>
                    <w:snapToGrid w:val="0"/>
                    <w:rPr>
                      <w:rFonts w:hint="eastAsia"/>
                      <w:color w:val="auto"/>
                      <w:szCs w:val="21"/>
                      <w:highlight w:val="none"/>
                    </w:rPr>
                  </w:pPr>
                  <w:r>
                    <w:rPr>
                      <w:rFonts w:hint="eastAsia"/>
                      <w:color w:val="auto"/>
                      <w:szCs w:val="21"/>
                      <w:highlight w:val="none"/>
                    </w:rPr>
                    <w:t>2.项目不涉及煤炭的使用。</w:t>
                  </w:r>
                </w:p>
                <w:p>
                  <w:pPr>
                    <w:adjustRightInd w:val="0"/>
                    <w:snapToGrid w:val="0"/>
                    <w:rPr>
                      <w:color w:val="auto"/>
                      <w:szCs w:val="21"/>
                      <w:highlight w:val="none"/>
                    </w:rPr>
                  </w:pPr>
                  <w:r>
                    <w:rPr>
                      <w:rFonts w:hint="eastAsia"/>
                      <w:color w:val="auto"/>
                      <w:szCs w:val="21"/>
                      <w:highlight w:val="none"/>
                    </w:rPr>
                    <w:t>3.项目不属于《市场准入负面清单（2025年版）》中的禁止类项目，符合相关要求。</w:t>
                  </w:r>
                </w:p>
                <w:p>
                  <w:pPr>
                    <w:adjustRightInd w:val="0"/>
                    <w:snapToGrid w:val="0"/>
                    <w:rPr>
                      <w:rFonts w:hint="eastAsia"/>
                      <w:color w:val="auto"/>
                      <w:szCs w:val="21"/>
                      <w:highlight w:val="none"/>
                    </w:rPr>
                  </w:pPr>
                  <w:r>
                    <w:rPr>
                      <w:rFonts w:hint="eastAsia"/>
                      <w:color w:val="auto"/>
                      <w:szCs w:val="21"/>
                      <w:highlight w:val="none"/>
                    </w:rPr>
                    <w:t>4.项目不属于</w:t>
                  </w:r>
                  <w:r>
                    <w:rPr>
                      <w:rFonts w:hint="eastAsia"/>
                      <w:color w:val="auto"/>
                      <w:szCs w:val="21"/>
                      <w:lang w:eastAsia="zh-CN"/>
                      <w:highlight w:val="none"/>
                    </w:rPr>
                    <w:t>“</w:t>
                  </w:r>
                  <w:r>
                    <w:rPr>
                      <w:rFonts w:hint="eastAsia"/>
                      <w:color w:val="auto"/>
                      <w:szCs w:val="21"/>
                      <w:highlight w:val="none"/>
                    </w:rPr>
                    <w:t>高污染、高环境风险</w:t>
                  </w:r>
                  <w:r>
                    <w:rPr>
                      <w:rFonts w:hint="eastAsia"/>
                      <w:color w:val="auto"/>
                      <w:szCs w:val="21"/>
                      <w:lang w:eastAsia="zh-CN"/>
                      <w:highlight w:val="none"/>
                    </w:rPr>
                    <w:t>”</w:t>
                  </w:r>
                  <w:r>
                    <w:rPr>
                      <w:rFonts w:hint="eastAsia"/>
                      <w:color w:val="auto"/>
                      <w:szCs w:val="21"/>
                      <w:highlight w:val="none"/>
                    </w:rPr>
                    <w:t>产品加工项目，不属于城市工业企业。</w:t>
                  </w:r>
                </w:p>
                <w:p>
                  <w:pPr>
                    <w:adjustRightInd w:val="0"/>
                    <w:snapToGrid w:val="0"/>
                    <w:rPr>
                      <w:rFonts w:hint="eastAsia"/>
                      <w:color w:val="auto"/>
                      <w:szCs w:val="21"/>
                      <w:highlight w:val="none"/>
                    </w:rPr>
                  </w:pPr>
                  <w:r>
                    <w:rPr>
                      <w:rFonts w:hint="eastAsia"/>
                      <w:color w:val="auto"/>
                      <w:szCs w:val="21"/>
                      <w:highlight w:val="none"/>
                    </w:rPr>
                    <w:t>5.项目不占用河库管理范围。</w:t>
                  </w:r>
                </w:p>
                <w:p>
                  <w:pPr>
                    <w:adjustRightInd w:val="0"/>
                    <w:snapToGrid w:val="0"/>
                    <w:rPr>
                      <w:rFonts w:hint="eastAsia"/>
                      <w:color w:val="auto"/>
                      <w:szCs w:val="21"/>
                      <w:highlight w:val="none"/>
                    </w:rPr>
                  </w:pPr>
                  <w:r>
                    <w:rPr>
                      <w:rFonts w:hint="eastAsia"/>
                      <w:color w:val="auto"/>
                      <w:szCs w:val="21"/>
                      <w:highlight w:val="none"/>
                    </w:rPr>
                    <w:t>6.项目不属于石化、化工、涂装、医药、包装印刷、油品储运销等行业。</w:t>
                  </w:r>
                </w:p>
                <w:p>
                  <w:pPr>
                    <w:adjustRightInd w:val="0"/>
                    <w:snapToGrid w:val="0"/>
                    <w:rPr>
                      <w:rFonts w:hint="eastAsia"/>
                      <w:color w:val="auto"/>
                      <w:szCs w:val="21"/>
                      <w:highlight w:val="none"/>
                    </w:rPr>
                  </w:pPr>
                  <w:r>
                    <w:rPr>
                      <w:rFonts w:hint="eastAsia"/>
                      <w:color w:val="auto"/>
                      <w:szCs w:val="21"/>
                      <w:highlight w:val="none"/>
                    </w:rPr>
                    <w:t>7.项目不涉及锅炉使用。</w:t>
                  </w:r>
                </w:p>
                <w:p>
                  <w:pPr>
                    <w:adjustRightInd w:val="0"/>
                    <w:snapToGrid w:val="0"/>
                    <w:rPr>
                      <w:rFonts w:hint="eastAsia"/>
                      <w:color w:val="auto"/>
                      <w:szCs w:val="21"/>
                      <w:highlight w:val="none"/>
                    </w:rPr>
                  </w:pPr>
                  <w:r>
                    <w:rPr>
                      <w:rFonts w:hint="eastAsia"/>
                      <w:color w:val="auto"/>
                      <w:szCs w:val="21"/>
                      <w:highlight w:val="none"/>
                    </w:rPr>
                    <w:t>8.项目不属于有色金属冶炼、石油加工、焦化、化工、电镀、制革等可能造成土壤污染的建设项目。</w:t>
                  </w:r>
                </w:p>
                <w:p>
                  <w:pPr>
                    <w:adjustRightInd w:val="0"/>
                    <w:snapToGrid w:val="0"/>
                    <w:rPr>
                      <w:rFonts w:hint="eastAsia"/>
                      <w:color w:val="auto"/>
                      <w:szCs w:val="21"/>
                      <w:highlight w:val="none"/>
                    </w:rPr>
                  </w:pPr>
                  <w:r>
                    <w:rPr>
                      <w:rFonts w:hint="eastAsia"/>
                      <w:color w:val="auto"/>
                      <w:szCs w:val="21"/>
                      <w:highlight w:val="none"/>
                    </w:rPr>
                    <w:t>9.项目用水</w:t>
                  </w:r>
                  <w:r>
                    <w:rPr>
                      <w:rFonts w:ascii="Times New Roman" w:cs="Times New Roman" w:hAnsi="Times New Roman"/>
                      <w:b w:val="0"/>
                      <w:bCs w:val="0"/>
                      <w:color w:val="auto"/>
                      <w:highlight w:val="none"/>
                    </w:rPr>
                    <w:t>由园区供水管网供给</w:t>
                  </w:r>
                  <w:r>
                    <w:rPr>
                      <w:rFonts w:hint="eastAsia"/>
                      <w:color w:val="auto"/>
                      <w:szCs w:val="21"/>
                      <w:highlight w:val="none"/>
                    </w:rPr>
                    <w:t>，不开采地下水。</w:t>
                  </w:r>
                </w:p>
                <w:p>
                  <w:pPr>
                    <w:adjustRightInd w:val="0"/>
                    <w:snapToGrid w:val="0"/>
                    <w:rPr>
                      <w:rFonts w:hint="eastAsia"/>
                      <w:color w:val="auto"/>
                      <w:szCs w:val="21"/>
                      <w:highlight w:val="none"/>
                    </w:rPr>
                  </w:pPr>
                  <w:r>
                    <w:rPr>
                      <w:rFonts w:hint="eastAsia"/>
                      <w:color w:val="auto"/>
                      <w:szCs w:val="21"/>
                      <w:highlight w:val="none"/>
                    </w:rPr>
                    <w:t>10.项目不涉及重金属。</w:t>
                  </w:r>
                </w:p>
                <w:p>
                  <w:pPr>
                    <w:adjustRightInd w:val="0"/>
                    <w:snapToGrid w:val="0"/>
                    <w:rPr>
                      <w:rFonts w:hint="eastAsia"/>
                      <w:color w:val="auto"/>
                      <w:szCs w:val="21"/>
                      <w:highlight w:val="none"/>
                    </w:rPr>
                  </w:pPr>
                  <w:r>
                    <w:rPr>
                      <w:rFonts w:hint="eastAsia"/>
                      <w:color w:val="auto"/>
                      <w:szCs w:val="21"/>
                      <w:highlight w:val="none"/>
                    </w:rPr>
                    <w:t>11.项目不属于禁止、限制部分塑料制品的生产、销售和使用。</w:t>
                  </w:r>
                </w:p>
                <w:p>
                  <w:pPr>
                    <w:adjustRightInd w:val="0"/>
                    <w:snapToGrid w:val="0"/>
                    <w:rPr>
                      <w:rFonts w:hint="eastAsia"/>
                      <w:color w:val="auto"/>
                      <w:szCs w:val="21"/>
                      <w:highlight w:val="none"/>
                    </w:rPr>
                  </w:pPr>
                  <w:r>
                    <w:rPr>
                      <w:rFonts w:hint="eastAsia"/>
                      <w:color w:val="auto"/>
                      <w:szCs w:val="21"/>
                      <w:highlight w:val="none"/>
                    </w:rPr>
                    <w:t>12.项目生产均在密闭车间内，实现绿色管理和绿色生产。</w:t>
                  </w:r>
                </w:p>
                <w:p>
                  <w:pPr>
                    <w:adjustRightInd w:val="0"/>
                    <w:snapToGrid w:val="0"/>
                    <w:rPr>
                      <w:rFonts w:hint="eastAsia"/>
                      <w:color w:val="auto"/>
                      <w:szCs w:val="21"/>
                      <w:highlight w:val="none"/>
                    </w:rPr>
                  </w:pPr>
                  <w:r>
                    <w:rPr>
                      <w:rFonts w:hint="eastAsia"/>
                      <w:color w:val="auto"/>
                      <w:szCs w:val="21"/>
                      <w:highlight w:val="none"/>
                    </w:rPr>
                    <w:t>13.项目不属于两高项目。</w:t>
                  </w:r>
                </w:p>
                <w:p>
                  <w:pPr>
                    <w:adjustRightInd w:val="0"/>
                    <w:snapToGrid w:val="0"/>
                    <w:rPr>
                      <w:color w:val="auto"/>
                      <w:szCs w:val="21"/>
                      <w:highlight w:val="none"/>
                    </w:rPr>
                  </w:pPr>
                  <w:r>
                    <w:rPr>
                      <w:rFonts w:hint="eastAsia"/>
                      <w:color w:val="auto"/>
                      <w:szCs w:val="21"/>
                      <w:highlight w:val="none"/>
                    </w:rPr>
                    <w:t>14.项目不属于产业园区项目，根据要求，依法进行环评编制工作。</w:t>
                  </w:r>
                </w:p>
              </w:tc>
              <w:tc>
                <w:tcPr>
                  <w:tcW w:w="648" w:type="pct"/>
                  <w:tcBorders>
                    <w:tl2br w:val="nil"/>
                    <w:tr2bl w:val="nil"/>
                  </w:tcBorders>
                  <w:vAlign w:val="center"/>
                </w:tcPr>
                <w:p>
                  <w:pPr>
                    <w:adjustRightInd w:val="0"/>
                    <w:snapToGrid w:val="0"/>
                    <w:jc w:val="center"/>
                    <w:rPr>
                      <w:rFonts w:hint="eastAsia"/>
                      <w:color w:val="auto"/>
                      <w:szCs w:val="21"/>
                      <w:highlight w:val="none"/>
                    </w:rPr>
                  </w:pPr>
                  <w:r>
                    <w:rPr>
                      <w:rFonts w:hint="eastAsia"/>
                      <w:color w:val="auto"/>
                      <w:szCs w:val="21"/>
                      <w:highlight w:val="none"/>
                    </w:rPr>
                    <w:t>是</w:t>
                  </w:r>
                </w:p>
              </w:tc>
            </w:tr>
            <w:tr>
              <w:trPr>
                <w:trHeight w:val="397"/>
              </w:trPr>
              <w:tc>
                <w:tcPr>
                  <w:tcW w:w="1039" w:type="pct"/>
                  <w:gridSpan w:val="3"/>
                  <w:tcBorders>
                    <w:tl2br w:val="nil"/>
                    <w:tr2bl w:val="nil"/>
                  </w:tcBorders>
                  <w:vAlign w:val="center"/>
                </w:tcPr>
                <w:p>
                  <w:pPr>
                    <w:adjustRightInd w:val="0"/>
                    <w:snapToGrid w:val="0"/>
                    <w:jc w:val="center"/>
                    <w:rPr>
                      <w:rFonts w:hint="eastAsia"/>
                      <w:color w:val="auto"/>
                      <w:szCs w:val="21"/>
                      <w:highlight w:val="none"/>
                    </w:rPr>
                  </w:pPr>
                  <w:r>
                    <w:rPr>
                      <w:rFonts w:hint="eastAsia"/>
                      <w:color w:val="auto"/>
                      <w:szCs w:val="21"/>
                      <w:highlight w:val="none"/>
                    </w:rPr>
                    <w:t>项目入园准入要求</w:t>
                  </w:r>
                </w:p>
              </w:tc>
              <w:tc>
                <w:tcPr>
                  <w:tcW w:w="1692" w:type="pct"/>
                  <w:tcBorders>
                    <w:tl2br w:val="nil"/>
                    <w:tr2bl w:val="nil"/>
                  </w:tcBorders>
                  <w:vAlign w:val="center"/>
                </w:tcPr>
                <w:p>
                  <w:pPr>
                    <w:adjustRightInd w:val="0"/>
                    <w:snapToGrid w:val="0"/>
                    <w:rPr>
                      <w:rFonts w:hint="eastAsia"/>
                      <w:color w:val="auto"/>
                      <w:szCs w:val="21"/>
                      <w:highlight w:val="none"/>
                    </w:rPr>
                  </w:pPr>
                  <w:r>
                    <w:rPr>
                      <w:rFonts w:hint="eastAsia"/>
                      <w:color w:val="auto"/>
                      <w:szCs w:val="21"/>
                      <w:highlight w:val="none"/>
                    </w:rPr>
                    <w:t>1、县级以下原则不再建设新的园区，造纸、焦化、氮肥、有色金属、印染、原料药制造、皮革、农药、电镀、钢铁、石灰、平板玻璃、石化、化工等高污染工业项目必须入园进区。被认定为重点监控点的化工企业，可按照《河北省人民政府办公厅关于印发河北省化工重点监控点认定办法的通知》（冀政办字〔2021〕122号）相关要求执行。</w:t>
                  </w:r>
                </w:p>
                <w:p>
                  <w:pPr>
                    <w:adjustRightInd w:val="0"/>
                    <w:snapToGrid w:val="0"/>
                    <w:rPr>
                      <w:rFonts w:hint="eastAsia"/>
                      <w:color w:val="auto"/>
                      <w:szCs w:val="21"/>
                      <w:highlight w:val="none"/>
                    </w:rPr>
                  </w:pPr>
                  <w:r>
                    <w:rPr>
                      <w:rFonts w:hint="eastAsia"/>
                      <w:color w:val="auto"/>
                      <w:szCs w:val="21"/>
                      <w:highlight w:val="none"/>
                    </w:rPr>
                    <w:t>2、加强园区规划及环评时效性。现有县市级工业区在遵从规划、规划环评及跟踪评价的要求前提下，严格遵循全省、地市及对应单元生态环境准入要求。</w:t>
                  </w:r>
                </w:p>
                <w:p>
                  <w:pPr>
                    <w:adjustRightInd w:val="0"/>
                    <w:snapToGrid w:val="0"/>
                    <w:rPr>
                      <w:rFonts w:hint="eastAsia"/>
                      <w:color w:val="auto"/>
                      <w:szCs w:val="21"/>
                      <w:highlight w:val="none"/>
                    </w:rPr>
                  </w:pPr>
                  <w:r>
                    <w:rPr>
                      <w:rFonts w:hint="eastAsia"/>
                      <w:color w:val="auto"/>
                      <w:szCs w:val="21"/>
                      <w:highlight w:val="none"/>
                    </w:rPr>
                    <w:t>3、对新设立或扩区未开展规划环评的园区，规划定位、范围、布局、结构、规模等发生调整未开展规划环评调整的以及规划实施已超过5年未进行规划环境影响跟踪评价的园区，督促园区管委会抓紧整改。</w:t>
                  </w:r>
                </w:p>
                <w:p>
                  <w:pPr>
                    <w:adjustRightInd w:val="0"/>
                    <w:snapToGrid w:val="0"/>
                    <w:rPr>
                      <w:rFonts w:hint="eastAsia"/>
                      <w:color w:val="auto"/>
                      <w:szCs w:val="21"/>
                      <w:highlight w:val="none"/>
                    </w:rPr>
                  </w:pPr>
                  <w:r>
                    <w:rPr>
                      <w:rFonts w:hint="eastAsia"/>
                      <w:color w:val="auto"/>
                      <w:szCs w:val="21"/>
                      <w:highlight w:val="none"/>
                    </w:rPr>
                    <w:t>4、各级行政审批部门应把规划环评结论及审查意见的符合性作为入园建设项目环评审批的重要依据。严格落实产业园区规划环评对项目环评的指导要求，规划环评提出需要深入论证的，在项目环评审批阶段应重点把关。按要求可以简化内容的项目环评，不再增加相关环评内容要求。</w:t>
                  </w:r>
                </w:p>
              </w:tc>
              <w:tc>
                <w:tcPr>
                  <w:tcW w:w="1619" w:type="pct"/>
                  <w:tcBorders>
                    <w:tl2br w:val="nil"/>
                    <w:tr2bl w:val="nil"/>
                  </w:tcBorders>
                  <w:vAlign w:val="center"/>
                </w:tcPr>
                <w:p>
                  <w:pPr>
                    <w:adjustRightInd w:val="0"/>
                    <w:snapToGrid w:val="0"/>
                    <w:rPr>
                      <w:color w:val="auto"/>
                      <w:highlight w:val="none"/>
                    </w:rPr>
                  </w:pPr>
                  <w:r>
                    <w:rPr>
                      <w:rFonts w:hint="eastAsia"/>
                      <w:color w:val="auto"/>
                      <w:szCs w:val="21"/>
                      <w:highlight w:val="none"/>
                    </w:rPr>
                    <w:t>项目不属于高污染工业必须入园项目。</w:t>
                  </w:r>
                </w:p>
              </w:tc>
              <w:tc>
                <w:tcPr>
                  <w:tcW w:w="648" w:type="pct"/>
                  <w:tcBorders>
                    <w:tl2br w:val="nil"/>
                    <w:tr2bl w:val="nil"/>
                  </w:tcBorders>
                  <w:vAlign w:val="center"/>
                </w:tcPr>
                <w:p>
                  <w:pPr>
                    <w:adjustRightInd w:val="0"/>
                    <w:snapToGrid w:val="0"/>
                    <w:jc w:val="center"/>
                    <w:rPr>
                      <w:rFonts w:hint="eastAsia"/>
                      <w:color w:val="auto"/>
                      <w:szCs w:val="21"/>
                      <w:highlight w:val="none"/>
                    </w:rPr>
                  </w:pPr>
                  <w:r>
                    <w:rPr>
                      <w:rFonts w:hint="eastAsia"/>
                      <w:color w:val="auto"/>
                      <w:szCs w:val="21"/>
                      <w:highlight w:val="none"/>
                    </w:rPr>
                    <w:t>是</w:t>
                  </w:r>
                </w:p>
              </w:tc>
            </w:tr>
          </w:tbl>
          <w:p>
            <w:pPr>
              <w:ind w:firstLineChars="200" w:firstLine="480"/>
              <w:jc w:val="center"/>
              <w:rPr>
                <w:rFonts w:hint="eastAsia"/>
                <w:b/>
                <w:bCs/>
                <w:color w:val="auto"/>
                <w:sz w:val="24"/>
                <w:highlight w:val="none"/>
              </w:rPr>
            </w:pPr>
            <w:r>
              <w:rPr>
                <w:rFonts w:hint="eastAsia"/>
                <w:b/>
                <w:bCs/>
                <w:color w:val="auto"/>
                <w:sz w:val="24"/>
                <w:highlight w:val="none"/>
              </w:rPr>
              <w:t>表1-</w:t>
            </w:r>
            <w:r>
              <w:rPr>
                <w:rFonts w:hint="eastAsia"/>
                <w:b/>
                <w:bCs/>
                <w:color w:val="auto"/>
                <w:sz w:val="24"/>
                <w:lang w:val="en-US" w:eastAsia="zh-CN"/>
                <w:highlight w:val="none"/>
              </w:rPr>
              <w:t>9</w:t>
            </w:r>
            <w:r>
              <w:rPr>
                <w:rFonts w:hint="eastAsia"/>
                <w:b/>
                <w:bCs/>
                <w:color w:val="auto"/>
                <w:sz w:val="24"/>
                <w:highlight w:val="none"/>
              </w:rPr>
              <w:t xml:space="preserve">  栾城区生态环境准入清单</w:t>
            </w:r>
          </w:p>
          <w:tbl>
            <w:tblPr>
              <w:jc w:val="left"/>
              <w:tblInd w:w="5" w:type="dxa"/>
              <w:tblW w:w="7592" w:type="dxa"/>
              <w:tblBorders>
                <w:top w:val="single" w:sz="12" w:space="0" w:color="auto"/>
                <w:left w:val="none" w:sz="0" w:space="0" w:color="auto"/>
                <w:bottom w:val="single" w:sz="12" w:space="0" w:color="auto"/>
                <w:right w:val="none" w:sz="0" w:space="0" w:color="auto"/>
                <w:insideH w:val="single" w:sz="4" w:space="0" w:color="auto"/>
                <w:insideV w:val="single" w:sz="4" w:space="0" w:color="auto"/>
              </w:tblBorders>
              <w:tblCellMar>
                <w:top w:w="0" w:type="dxa"/>
                <w:left w:w="0" w:type="dxa"/>
                <w:bottom w:w="0" w:type="dxa"/>
                <w:right w:w="0" w:type="dxa"/>
              </w:tblCellMar>
              <w:tblLook w:val="0600" w:firstRow="0" w:lastRow="0" w:firstColumn="0" w:lastColumn="0" w:noHBand="1" w:noVBand="1"/>
            </w:tblPr>
            <w:tblGrid>
              <w:gridCol w:w="708"/>
              <w:gridCol w:w="349"/>
              <w:gridCol w:w="740"/>
              <w:gridCol w:w="567"/>
              <w:gridCol w:w="2476"/>
              <w:gridCol w:w="2134"/>
              <w:gridCol w:w="618"/>
            </w:tblGrid>
            <w:tr>
              <w:trPr>
                <w:trHeight w:val="340"/>
              </w:trPr>
              <w:tc>
                <w:tcPr>
                  <w:tcW w:w="708" w:type="dxa"/>
                  <w:tcBorders>
                    <w:tl2br w:val="nil"/>
                    <w:tr2bl w:val="nil"/>
                  </w:tcBorders>
                  <w:vAlign w:val="center"/>
                </w:tcPr>
                <w:p>
                  <w:pPr>
                    <w:adjustRightInd w:val="0"/>
                    <w:snapToGrid w:val="0"/>
                    <w:jc w:val="center"/>
                    <w:rPr>
                      <w:rFonts w:ascii="Times New Roman" w:cs="Times New Roman" w:hAnsi="Times New Roman"/>
                      <w:color w:val="auto"/>
                      <w:szCs w:val="21"/>
                      <w:highlight w:val="none"/>
                    </w:rPr>
                  </w:pPr>
                  <w:r>
                    <w:rPr>
                      <w:rFonts w:ascii="Times New Roman" w:cs="Times New Roman" w:hAnsi="Times New Roman"/>
                      <w:color w:val="auto"/>
                      <w:szCs w:val="21"/>
                      <w:highlight w:val="none"/>
                    </w:rPr>
                    <w:t>县（市、区）</w:t>
                  </w:r>
                </w:p>
              </w:tc>
              <w:tc>
                <w:tcPr>
                  <w:tcW w:w="349" w:type="dxa"/>
                  <w:tcBorders>
                    <w:tl2br w:val="nil"/>
                    <w:tr2bl w:val="nil"/>
                  </w:tcBorders>
                  <w:vAlign w:val="center"/>
                </w:tcPr>
                <w:p>
                  <w:pPr>
                    <w:adjustRightInd w:val="0"/>
                    <w:snapToGrid w:val="0"/>
                    <w:jc w:val="center"/>
                    <w:rPr>
                      <w:rFonts w:ascii="Times New Roman" w:cs="Times New Roman" w:hAnsi="Times New Roman"/>
                      <w:color w:val="auto"/>
                      <w:szCs w:val="21"/>
                      <w:highlight w:val="none"/>
                    </w:rPr>
                  </w:pPr>
                  <w:r>
                    <w:rPr>
                      <w:rFonts w:ascii="Times New Roman" w:cs="Times New Roman" w:hAnsi="Times New Roman"/>
                      <w:color w:val="auto"/>
                      <w:szCs w:val="21"/>
                      <w:highlight w:val="none"/>
                    </w:rPr>
                    <w:t>单元</w:t>
                  </w:r>
                </w:p>
                <w:p>
                  <w:pPr>
                    <w:adjustRightInd w:val="0"/>
                    <w:snapToGrid w:val="0"/>
                    <w:jc w:val="center"/>
                    <w:rPr>
                      <w:rFonts w:ascii="Times New Roman" w:cs="Times New Roman" w:hAnsi="Times New Roman"/>
                      <w:color w:val="auto"/>
                      <w:szCs w:val="21"/>
                      <w:highlight w:val="none"/>
                    </w:rPr>
                  </w:pPr>
                  <w:r>
                    <w:rPr>
                      <w:rFonts w:ascii="Times New Roman" w:cs="Times New Roman" w:hAnsi="Times New Roman"/>
                      <w:color w:val="auto"/>
                      <w:szCs w:val="21"/>
                      <w:highlight w:val="none"/>
                    </w:rPr>
                    <w:t>类别</w:t>
                  </w:r>
                </w:p>
              </w:tc>
              <w:tc>
                <w:tcPr>
                  <w:tcW w:w="740" w:type="dxa"/>
                  <w:tcBorders>
                    <w:tl2br w:val="nil"/>
                    <w:tr2bl w:val="nil"/>
                  </w:tcBorders>
                  <w:vAlign w:val="center"/>
                </w:tcPr>
                <w:p>
                  <w:pPr>
                    <w:adjustRightInd w:val="0"/>
                    <w:snapToGrid w:val="0"/>
                    <w:jc w:val="center"/>
                    <w:rPr>
                      <w:rFonts w:ascii="Times New Roman" w:cs="Times New Roman" w:hAnsi="Times New Roman"/>
                      <w:color w:val="auto"/>
                      <w:szCs w:val="21"/>
                      <w:highlight w:val="none"/>
                    </w:rPr>
                  </w:pPr>
                  <w:r>
                    <w:rPr>
                      <w:rFonts w:ascii="Times New Roman" w:cs="Times New Roman" w:hAnsi="Times New Roman"/>
                      <w:color w:val="auto"/>
                      <w:szCs w:val="21"/>
                      <w:highlight w:val="none"/>
                    </w:rPr>
                    <w:t>环境要素要求</w:t>
                  </w:r>
                </w:p>
              </w:tc>
              <w:tc>
                <w:tcPr>
                  <w:tcW w:w="567" w:type="dxa"/>
                  <w:tcBorders>
                    <w:tl2br w:val="nil"/>
                    <w:tr2bl w:val="nil"/>
                  </w:tcBorders>
                  <w:vAlign w:val="center"/>
                </w:tcPr>
                <w:p>
                  <w:pPr>
                    <w:adjustRightInd w:val="0"/>
                    <w:snapToGrid w:val="0"/>
                    <w:jc w:val="center"/>
                    <w:rPr>
                      <w:rFonts w:ascii="Times New Roman" w:cs="Times New Roman" w:hAnsi="Times New Roman"/>
                      <w:color w:val="auto"/>
                      <w:szCs w:val="21"/>
                      <w:highlight w:val="none"/>
                    </w:rPr>
                  </w:pPr>
                  <w:r>
                    <w:rPr>
                      <w:rFonts w:ascii="Times New Roman" w:cs="Times New Roman" w:hAnsi="Times New Roman"/>
                      <w:color w:val="auto"/>
                      <w:szCs w:val="21"/>
                      <w:highlight w:val="none"/>
                    </w:rPr>
                    <w:t>维度</w:t>
                  </w:r>
                </w:p>
              </w:tc>
              <w:tc>
                <w:tcPr>
                  <w:tcW w:w="2476" w:type="dxa"/>
                  <w:tcBorders>
                    <w:tl2br w:val="nil"/>
                    <w:tr2bl w:val="nil"/>
                  </w:tcBorders>
                  <w:vAlign w:val="center"/>
                </w:tcPr>
                <w:p>
                  <w:pPr>
                    <w:adjustRightInd w:val="0"/>
                    <w:snapToGrid w:val="0"/>
                    <w:jc w:val="center"/>
                    <w:rPr>
                      <w:rFonts w:ascii="Times New Roman" w:cs="Times New Roman" w:hAnsi="Times New Roman"/>
                      <w:color w:val="auto"/>
                      <w:szCs w:val="21"/>
                      <w:highlight w:val="none"/>
                    </w:rPr>
                  </w:pPr>
                  <w:r>
                    <w:rPr>
                      <w:rFonts w:ascii="Times New Roman" w:cs="Times New Roman" w:hAnsi="Times New Roman"/>
                      <w:color w:val="auto"/>
                      <w:szCs w:val="21"/>
                      <w:highlight w:val="none"/>
                    </w:rPr>
                    <w:t>管控措施</w:t>
                  </w:r>
                </w:p>
              </w:tc>
              <w:tc>
                <w:tcPr>
                  <w:tcW w:w="2134" w:type="dxa"/>
                  <w:tcBorders>
                    <w:tl2br w:val="nil"/>
                    <w:tr2bl w:val="nil"/>
                  </w:tcBorders>
                  <w:vAlign w:val="center"/>
                </w:tcPr>
                <w:p>
                  <w:pPr>
                    <w:adjustRightInd w:val="0"/>
                    <w:snapToGrid w:val="0"/>
                    <w:jc w:val="center"/>
                    <w:rPr>
                      <w:rFonts w:ascii="Times New Roman" w:cs="Times New Roman" w:hAnsi="Times New Roman"/>
                      <w:color w:val="auto"/>
                      <w:szCs w:val="21"/>
                      <w:highlight w:val="none"/>
                    </w:rPr>
                  </w:pPr>
                  <w:r>
                    <w:rPr>
                      <w:rFonts w:ascii="Times New Roman" w:cs="Times New Roman" w:hAnsi="Times New Roman"/>
                      <w:color w:val="auto"/>
                      <w:szCs w:val="21"/>
                      <w:highlight w:val="none"/>
                    </w:rPr>
                    <w:t>项目情况</w:t>
                  </w:r>
                </w:p>
              </w:tc>
              <w:tc>
                <w:tcPr>
                  <w:tcW w:w="618" w:type="dxa"/>
                  <w:tcBorders>
                    <w:tl2br w:val="nil"/>
                    <w:tr2bl w:val="nil"/>
                  </w:tcBorders>
                  <w:vAlign w:val="center"/>
                </w:tcPr>
                <w:p>
                  <w:pPr>
                    <w:adjustRightInd w:val="0"/>
                    <w:snapToGrid w:val="0"/>
                    <w:jc w:val="center"/>
                    <w:rPr>
                      <w:rFonts w:ascii="Times New Roman" w:cs="Times New Roman" w:hAnsi="Times New Roman"/>
                      <w:color w:val="auto"/>
                      <w:szCs w:val="21"/>
                      <w:highlight w:val="none"/>
                    </w:rPr>
                  </w:pPr>
                  <w:r>
                    <w:rPr>
                      <w:rFonts w:ascii="Times New Roman" w:cs="Times New Roman" w:hAnsi="Times New Roman"/>
                      <w:color w:val="auto"/>
                      <w:szCs w:val="21"/>
                      <w:highlight w:val="none"/>
                    </w:rPr>
                    <w:t>是否符合相关要求</w:t>
                  </w:r>
                </w:p>
              </w:tc>
            </w:tr>
            <w:tr>
              <w:trPr>
                <w:trHeight w:val="340"/>
              </w:trPr>
              <w:tc>
                <w:tcPr>
                  <w:tcW w:w="708" w:type="dxa"/>
                  <w:vMerge w:val="restart"/>
                  <w:tcBorders>
                    <w:tl2br w:val="nil"/>
                    <w:tr2bl w:val="nil"/>
                  </w:tcBorders>
                  <w:vAlign w:val="center"/>
                </w:tcPr>
                <w:p>
                  <w:pPr>
                    <w:adjustRightInd w:val="0"/>
                    <w:snapToGrid w:val="0"/>
                    <w:jc w:val="center"/>
                    <w:rPr>
                      <w:rFonts w:ascii="Times New Roman" w:cs="Times New Roman" w:hAnsi="Times New Roman"/>
                      <w:color w:val="auto"/>
                      <w:szCs w:val="21"/>
                      <w:highlight w:val="none"/>
                    </w:rPr>
                  </w:pPr>
                  <w:r>
                    <w:rPr>
                      <w:rFonts w:ascii="Times New Roman" w:cs="Times New Roman" w:hAnsi="Times New Roman"/>
                      <w:color w:val="auto"/>
                      <w:szCs w:val="21"/>
                      <w:highlight w:val="none"/>
                    </w:rPr>
                    <w:t>栾城区</w:t>
                  </w:r>
                </w:p>
              </w:tc>
              <w:tc>
                <w:tcPr>
                  <w:tcW w:w="349" w:type="dxa"/>
                  <w:vMerge w:val="restart"/>
                  <w:tcBorders>
                    <w:tl2br w:val="nil"/>
                    <w:tr2bl w:val="nil"/>
                  </w:tcBorders>
                  <w:vAlign w:val="center"/>
                </w:tcPr>
                <w:p>
                  <w:pPr>
                    <w:adjustRightInd w:val="0"/>
                    <w:snapToGrid w:val="0"/>
                    <w:jc w:val="center"/>
                    <w:rPr>
                      <w:rFonts w:ascii="Times New Roman" w:cs="Times New Roman" w:hAnsi="Times New Roman"/>
                      <w:color w:val="auto"/>
                      <w:szCs w:val="21"/>
                      <w:highlight w:val="none"/>
                    </w:rPr>
                  </w:pPr>
                  <w:r>
                    <w:rPr>
                      <w:rFonts w:ascii="Times New Roman" w:cs="Times New Roman" w:hAnsi="Times New Roman"/>
                      <w:color w:val="auto"/>
                      <w:szCs w:val="21"/>
                      <w:highlight w:val="none"/>
                    </w:rPr>
                    <w:t>重点管控单元8</w:t>
                  </w:r>
                </w:p>
              </w:tc>
              <w:tc>
                <w:tcPr>
                  <w:tcW w:w="740" w:type="dxa"/>
                  <w:vMerge w:val="restart"/>
                  <w:tcBorders>
                    <w:tl2br w:val="nil"/>
                    <w:tr2bl w:val="nil"/>
                  </w:tcBorders>
                  <w:vAlign w:val="center"/>
                </w:tcPr>
                <w:p>
                  <w:pPr>
                    <w:adjustRightInd w:val="0"/>
                    <w:snapToGrid w:val="0"/>
                    <w:jc w:val="center"/>
                    <w:rPr>
                      <w:rFonts w:ascii="Times New Roman" w:cs="Times New Roman" w:hAnsi="Times New Roman"/>
                      <w:color w:val="auto"/>
                      <w:szCs w:val="21"/>
                      <w:highlight w:val="none"/>
                    </w:rPr>
                  </w:pPr>
                  <w:r>
                    <w:rPr>
                      <w:rFonts w:ascii="Times New Roman" w:cs="Times New Roman" w:hAnsi="Times New Roman"/>
                      <w:color w:val="auto"/>
                      <w:szCs w:val="21"/>
                      <w:highlight w:val="none"/>
                    </w:rPr>
                    <w:t>大气环境高排放重点管控区水环境工业污染重点管控区、河北石家庄装备制造产业园、高污染燃料禁燃区</w:t>
                  </w:r>
                </w:p>
              </w:tc>
              <w:tc>
                <w:tcPr>
                  <w:tcW w:w="567" w:type="dxa"/>
                  <w:tcBorders>
                    <w:tl2br w:val="nil"/>
                    <w:tr2bl w:val="nil"/>
                  </w:tcBorders>
                  <w:vAlign w:val="center"/>
                </w:tcPr>
                <w:p>
                  <w:pPr>
                    <w:adjustRightInd w:val="0"/>
                    <w:snapToGrid w:val="0"/>
                    <w:jc w:val="center"/>
                    <w:rPr>
                      <w:rFonts w:ascii="Times New Roman" w:cs="Times New Roman" w:hAnsi="Times New Roman"/>
                      <w:color w:val="auto"/>
                      <w:szCs w:val="21"/>
                      <w:highlight w:val="none"/>
                    </w:rPr>
                  </w:pPr>
                  <w:r>
                    <w:rPr>
                      <w:rFonts w:ascii="Times New Roman" w:cs="Times New Roman" w:hAnsi="Times New Roman"/>
                      <w:color w:val="auto"/>
                      <w:szCs w:val="21"/>
                      <w:highlight w:val="none"/>
                    </w:rPr>
                    <w:t>空间布局约束</w:t>
                  </w:r>
                </w:p>
              </w:tc>
              <w:tc>
                <w:tcPr>
                  <w:tcW w:w="2476" w:type="dxa"/>
                  <w:tcBorders>
                    <w:tl2br w:val="nil"/>
                    <w:tr2bl w:val="nil"/>
                  </w:tcBorders>
                  <w:vAlign w:val="center"/>
                </w:tcPr>
                <w:p>
                  <w:pPr>
                    <w:adjustRightInd w:val="0"/>
                    <w:snapToGrid w:val="0"/>
                    <w:jc w:val="both"/>
                    <w:rPr>
                      <w:rFonts w:ascii="Times New Roman" w:cs="Times New Roman" w:hAnsi="Times New Roman"/>
                      <w:color w:val="auto"/>
                      <w:highlight w:val="none"/>
                    </w:rPr>
                  </w:pPr>
                  <w:r>
                    <w:rPr>
                      <w:rFonts w:ascii="Times New Roman" w:cs="Times New Roman" w:hAnsi="Times New Roman"/>
                      <w:color w:val="auto"/>
                      <w:highlight w:val="none"/>
                    </w:rPr>
                    <w:t>1、严格落实国家、河北省以及石家庄市最新产业目录准入要求。</w:t>
                  </w:r>
                </w:p>
                <w:p>
                  <w:pPr>
                    <w:adjustRightInd w:val="0"/>
                    <w:snapToGrid w:val="0"/>
                    <w:jc w:val="both"/>
                    <w:rPr>
                      <w:rFonts w:ascii="Times New Roman" w:cs="Times New Roman" w:hAnsi="Times New Roman"/>
                      <w:color w:val="auto"/>
                      <w:highlight w:val="none"/>
                    </w:rPr>
                  </w:pPr>
                  <w:r>
                    <w:rPr>
                      <w:rFonts w:ascii="Times New Roman" w:cs="Times New Roman" w:hAnsi="Times New Roman"/>
                      <w:color w:val="auto"/>
                      <w:highlight w:val="none"/>
                    </w:rPr>
                    <w:t>2、严格落实最新规划环评及其审查意见制定的环境准入要求。</w:t>
                  </w:r>
                </w:p>
              </w:tc>
              <w:tc>
                <w:tcPr>
                  <w:tcW w:w="2134" w:type="dxa"/>
                  <w:tcBorders>
                    <w:tl2br w:val="nil"/>
                    <w:tr2bl w:val="nil"/>
                  </w:tcBorders>
                  <w:vAlign w:val="center"/>
                </w:tcPr>
                <w:p>
                  <w:pPr>
                    <w:pStyle w:val="68"/>
                    <w:tabs>
                      <w:tab w:val="left" w:pos="0"/>
                      <w:tab w:val="left" w:pos="360"/>
                      <w:tab w:val="left" w:pos="900"/>
                    </w:tabs>
                    <w:rPr>
                      <w:rFonts w:ascii="Times New Roman" w:cs="Times New Roman" w:hAnsi="Times New Roman"/>
                      <w:color w:val="auto"/>
                      <w:highlight w:val="none"/>
                    </w:rPr>
                  </w:pPr>
                  <w:r>
                    <w:rPr>
                      <w:rFonts w:ascii="Times New Roman" w:cs="Times New Roman" w:hAnsi="Times New Roman"/>
                      <w:color w:val="auto"/>
                      <w:highlight w:val="none"/>
                    </w:rPr>
                    <w:t>项目符合国家产业政策；</w:t>
                  </w:r>
                </w:p>
              </w:tc>
              <w:tc>
                <w:tcPr>
                  <w:tcW w:w="618" w:type="dxa"/>
                  <w:tcBorders>
                    <w:tl2br w:val="nil"/>
                    <w:tr2bl w:val="nil"/>
                  </w:tcBorders>
                  <w:vAlign w:val="center"/>
                </w:tcPr>
                <w:p>
                  <w:pPr>
                    <w:adjustRightInd w:val="0"/>
                    <w:snapToGrid w:val="0"/>
                    <w:jc w:val="center"/>
                    <w:rPr>
                      <w:rFonts w:ascii="Times New Roman" w:cs="Times New Roman" w:hAnsi="Times New Roman"/>
                      <w:color w:val="auto"/>
                      <w:szCs w:val="21"/>
                      <w:highlight w:val="none"/>
                    </w:rPr>
                  </w:pPr>
                  <w:r>
                    <w:rPr>
                      <w:rFonts w:ascii="Times New Roman" w:cs="Times New Roman" w:hAnsi="Times New Roman"/>
                      <w:color w:val="auto"/>
                      <w:szCs w:val="21"/>
                      <w:highlight w:val="none"/>
                    </w:rPr>
                    <w:t>符合</w:t>
                  </w:r>
                </w:p>
              </w:tc>
            </w:tr>
            <w:tr>
              <w:trPr>
                <w:trHeight w:val="340"/>
              </w:trPr>
              <w:tc>
                <w:tcPr>
                  <w:tcW w:w="708" w:type="dxa"/>
                  <w:vMerge/>
                  <w:tcBorders>
                    <w:tl2br w:val="nil"/>
                    <w:tr2bl w:val="nil"/>
                  </w:tcBorders>
                  <w:vAlign w:val="center"/>
                </w:tcPr>
                <w:p/>
              </w:tc>
              <w:tc>
                <w:tcPr>
                  <w:tcW w:w="349" w:type="dxa"/>
                  <w:vMerge/>
                  <w:tcBorders>
                    <w:tl2br w:val="nil"/>
                    <w:tr2bl w:val="nil"/>
                  </w:tcBorders>
                  <w:vAlign w:val="center"/>
                </w:tcPr>
                <w:p/>
              </w:tc>
              <w:tc>
                <w:tcPr>
                  <w:tcW w:w="740" w:type="dxa"/>
                  <w:vMerge/>
                  <w:tcBorders>
                    <w:tl2br w:val="nil"/>
                    <w:tr2bl w:val="nil"/>
                  </w:tcBorders>
                  <w:vAlign w:val="center"/>
                </w:tcPr>
                <w:p/>
              </w:tc>
              <w:tc>
                <w:tcPr>
                  <w:tcW w:w="567" w:type="dxa"/>
                  <w:tcBorders>
                    <w:tl2br w:val="nil"/>
                    <w:tr2bl w:val="nil"/>
                  </w:tcBorders>
                  <w:vAlign w:val="center"/>
                </w:tcPr>
                <w:p>
                  <w:pPr>
                    <w:adjustRightInd w:val="0"/>
                    <w:snapToGrid w:val="0"/>
                    <w:jc w:val="center"/>
                    <w:rPr>
                      <w:rFonts w:ascii="Times New Roman" w:cs="Times New Roman" w:hAnsi="Times New Roman"/>
                      <w:color w:val="auto"/>
                      <w:szCs w:val="21"/>
                      <w:highlight w:val="none"/>
                    </w:rPr>
                  </w:pPr>
                  <w:r>
                    <w:rPr>
                      <w:rFonts w:ascii="Times New Roman" w:cs="Times New Roman" w:hAnsi="Times New Roman"/>
                      <w:color w:val="auto"/>
                      <w:szCs w:val="21"/>
                      <w:highlight w:val="none"/>
                    </w:rPr>
                    <w:t>污染物排放管控</w:t>
                  </w:r>
                </w:p>
              </w:tc>
              <w:tc>
                <w:tcPr>
                  <w:tcW w:w="2476" w:type="dxa"/>
                  <w:tcBorders>
                    <w:tl2br w:val="nil"/>
                    <w:tr2bl w:val="nil"/>
                  </w:tcBorders>
                  <w:vAlign w:val="center"/>
                </w:tcPr>
                <w:p>
                  <w:pPr>
                    <w:adjustRightInd w:val="0"/>
                    <w:snapToGrid w:val="0"/>
                    <w:jc w:val="both"/>
                    <w:rPr>
                      <w:rFonts w:ascii="Times New Roman" w:cs="Times New Roman" w:hAnsi="Times New Roman"/>
                      <w:color w:val="auto"/>
                      <w:highlight w:val="none"/>
                    </w:rPr>
                  </w:pPr>
                  <w:r>
                    <w:rPr>
                      <w:rFonts w:ascii="Times New Roman" w:cs="Times New Roman" w:hAnsi="Times New Roman"/>
                      <w:color w:val="auto"/>
                      <w:highlight w:val="none"/>
                    </w:rPr>
                    <w:t>1、新（改、扩）建向环境水体直接排放污水的排污单位执行《子牙河流域水污染物排放标准》（DB13/2796-2018）排放限值。2、落实《关于加强重点行业建设项目区域削减措施监督管理的通知》环办环评〔2020〕36号的要求。3、建材（含水泥、玻璃、陶瓷、石灰）、化工、铸造等行业企业料堆场按照河北省《煤场、料场、渣场扬尘污染控制技术规范》（DB13/T2352-2016）地方标准存储要求，实现规范管理。4、深入开展质量提升行动，在印染、化工等行业，依法实施强制性清洁生产审核。</w:t>
                  </w:r>
                </w:p>
              </w:tc>
              <w:tc>
                <w:tcPr>
                  <w:tcW w:w="2134" w:type="dxa"/>
                  <w:tcBorders>
                    <w:tl2br w:val="nil"/>
                    <w:tr2bl w:val="nil"/>
                  </w:tcBorders>
                  <w:vAlign w:val="center"/>
                </w:tcPr>
                <w:p>
                  <w:pPr>
                    <w:pStyle w:val="68"/>
                    <w:tabs>
                      <w:tab w:val="left" w:pos="0"/>
                      <w:tab w:val="left" w:pos="360"/>
                      <w:tab w:val="left" w:pos="900"/>
                    </w:tabs>
                    <w:jc w:val="both"/>
                    <w:rPr>
                      <w:rFonts w:ascii="Times New Roman" w:eastAsia="Segoe UI" w:cs="Times New Roman" w:hAnsi="Times New Roman" w:hint="eastAsia"/>
                      <w:i w:val="0"/>
                      <w:iCs w:val="0"/>
                      <w:caps w:val="0"/>
                      <w:smallCaps w:val="0"/>
                      <w:color w:val="auto"/>
                      <w:spacing w:val="0"/>
                      <w:sz w:val="21"/>
                      <w:szCs w:val="21"/>
                      <w:shd w:val="clear" w:color="auto" w:fill="FFFFFF"/>
                      <w:lang w:val="en-US" w:eastAsia="zh-CN"/>
                      <w:highlight w:val="none"/>
                    </w:rPr>
                  </w:pPr>
                  <w:r>
                    <w:rPr>
                      <w:rFonts w:ascii="Times New Roman" w:cs="Times New Roman" w:hAnsi="Times New Roman"/>
                      <w:color w:val="auto"/>
                      <w:szCs w:val="21"/>
                      <w:highlight w:val="none"/>
                    </w:rPr>
                    <w:t>1、</w:t>
                  </w:r>
                  <w:r>
                    <w:rPr>
                      <w:rFonts w:ascii="Times New Roman" w:eastAsia="Segoe UI" w:cs="Times New Roman" w:hAnsi="Times New Roman"/>
                      <w:bCs w:val="0"/>
                      <w:i w:val="0"/>
                      <w:iCs w:val="0"/>
                      <w:caps w:val="0"/>
                      <w:smallCaps w:val="0"/>
                      <w:color w:val="auto"/>
                      <w:spacing w:val="0"/>
                      <w:kern w:val="0"/>
                      <w:sz w:val="21"/>
                      <w:szCs w:val="21"/>
                      <w:shd w:val="clear" w:color="auto" w:fill="FFFFFF"/>
                      <w:lang w:val="en-US" w:eastAsia="zh-CN" w:bidi="ar-SA"/>
                      <w:highlight w:val="none"/>
                    </w:rPr>
                    <w:t>项目</w:t>
                  </w:r>
                  <w:r>
                    <w:rPr>
                      <w:rFonts w:ascii="Times New Roman" w:eastAsia="Segoe UI" w:cs="Times New Roman" w:hAnsi="Times New Roman" w:hint="eastAsia"/>
                      <w:bCs w:val="0"/>
                      <w:i w:val="0"/>
                      <w:iCs w:val="0"/>
                      <w:caps w:val="0"/>
                      <w:smallCaps w:val="0"/>
                      <w:color w:val="auto"/>
                      <w:spacing w:val="0"/>
                      <w:kern w:val="0"/>
                      <w:sz w:val="21"/>
                      <w:szCs w:val="21"/>
                      <w:shd w:val="clear" w:color="auto" w:fill="FFFFFF"/>
                      <w:lang w:val="en-US" w:eastAsia="zh-CN" w:bidi="ar-SA"/>
                      <w:highlight w:val="none"/>
                    </w:rPr>
                    <w:t>废水主要为生活污水</w:t>
                  </w:r>
                  <w:r>
                    <w:rPr>
                      <w:rFonts w:eastAsia="Segoe UI" w:cs="Times New Roman" w:hint="eastAsia"/>
                      <w:bCs w:val="0"/>
                      <w:i w:val="0"/>
                      <w:iCs w:val="0"/>
                      <w:caps w:val="0"/>
                      <w:smallCaps w:val="0"/>
                      <w:color w:val="auto"/>
                      <w:spacing w:val="0"/>
                      <w:kern w:val="0"/>
                      <w:sz w:val="21"/>
                      <w:szCs w:val="21"/>
                      <w:shd w:val="clear" w:color="auto" w:fill="FFFFFF"/>
                      <w:lang w:val="en-US" w:eastAsia="zh-CN" w:bidi="ar-SA"/>
                      <w:highlight w:val="none"/>
                    </w:rPr>
                    <w:t>，</w:t>
                  </w:r>
                  <w:r>
                    <w:rPr>
                      <w:rFonts w:ascii="Times New Roman" w:eastAsia="宋体" w:cs="Times New Roman" w:hAnsi="Times New Roman"/>
                      <w:color w:val="auto"/>
                      <w:kern w:val="2"/>
                      <w:sz w:val="21"/>
                      <w:szCs w:val="21"/>
                      <w:lang w:val="en-US" w:eastAsia="zh-CN" w:bidi="ar-SA"/>
                      <w:highlight w:val="none"/>
                    </w:rPr>
                    <w:t>依托河北泽豪环保新材料科技有限公司化粪池处理后，</w:t>
                  </w:r>
                  <w:r>
                    <w:rPr>
                      <w:rFonts w:cs="Times New Roman" w:hint="eastAsia"/>
                      <w:color w:val="auto"/>
                      <w:kern w:val="2"/>
                      <w:sz w:val="21"/>
                      <w:szCs w:val="21"/>
                      <w:lang w:val="en-US" w:eastAsia="zh-CN" w:bidi="ar-SA"/>
                      <w:highlight w:val="none"/>
                    </w:rPr>
                    <w:t>定期清掏，不外排</w:t>
                  </w:r>
                  <w:r>
                    <w:rPr>
                      <w:rFonts w:ascii="Times New Roman" w:eastAsia="Segoe UI" w:cs="Times New Roman" w:hAnsi="Times New Roman" w:hint="eastAsia"/>
                      <w:i w:val="0"/>
                      <w:iCs w:val="0"/>
                      <w:caps w:val="0"/>
                      <w:smallCaps w:val="0"/>
                      <w:color w:val="auto"/>
                      <w:spacing w:val="0"/>
                      <w:sz w:val="21"/>
                      <w:szCs w:val="21"/>
                      <w:shd w:val="clear" w:color="auto" w:fill="FFFFFF"/>
                      <w:lang w:val="en-US" w:eastAsia="zh-CN"/>
                      <w:highlight w:val="none"/>
                    </w:rPr>
                    <w:t>。</w:t>
                  </w:r>
                </w:p>
                <w:p>
                  <w:pPr>
                    <w:pStyle w:val="68"/>
                    <w:tabs>
                      <w:tab w:val="left" w:pos="0"/>
                      <w:tab w:val="left" w:pos="360"/>
                      <w:tab w:val="left" w:pos="900"/>
                    </w:tabs>
                    <w:jc w:val="both"/>
                    <w:rPr>
                      <w:rFonts w:ascii="Times New Roman" w:cs="Times New Roman" w:hAnsi="Times New Roman"/>
                      <w:color w:val="auto"/>
                      <w:highlight w:val="none"/>
                    </w:rPr>
                  </w:pPr>
                  <w:r>
                    <w:rPr>
                      <w:rFonts w:ascii="Times New Roman" w:cs="Times New Roman" w:hAnsi="Times New Roman"/>
                      <w:color w:val="auto"/>
                      <w:highlight w:val="none"/>
                    </w:rPr>
                    <w:t>2、</w:t>
                  </w:r>
                  <w:r>
                    <w:rPr>
                      <w:rFonts w:ascii="Times New Roman" w:cs="Times New Roman" w:hAnsi="Times New Roman"/>
                      <w:color w:val="auto"/>
                      <w:szCs w:val="21"/>
                      <w:highlight w:val="none"/>
                    </w:rPr>
                    <w:t>项目不属于</w:t>
                  </w:r>
                  <w:r>
                    <w:rPr>
                      <w:rFonts w:ascii="Times New Roman" w:cs="Times New Roman" w:hAnsi="Times New Roman"/>
                      <w:color w:val="auto"/>
                      <w:highlight w:val="none"/>
                    </w:rPr>
                    <w:t>环办环评〔2020〕36号中所列项目；</w:t>
                  </w:r>
                </w:p>
                <w:p>
                  <w:pPr>
                    <w:pStyle w:val="68"/>
                    <w:tabs>
                      <w:tab w:val="left" w:pos="0"/>
                      <w:tab w:val="left" w:pos="360"/>
                      <w:tab w:val="left" w:pos="900"/>
                    </w:tabs>
                    <w:jc w:val="both"/>
                    <w:rPr>
                      <w:rFonts w:ascii="Times New Roman" w:cs="Times New Roman" w:hAnsi="Times New Roman"/>
                      <w:color w:val="auto"/>
                      <w:highlight w:val="none"/>
                    </w:rPr>
                  </w:pPr>
                  <w:r>
                    <w:rPr>
                      <w:rFonts w:ascii="Times New Roman" w:cs="Times New Roman" w:hAnsi="Times New Roman"/>
                      <w:color w:val="auto"/>
                      <w:highlight w:val="none"/>
                    </w:rPr>
                    <w:t>3、</w:t>
                  </w:r>
                  <w:r>
                    <w:rPr>
                      <w:rFonts w:ascii="Times New Roman" w:cs="Times New Roman" w:hAnsi="Times New Roman"/>
                      <w:color w:val="auto"/>
                      <w:szCs w:val="21"/>
                      <w:highlight w:val="none"/>
                    </w:rPr>
                    <w:t>项目不涉及</w:t>
                  </w:r>
                  <w:r>
                    <w:rPr>
                      <w:rFonts w:ascii="Times New Roman" w:cs="Times New Roman" w:hAnsi="Times New Roman"/>
                      <w:color w:val="auto"/>
                      <w:highlight w:val="none"/>
                    </w:rPr>
                    <w:t>料堆场；</w:t>
                  </w:r>
                </w:p>
                <w:p>
                  <w:pPr>
                    <w:pStyle w:val="68"/>
                    <w:tabs>
                      <w:tab w:val="left" w:pos="0"/>
                      <w:tab w:val="left" w:pos="360"/>
                      <w:tab w:val="left" w:pos="900"/>
                    </w:tabs>
                    <w:jc w:val="both"/>
                    <w:rPr>
                      <w:rFonts w:ascii="Times New Roman" w:cs="Times New Roman" w:hAnsi="Times New Roman"/>
                      <w:color w:val="auto"/>
                      <w:highlight w:val="none"/>
                    </w:rPr>
                  </w:pPr>
                  <w:r>
                    <w:rPr>
                      <w:rFonts w:ascii="Times New Roman" w:cs="Times New Roman" w:hAnsi="Times New Roman"/>
                      <w:color w:val="auto"/>
                      <w:highlight w:val="none"/>
                    </w:rPr>
                    <w:t>4、</w:t>
                  </w:r>
                  <w:r>
                    <w:rPr>
                      <w:rFonts w:ascii="Times New Roman" w:cs="Times New Roman" w:hAnsi="Times New Roman"/>
                      <w:color w:val="auto"/>
                      <w:szCs w:val="21"/>
                      <w:highlight w:val="none"/>
                    </w:rPr>
                    <w:t>项目不属于</w:t>
                  </w:r>
                  <w:r>
                    <w:rPr>
                      <w:rFonts w:ascii="Times New Roman" w:cs="Times New Roman" w:hAnsi="Times New Roman"/>
                      <w:color w:val="auto"/>
                      <w:highlight w:val="none"/>
                    </w:rPr>
                    <w:t>印染、化工行业。</w:t>
                  </w:r>
                </w:p>
              </w:tc>
              <w:tc>
                <w:tcPr>
                  <w:tcW w:w="618" w:type="dxa"/>
                  <w:tcBorders>
                    <w:tl2br w:val="nil"/>
                    <w:tr2bl w:val="nil"/>
                  </w:tcBorders>
                  <w:vAlign w:val="center"/>
                </w:tcPr>
                <w:p>
                  <w:pPr>
                    <w:adjustRightInd w:val="0"/>
                    <w:snapToGrid w:val="0"/>
                    <w:jc w:val="center"/>
                    <w:rPr>
                      <w:rFonts w:ascii="Times New Roman" w:cs="Times New Roman" w:hAnsi="Times New Roman"/>
                      <w:color w:val="auto"/>
                      <w:szCs w:val="21"/>
                      <w:highlight w:val="none"/>
                    </w:rPr>
                  </w:pPr>
                  <w:r>
                    <w:rPr>
                      <w:rFonts w:ascii="Times New Roman" w:cs="Times New Roman" w:hAnsi="Times New Roman"/>
                      <w:color w:val="auto"/>
                      <w:szCs w:val="21"/>
                      <w:highlight w:val="none"/>
                    </w:rPr>
                    <w:t>符合</w:t>
                  </w:r>
                </w:p>
              </w:tc>
            </w:tr>
            <w:tr>
              <w:trPr>
                <w:trHeight w:val="340"/>
              </w:trPr>
              <w:tc>
                <w:tcPr>
                  <w:tcW w:w="708" w:type="dxa"/>
                  <w:vMerge/>
                  <w:tcBorders>
                    <w:tl2br w:val="nil"/>
                    <w:tr2bl w:val="nil"/>
                  </w:tcBorders>
                  <w:vAlign w:val="center"/>
                </w:tcPr>
                <w:p/>
              </w:tc>
              <w:tc>
                <w:tcPr>
                  <w:tcW w:w="349" w:type="dxa"/>
                  <w:vMerge/>
                  <w:tcBorders>
                    <w:tl2br w:val="nil"/>
                    <w:tr2bl w:val="nil"/>
                  </w:tcBorders>
                  <w:vAlign w:val="center"/>
                </w:tcPr>
                <w:p/>
              </w:tc>
              <w:tc>
                <w:tcPr>
                  <w:tcW w:w="740" w:type="dxa"/>
                  <w:vMerge/>
                  <w:tcBorders>
                    <w:tl2br w:val="nil"/>
                    <w:tr2bl w:val="nil"/>
                  </w:tcBorders>
                  <w:vAlign w:val="center"/>
                </w:tcPr>
                <w:p/>
              </w:tc>
              <w:tc>
                <w:tcPr>
                  <w:tcW w:w="567" w:type="dxa"/>
                  <w:tcBorders>
                    <w:tl2br w:val="nil"/>
                    <w:tr2bl w:val="nil"/>
                  </w:tcBorders>
                  <w:vAlign w:val="center"/>
                </w:tcPr>
                <w:p>
                  <w:pPr>
                    <w:adjustRightInd w:val="0"/>
                    <w:snapToGrid w:val="0"/>
                    <w:jc w:val="center"/>
                    <w:rPr>
                      <w:rFonts w:ascii="Times New Roman" w:cs="Times New Roman" w:hAnsi="Times New Roman"/>
                      <w:color w:val="auto"/>
                      <w:szCs w:val="21"/>
                      <w:highlight w:val="none"/>
                    </w:rPr>
                  </w:pPr>
                  <w:r>
                    <w:rPr>
                      <w:rFonts w:ascii="Times New Roman" w:cs="Times New Roman" w:hAnsi="Times New Roman"/>
                      <w:color w:val="auto"/>
                      <w:szCs w:val="21"/>
                      <w:highlight w:val="none"/>
                    </w:rPr>
                    <w:t>环境风险防控</w:t>
                  </w:r>
                </w:p>
              </w:tc>
              <w:tc>
                <w:tcPr>
                  <w:tcW w:w="2476" w:type="dxa"/>
                  <w:tcBorders>
                    <w:tl2br w:val="nil"/>
                    <w:tr2bl w:val="nil"/>
                  </w:tcBorders>
                  <w:vAlign w:val="center"/>
                </w:tcPr>
                <w:p>
                  <w:pPr>
                    <w:adjustRightInd w:val="0"/>
                    <w:snapToGrid w:val="0"/>
                    <w:jc w:val="both"/>
                    <w:rPr>
                      <w:rFonts w:ascii="Times New Roman" w:cs="Times New Roman" w:hAnsi="Times New Roman"/>
                      <w:color w:val="auto"/>
                      <w:highlight w:val="none"/>
                    </w:rPr>
                  </w:pPr>
                  <w:r>
                    <w:rPr>
                      <w:rFonts w:ascii="Times New Roman" w:cs="Times New Roman" w:hAnsi="Times New Roman"/>
                      <w:color w:val="auto"/>
                      <w:highlight w:val="none"/>
                    </w:rPr>
                    <w:t>1、鼓励开展固体废弃物资源循环利用。根据地块规划用途编制治理与修复工程方案，开展治理与修复工程，工程实施期间，采取有效措施，防止对地块及其周边环境造成二次污染。2、园区按照相关要求，建立完善环境风险管理相关制度和有效的事故风险防范体系。</w:t>
                  </w:r>
                </w:p>
              </w:tc>
              <w:tc>
                <w:tcPr>
                  <w:tcW w:w="2134" w:type="dxa"/>
                  <w:tcBorders>
                    <w:tl2br w:val="nil"/>
                    <w:tr2bl w:val="nil"/>
                  </w:tcBorders>
                  <w:vAlign w:val="center"/>
                </w:tcPr>
                <w:p>
                  <w:pPr>
                    <w:pStyle w:val="68"/>
                    <w:tabs>
                      <w:tab w:val="left" w:pos="0"/>
                      <w:tab w:val="left" w:pos="360"/>
                      <w:tab w:val="left" w:pos="900"/>
                    </w:tabs>
                    <w:rPr>
                      <w:rFonts w:ascii="Times New Roman" w:cs="Times New Roman" w:hAnsi="Times New Roman"/>
                      <w:color w:val="auto"/>
                      <w:highlight w:val="none"/>
                    </w:rPr>
                  </w:pPr>
                  <w:r>
                    <w:rPr>
                      <w:rFonts w:ascii="Times New Roman" w:cs="Times New Roman" w:hAnsi="Times New Roman"/>
                      <w:color w:val="auto"/>
                      <w:highlight w:val="none"/>
                    </w:rPr>
                    <w:t>项目固体废物进行资源循环利用</w:t>
                  </w:r>
                </w:p>
              </w:tc>
              <w:tc>
                <w:tcPr>
                  <w:tcW w:w="618" w:type="dxa"/>
                  <w:tcBorders>
                    <w:tl2br w:val="nil"/>
                    <w:tr2bl w:val="nil"/>
                  </w:tcBorders>
                  <w:vAlign w:val="center"/>
                </w:tcPr>
                <w:p>
                  <w:pPr>
                    <w:adjustRightInd w:val="0"/>
                    <w:snapToGrid w:val="0"/>
                    <w:jc w:val="center"/>
                    <w:rPr>
                      <w:rFonts w:ascii="Times New Roman" w:cs="Times New Roman" w:hAnsi="Times New Roman"/>
                      <w:color w:val="auto"/>
                      <w:szCs w:val="21"/>
                      <w:highlight w:val="none"/>
                    </w:rPr>
                  </w:pPr>
                  <w:r>
                    <w:rPr>
                      <w:rFonts w:ascii="Times New Roman" w:cs="Times New Roman" w:hAnsi="Times New Roman"/>
                      <w:color w:val="auto"/>
                      <w:szCs w:val="21"/>
                      <w:highlight w:val="none"/>
                    </w:rPr>
                    <w:t>符合</w:t>
                  </w:r>
                </w:p>
              </w:tc>
            </w:tr>
            <w:tr>
              <w:trPr>
                <w:trHeight w:val="340"/>
              </w:trPr>
              <w:tc>
                <w:tcPr>
                  <w:tcW w:w="708" w:type="dxa"/>
                  <w:vMerge/>
                  <w:tcBorders>
                    <w:tl2br w:val="nil"/>
                    <w:tr2bl w:val="nil"/>
                  </w:tcBorders>
                  <w:vAlign w:val="center"/>
                </w:tcPr>
                <w:p/>
              </w:tc>
              <w:tc>
                <w:tcPr>
                  <w:tcW w:w="349" w:type="dxa"/>
                  <w:vMerge/>
                  <w:tcBorders>
                    <w:tl2br w:val="nil"/>
                    <w:tr2bl w:val="nil"/>
                  </w:tcBorders>
                  <w:vAlign w:val="center"/>
                </w:tcPr>
                <w:p/>
              </w:tc>
              <w:tc>
                <w:tcPr>
                  <w:tcW w:w="740" w:type="dxa"/>
                  <w:vMerge/>
                  <w:tcBorders>
                    <w:tl2br w:val="nil"/>
                    <w:tr2bl w:val="nil"/>
                  </w:tcBorders>
                  <w:vAlign w:val="center"/>
                </w:tcPr>
                <w:p/>
              </w:tc>
              <w:tc>
                <w:tcPr>
                  <w:tcW w:w="567" w:type="dxa"/>
                  <w:tcBorders>
                    <w:tl2br w:val="nil"/>
                    <w:tr2bl w:val="nil"/>
                  </w:tcBorders>
                  <w:vAlign w:val="center"/>
                </w:tcPr>
                <w:p>
                  <w:pPr>
                    <w:adjustRightInd w:val="0"/>
                    <w:snapToGrid w:val="0"/>
                    <w:jc w:val="center"/>
                    <w:rPr>
                      <w:rFonts w:ascii="Times New Roman" w:cs="Times New Roman" w:hAnsi="Times New Roman"/>
                      <w:color w:val="auto"/>
                      <w:szCs w:val="21"/>
                      <w:highlight w:val="none"/>
                    </w:rPr>
                  </w:pPr>
                  <w:r>
                    <w:rPr>
                      <w:rFonts w:ascii="Times New Roman" w:cs="Times New Roman" w:hAnsi="Times New Roman"/>
                      <w:color w:val="auto"/>
                      <w:szCs w:val="21"/>
                      <w:highlight w:val="none"/>
                    </w:rPr>
                    <w:t>资源利用效率</w:t>
                  </w:r>
                </w:p>
              </w:tc>
              <w:tc>
                <w:tcPr>
                  <w:tcW w:w="2476" w:type="dxa"/>
                  <w:tcBorders>
                    <w:tl2br w:val="nil"/>
                    <w:tr2bl w:val="nil"/>
                  </w:tcBorders>
                  <w:vAlign w:val="center"/>
                </w:tcPr>
                <w:p>
                  <w:pPr>
                    <w:adjustRightInd w:val="0"/>
                    <w:snapToGrid w:val="0"/>
                    <w:jc w:val="both"/>
                    <w:rPr>
                      <w:rFonts w:ascii="Times New Roman" w:cs="Times New Roman" w:hAnsi="Times New Roman"/>
                      <w:color w:val="auto"/>
                      <w:highlight w:val="none"/>
                    </w:rPr>
                  </w:pPr>
                  <w:r>
                    <w:rPr>
                      <w:rFonts w:ascii="Times New Roman" w:cs="Times New Roman" w:hAnsi="Times New Roman"/>
                      <w:color w:val="auto"/>
                      <w:highlight w:val="none"/>
                    </w:rPr>
                    <w:t>1、浅层地下水禁采区严格地下水最新管控要求。</w:t>
                  </w:r>
                </w:p>
              </w:tc>
              <w:tc>
                <w:tcPr>
                  <w:tcW w:w="2134" w:type="dxa"/>
                  <w:tcBorders>
                    <w:tl2br w:val="nil"/>
                    <w:tr2bl w:val="nil"/>
                  </w:tcBorders>
                  <w:vAlign w:val="center"/>
                </w:tcPr>
                <w:p>
                  <w:pPr>
                    <w:widowControl/>
                    <w:adjustRightInd w:val="0"/>
                    <w:snapToGrid w:val="0"/>
                    <w:jc w:val="center"/>
                    <w:rPr>
                      <w:rFonts w:ascii="Times New Roman" w:cs="Times New Roman" w:hAnsi="Times New Roman"/>
                      <w:color w:val="auto"/>
                      <w:szCs w:val="21"/>
                      <w:highlight w:val="none"/>
                    </w:rPr>
                  </w:pPr>
                  <w:r>
                    <w:rPr>
                      <w:rFonts w:ascii="Times New Roman" w:cs="Times New Roman" w:hAnsi="Times New Roman"/>
                      <w:color w:val="auto"/>
                      <w:highlight w:val="none"/>
                    </w:rPr>
                    <w:t>项目不开采地下水</w:t>
                  </w:r>
                </w:p>
              </w:tc>
              <w:tc>
                <w:tcPr>
                  <w:tcW w:w="618" w:type="dxa"/>
                  <w:tcBorders>
                    <w:tl2br w:val="nil"/>
                    <w:tr2bl w:val="nil"/>
                  </w:tcBorders>
                  <w:vAlign w:val="center"/>
                </w:tcPr>
                <w:p>
                  <w:pPr>
                    <w:adjustRightInd w:val="0"/>
                    <w:snapToGrid w:val="0"/>
                    <w:jc w:val="center"/>
                    <w:rPr>
                      <w:rFonts w:ascii="Times New Roman" w:cs="Times New Roman" w:hAnsi="Times New Roman"/>
                      <w:color w:val="auto"/>
                      <w:szCs w:val="21"/>
                      <w:highlight w:val="none"/>
                    </w:rPr>
                  </w:pPr>
                  <w:r>
                    <w:rPr>
                      <w:rFonts w:ascii="Times New Roman" w:cs="Times New Roman" w:hAnsi="Times New Roman"/>
                      <w:color w:val="auto"/>
                      <w:szCs w:val="21"/>
                      <w:highlight w:val="none"/>
                    </w:rPr>
                    <w:t>符合</w:t>
                  </w:r>
                </w:p>
              </w:tc>
            </w:tr>
          </w:tbl>
          <w:p>
            <w:pPr>
              <w:pStyle w:val="33"/>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color w:val="auto"/>
                <w:sz w:val="24"/>
                <w:highlight w:val="none"/>
              </w:rPr>
            </w:pPr>
            <w:r>
              <w:rPr>
                <w:color w:val="auto"/>
                <w:sz w:val="24"/>
                <w:highlight w:val="none"/>
              </w:rPr>
              <w:t>综上所述，项目符合</w:t>
            </w:r>
            <w:r>
              <w:rPr>
                <w:rFonts w:hint="eastAsia"/>
                <w:color w:val="auto"/>
                <w:sz w:val="24"/>
                <w:highlight w:val="none"/>
              </w:rPr>
              <w:t>《石家庄市生态环境准入清单（2023年版）》</w:t>
            </w:r>
            <w:r>
              <w:rPr>
                <w:color w:val="auto"/>
                <w:sz w:val="24"/>
                <w:highlight w:val="none"/>
              </w:rPr>
              <w:t>的相关要求</w:t>
            </w:r>
            <w:r>
              <w:rPr>
                <w:rFonts w:hint="eastAsia"/>
                <w:color w:val="auto"/>
                <w:sz w:val="24"/>
                <w:highlight w:val="none"/>
              </w:rPr>
              <w:t>。</w:t>
            </w:r>
          </w:p>
          <w:p>
            <w:pPr>
              <w:pStyle w:val="56"/>
              <w:keepNext w:val="0"/>
              <w:keepLines w:val="0"/>
              <w:pageBreakBefore w:val="0"/>
              <w:widowControl w:val="0"/>
              <w:kinsoku/>
              <w:wordWrap/>
              <w:overflowPunct/>
              <w:topLinePunct w:val="0"/>
              <w:autoSpaceDE/>
              <w:autoSpaceDN/>
              <w:bidi w:val="0"/>
              <w:rPr>
                <w:rFonts w:ascii="Times New Roman" w:cs="Times New Roman" w:hAnsi="Times New Roman"/>
                <w:b/>
                <w:bCs/>
                <w:color w:val="auto"/>
                <w:highlight w:val="none"/>
              </w:rPr>
            </w:pPr>
            <w:r>
              <w:rPr>
                <w:rFonts w:ascii="Times New Roman" w:cs="Times New Roman" w:hAnsi="Times New Roman"/>
                <w:b/>
                <w:bCs/>
                <w:color w:val="auto"/>
                <w:highlight w:val="none"/>
              </w:rPr>
              <w:t>5、与《河北省生态环境保护“十四五”规划》（冀政字[2022]2号）符合性分析</w:t>
            </w:r>
          </w:p>
          <w:p>
            <w:pPr>
              <w:pStyle w:val="16"/>
              <w:keepNext w:val="0"/>
              <w:keepLines w:val="0"/>
              <w:pageBreakBefore w:val="0"/>
              <w:widowControl w:val="0"/>
              <w:kinsoku/>
              <w:wordWrap/>
              <w:overflowPunct/>
              <w:topLinePunct w:val="0"/>
              <w:autoSpaceDE/>
              <w:autoSpaceDN/>
              <w:bidi w:val="0"/>
              <w:spacing w:line="460" w:lineRule="exact"/>
              <w:jc w:val="both"/>
              <w:rPr>
                <w:rFonts w:ascii="Times New Roman" w:cs="Times New Roman" w:hAnsi="Times New Roman"/>
                <w:color w:val="auto"/>
                <w:kern w:val="2"/>
                <w:sz w:val="24"/>
                <w:highlight w:val="none"/>
              </w:rPr>
            </w:pPr>
            <w:r>
              <w:rPr>
                <w:rFonts w:ascii="Times New Roman" w:cs="Times New Roman" w:hAnsi="Times New Roman"/>
                <w:color w:val="auto"/>
                <w:kern w:val="2"/>
                <w:sz w:val="24"/>
                <w:highlight w:val="none"/>
              </w:rPr>
              <w:t>项目与《河北省生态环境保护</w:t>
            </w:r>
            <w:r>
              <w:rPr>
                <w:rFonts w:ascii="Times New Roman" w:cs="Times New Roman" w:hAnsi="Times New Roman" w:hint="eastAsia"/>
                <w:color w:val="auto"/>
                <w:kern w:val="2"/>
                <w:sz w:val="24"/>
                <w:lang w:eastAsia="zh-CN"/>
                <w:highlight w:val="none"/>
              </w:rPr>
              <w:t>“</w:t>
            </w:r>
            <w:r>
              <w:rPr>
                <w:rFonts w:ascii="Times New Roman" w:cs="Times New Roman" w:hAnsi="Times New Roman"/>
                <w:color w:val="auto"/>
                <w:kern w:val="2"/>
                <w:sz w:val="24"/>
                <w:highlight w:val="none"/>
              </w:rPr>
              <w:t>十四五</w:t>
            </w:r>
            <w:r>
              <w:rPr>
                <w:rFonts w:ascii="Times New Roman" w:cs="Times New Roman" w:hAnsi="Times New Roman" w:hint="eastAsia"/>
                <w:color w:val="auto"/>
                <w:kern w:val="2"/>
                <w:sz w:val="24"/>
                <w:lang w:eastAsia="zh-CN"/>
                <w:highlight w:val="none"/>
              </w:rPr>
              <w:t>”</w:t>
            </w:r>
            <w:r>
              <w:rPr>
                <w:rFonts w:ascii="Times New Roman" w:cs="Times New Roman" w:hAnsi="Times New Roman"/>
                <w:color w:val="auto"/>
                <w:kern w:val="2"/>
                <w:sz w:val="24"/>
                <w:highlight w:val="none"/>
              </w:rPr>
              <w:t>规划》（冀政字[2022]2号）符合性分析见下表。</w:t>
            </w:r>
          </w:p>
          <w:p>
            <w:pPr>
              <w:jc w:val="center"/>
              <w:rPr>
                <w:rFonts w:ascii="Times New Roman" w:cs="Times New Roman" w:hAnsi="Times New Roman"/>
                <w:b/>
                <w:bCs/>
                <w:color w:val="auto"/>
                <w:sz w:val="24"/>
                <w:highlight w:val="none"/>
              </w:rPr>
            </w:pPr>
            <w:r>
              <w:rPr>
                <w:rFonts w:ascii="Times New Roman" w:cs="Times New Roman" w:hAnsi="Times New Roman"/>
                <w:b/>
                <w:bCs/>
                <w:color w:val="auto"/>
                <w:sz w:val="24"/>
                <w:highlight w:val="none"/>
              </w:rPr>
              <w:t>表1-</w:t>
            </w:r>
            <w:r>
              <w:rPr>
                <w:rFonts w:cs="Times New Roman" w:hint="eastAsia"/>
                <w:b/>
                <w:bCs/>
                <w:color w:val="auto"/>
                <w:sz w:val="24"/>
                <w:lang w:val="en-US" w:eastAsia="zh-CN"/>
                <w:highlight w:val="none"/>
              </w:rPr>
              <w:t>10</w:t>
            </w:r>
            <w:r>
              <w:rPr>
                <w:rFonts w:ascii="Times New Roman" w:cs="Times New Roman" w:hAnsi="Times New Roman"/>
                <w:b/>
                <w:bCs/>
                <w:color w:val="auto"/>
                <w:sz w:val="24"/>
                <w:highlight w:val="none"/>
              </w:rPr>
              <w:t xml:space="preserve">  项目与《河北省生态环境保护“十四五”规划》（冀政字[2022]2号）符合性分析一览表</w:t>
            </w:r>
          </w:p>
          <w:tbl>
            <w:tblPr>
              <w:jc w:val="center"/>
              <w:tblW w:w="4996" w:type="pct"/>
              <w:tblBorders>
                <w:top w:val="single" w:sz="12" w:space="0" w:color="auto"/>
                <w:left w:val="none" w:sz="0" w:space="0" w:color="auto"/>
                <w:bottom w:val="single" w:sz="12" w:space="0" w:color="auto"/>
                <w:right w:val="none" w:sz="0" w:space="0" w:color="auto"/>
                <w:insideH w:val="single" w:sz="4" w:space="0" w:color="auto"/>
                <w:insideV w:val="single" w:sz="4" w:space="0" w:color="auto"/>
              </w:tblBorders>
              <w:tblCellMar>
                <w:top w:w="0" w:type="dxa"/>
                <w:left w:w="28" w:type="dxa"/>
                <w:bottom w:w="0" w:type="dxa"/>
                <w:right w:w="28" w:type="dxa"/>
              </w:tblCellMar>
              <w:tblLook w:val="0600" w:firstRow="0" w:lastRow="0" w:firstColumn="0" w:lastColumn="0" w:noHBand="1" w:noVBand="1"/>
            </w:tblPr>
            <w:tblGrid>
              <w:gridCol w:w="773"/>
              <w:gridCol w:w="4479"/>
              <w:gridCol w:w="1752"/>
              <w:gridCol w:w="591"/>
            </w:tblGrid>
            <w:tr>
              <w:tc>
                <w:tcPr>
                  <w:tcW w:w="3457" w:type="pct"/>
                  <w:gridSpan w:val="2"/>
                  <w:tcBorders>
                    <w:tl2br w:val="nil"/>
                    <w:tr2bl w:val="nil"/>
                  </w:tcBorders>
                  <w:vAlign w:val="center"/>
                </w:tcPr>
                <w:p>
                  <w:pPr>
                    <w:adjustRightInd w:val="0"/>
                    <w:snapToGrid w:val="0"/>
                    <w:jc w:val="center"/>
                    <w:rPr>
                      <w:rFonts w:ascii="Times New Roman" w:cs="Times New Roman" w:hAnsi="Times New Roman"/>
                      <w:snapToGrid w:val="0"/>
                      <w:color w:val="auto"/>
                      <w:kern w:val="0"/>
                      <w:szCs w:val="21"/>
                      <w:highlight w:val="none"/>
                    </w:rPr>
                  </w:pPr>
                  <w:r>
                    <w:rPr>
                      <w:rFonts w:ascii="Times New Roman" w:cs="Times New Roman" w:hAnsi="Times New Roman"/>
                      <w:snapToGrid w:val="0"/>
                      <w:color w:val="auto"/>
                      <w:kern w:val="0"/>
                      <w:szCs w:val="21"/>
                      <w:highlight w:val="none"/>
                    </w:rPr>
                    <w:t>相关内容要求</w:t>
                  </w:r>
                </w:p>
              </w:tc>
              <w:tc>
                <w:tcPr>
                  <w:tcW w:w="1153" w:type="pct"/>
                  <w:tcBorders>
                    <w:tl2br w:val="nil"/>
                    <w:tr2bl w:val="nil"/>
                  </w:tcBorders>
                  <w:vAlign w:val="center"/>
                </w:tcPr>
                <w:p>
                  <w:pPr>
                    <w:adjustRightInd w:val="0"/>
                    <w:snapToGrid w:val="0"/>
                    <w:jc w:val="center"/>
                    <w:rPr>
                      <w:rFonts w:ascii="Times New Roman" w:cs="Times New Roman" w:hAnsi="Times New Roman"/>
                      <w:snapToGrid w:val="0"/>
                      <w:color w:val="auto"/>
                      <w:kern w:val="0"/>
                      <w:szCs w:val="21"/>
                      <w:highlight w:val="none"/>
                    </w:rPr>
                  </w:pPr>
                  <w:r>
                    <w:rPr>
                      <w:rFonts w:ascii="Times New Roman" w:cs="Times New Roman" w:hAnsi="Times New Roman"/>
                      <w:snapToGrid w:val="0"/>
                      <w:color w:val="auto"/>
                      <w:kern w:val="0"/>
                      <w:szCs w:val="21"/>
                      <w:highlight w:val="none"/>
                    </w:rPr>
                    <w:t>项目情况</w:t>
                  </w:r>
                </w:p>
              </w:tc>
              <w:tc>
                <w:tcPr>
                  <w:tcW w:w="389" w:type="pct"/>
                  <w:tcBorders>
                    <w:tl2br w:val="nil"/>
                    <w:tr2bl w:val="nil"/>
                  </w:tcBorders>
                  <w:vAlign w:val="center"/>
                </w:tcPr>
                <w:p>
                  <w:pPr>
                    <w:adjustRightInd w:val="0"/>
                    <w:snapToGrid w:val="0"/>
                    <w:jc w:val="center"/>
                    <w:rPr>
                      <w:rFonts w:ascii="Times New Roman" w:cs="Times New Roman" w:hAnsi="Times New Roman"/>
                      <w:snapToGrid w:val="0"/>
                      <w:color w:val="auto"/>
                      <w:kern w:val="0"/>
                      <w:szCs w:val="21"/>
                      <w:highlight w:val="none"/>
                    </w:rPr>
                  </w:pPr>
                  <w:r>
                    <w:rPr>
                      <w:rFonts w:ascii="Times New Roman" w:cs="Times New Roman" w:hAnsi="Times New Roman"/>
                      <w:snapToGrid w:val="0"/>
                      <w:color w:val="auto"/>
                      <w:kern w:val="0"/>
                      <w:szCs w:val="21"/>
                      <w:highlight w:val="none"/>
                    </w:rPr>
                    <w:t>符合性</w:t>
                  </w:r>
                </w:p>
              </w:tc>
            </w:tr>
            <w:tr>
              <w:tc>
                <w:tcPr>
                  <w:tcW w:w="509" w:type="pct"/>
                  <w:vMerge w:val="restart"/>
                  <w:tcBorders>
                    <w:tl2br w:val="nil"/>
                    <w:tr2bl w:val="nil"/>
                  </w:tcBorders>
                  <w:vAlign w:val="center"/>
                </w:tcPr>
                <w:p>
                  <w:pPr>
                    <w:adjustRightInd w:val="0"/>
                    <w:snapToGrid w:val="0"/>
                    <w:jc w:val="center"/>
                    <w:rPr>
                      <w:rFonts w:ascii="Times New Roman" w:cs="Times New Roman" w:hAnsi="Times New Roman"/>
                      <w:snapToGrid w:val="0"/>
                      <w:color w:val="auto"/>
                      <w:kern w:val="0"/>
                      <w:szCs w:val="21"/>
                      <w:highlight w:val="none"/>
                    </w:rPr>
                  </w:pPr>
                  <w:r>
                    <w:rPr>
                      <w:rFonts w:ascii="Times New Roman" w:cs="Times New Roman" w:hAnsi="Times New Roman"/>
                      <w:snapToGrid w:val="0"/>
                      <w:color w:val="auto"/>
                      <w:kern w:val="0"/>
                      <w:szCs w:val="21"/>
                      <w:highlight w:val="none"/>
                    </w:rPr>
                    <w:t>三、创新引领，推动绿色低碳发展</w:t>
                  </w:r>
                </w:p>
              </w:tc>
              <w:tc>
                <w:tcPr>
                  <w:tcW w:w="2947" w:type="pct"/>
                  <w:tcBorders>
                    <w:tl2br w:val="nil"/>
                    <w:tr2bl w:val="nil"/>
                  </w:tcBorders>
                  <w:vAlign w:val="center"/>
                </w:tcPr>
                <w:p>
                  <w:pPr>
                    <w:adjustRightInd w:val="0"/>
                    <w:snapToGrid w:val="0"/>
                    <w:rPr>
                      <w:rFonts w:ascii="Times New Roman" w:cs="Times New Roman" w:hAnsi="Times New Roman"/>
                      <w:snapToGrid w:val="0"/>
                      <w:color w:val="auto"/>
                      <w:kern w:val="0"/>
                      <w:szCs w:val="21"/>
                      <w:highlight w:val="none"/>
                    </w:rPr>
                  </w:pPr>
                  <w:r>
                    <w:rPr>
                      <w:rFonts w:ascii="Times New Roman" w:cs="Times New Roman" w:hAnsi="Times New Roman"/>
                      <w:snapToGrid w:val="0"/>
                      <w:color w:val="auto"/>
                      <w:kern w:val="0"/>
                      <w:szCs w:val="21"/>
                      <w:highlight w:val="none"/>
                    </w:rPr>
                    <w:t>（一）统筹推进区域绿色发展。2.建立生态环境分区管控体系。衔接国土空间规划分区和用途管制</w:t>
                    <w:cr/>
                    <w:t>要求，将生态保护红线、环境质量底线、资源利用上线的硬约束落实到环境管控单元，建立差别化的生态环境准入清单，加强“三线一单”成果在政策制定、环境准入、园区管理、执法监管等方面的应用。健全以环评制度为主体的源头预防体系，严格规划环评审查和项目环评准入，开展重大经济技术政策的生态环境影响分析和重大生态环境政策的社会经济影响评估。</w:t>
                  </w:r>
                </w:p>
              </w:tc>
              <w:tc>
                <w:tcPr>
                  <w:tcW w:w="1153" w:type="pct"/>
                  <w:tcBorders>
                    <w:tl2br w:val="nil"/>
                    <w:tr2bl w:val="nil"/>
                  </w:tcBorders>
                  <w:vAlign w:val="center"/>
                </w:tcPr>
                <w:p>
                  <w:pPr>
                    <w:adjustRightInd w:val="0"/>
                    <w:snapToGrid w:val="0"/>
                    <w:jc w:val="center"/>
                    <w:rPr>
                      <w:rFonts w:ascii="Times New Roman" w:cs="Times New Roman" w:hAnsi="Times New Roman"/>
                      <w:snapToGrid w:val="0"/>
                      <w:color w:val="auto"/>
                      <w:kern w:val="0"/>
                      <w:szCs w:val="21"/>
                      <w:highlight w:val="none"/>
                    </w:rPr>
                  </w:pPr>
                  <w:r>
                    <w:rPr>
                      <w:rFonts w:ascii="Times New Roman" w:cs="Times New Roman" w:hAnsi="Times New Roman"/>
                      <w:snapToGrid w:val="0"/>
                      <w:color w:val="auto"/>
                      <w:kern w:val="0"/>
                      <w:szCs w:val="21"/>
                      <w:highlight w:val="none"/>
                    </w:rPr>
                    <w:t>项目建设符合“三线一单”相关文件要求。</w:t>
                  </w:r>
                </w:p>
              </w:tc>
              <w:tc>
                <w:tcPr>
                  <w:tcW w:w="389" w:type="pct"/>
                  <w:tcBorders>
                    <w:tl2br w:val="nil"/>
                    <w:tr2bl w:val="nil"/>
                  </w:tcBorders>
                  <w:vAlign w:val="center"/>
                </w:tcPr>
                <w:p>
                  <w:pPr>
                    <w:adjustRightInd w:val="0"/>
                    <w:snapToGrid w:val="0"/>
                    <w:jc w:val="center"/>
                    <w:rPr>
                      <w:rFonts w:ascii="Times New Roman" w:cs="Times New Roman" w:hAnsi="Times New Roman"/>
                      <w:snapToGrid w:val="0"/>
                      <w:color w:val="auto"/>
                      <w:kern w:val="0"/>
                      <w:szCs w:val="21"/>
                      <w:highlight w:val="none"/>
                    </w:rPr>
                  </w:pPr>
                  <w:r>
                    <w:rPr>
                      <w:rFonts w:ascii="Times New Roman" w:cs="Times New Roman" w:hAnsi="Times New Roman"/>
                      <w:snapToGrid w:val="0"/>
                      <w:color w:val="auto"/>
                      <w:kern w:val="0"/>
                      <w:szCs w:val="21"/>
                      <w:highlight w:val="none"/>
                    </w:rPr>
                    <w:t>符合</w:t>
                  </w:r>
                </w:p>
              </w:tc>
            </w:tr>
            <w:tr>
              <w:tc>
                <w:tcPr>
                  <w:tcW w:w="509" w:type="pct"/>
                  <w:vMerge/>
                  <w:tcBorders>
                    <w:tl2br w:val="nil"/>
                    <w:tr2bl w:val="nil"/>
                  </w:tcBorders>
                  <w:vAlign w:val="center"/>
                </w:tcPr>
                <w:p/>
              </w:tc>
              <w:tc>
                <w:tcPr>
                  <w:tcW w:w="2947" w:type="pct"/>
                  <w:tcBorders>
                    <w:tl2br w:val="nil"/>
                    <w:tr2bl w:val="nil"/>
                  </w:tcBorders>
                  <w:vAlign w:val="center"/>
                </w:tcPr>
                <w:p>
                  <w:pPr>
                    <w:adjustRightInd w:val="0"/>
                    <w:snapToGrid w:val="0"/>
                    <w:rPr>
                      <w:rFonts w:ascii="Times New Roman" w:cs="Times New Roman" w:hAnsi="Times New Roman"/>
                      <w:snapToGrid w:val="0"/>
                      <w:color w:val="auto"/>
                      <w:kern w:val="0"/>
                      <w:szCs w:val="21"/>
                      <w:highlight w:val="none"/>
                    </w:rPr>
                  </w:pPr>
                  <w:r>
                    <w:rPr>
                      <w:rFonts w:ascii="Times New Roman" w:cs="Times New Roman" w:hAnsi="Times New Roman"/>
                      <w:snapToGrid w:val="0"/>
                      <w:color w:val="auto"/>
                      <w:kern w:val="0"/>
                      <w:szCs w:val="21"/>
                      <w:highlight w:val="none"/>
                    </w:rPr>
                    <w:t>（二）加快产业绿色转型升级。1.加强宏观治理的环境政策支撑。加强能耗总量和强度双控、煤炭</w:t>
                    <w:cr/>
                    <w:t>消费和污染物排放总量控制，强化市场准入约束，抑制高碳投资，严格控制高耗能高排放项目盲目发展。严禁新增钢铁、焦化、水泥熟料、平板玻璃、煤化工产能，合理控制煤制油气产能规模。依法依规加强节能审查事中事后监管。深化生态环境“放管服”改革，推进环评审批、生态环境监管和监督执法“正面清单”制度化、规范化，持续优化营商环境。2.优化重点行业企业布局。3.推进重点行业绿色转型。以钢铁、焦化、铸造、建材、有色、石化、化工、工业涂装、包装印刷、电镀、制革、石油开采、造纸、纺织印染、农副食品加工等行业为重点，开展全流程清洁化、循环化、低碳化改造，促进传统产业绿色转型升级。在电力、钢铁、建材等重点行业实施减污降碳行动，实施全产业链和产品全生命周期降碳减污，打造多维度、全覆盖的绿色低碳产业体系。推动重点行业完成限制类产能装备的升级改造。更好发挥电弧炉短流程炼钢企业绿色低碳、市场调节作用，有序引导电弧炉短流程炼钢发展。依法推进强制性清洁生产审核，行业、园区和产业集群探索开展整体审核。4.实施产业园区和产业集群升级改造。5.提升产业链供应链绿色化水平。6.做大做强环保产业。</w:t>
                  </w:r>
                </w:p>
              </w:tc>
              <w:tc>
                <w:tcPr>
                  <w:tcW w:w="1153" w:type="pct"/>
                  <w:tcBorders>
                    <w:tl2br w:val="nil"/>
                    <w:tr2bl w:val="nil"/>
                  </w:tcBorders>
                  <w:vAlign w:val="center"/>
                </w:tcPr>
                <w:p>
                  <w:pPr>
                    <w:adjustRightInd w:val="0"/>
                    <w:snapToGrid w:val="0"/>
                    <w:jc w:val="center"/>
                    <w:rPr>
                      <w:rFonts w:ascii="Times New Roman" w:cs="Times New Roman" w:hAnsi="Times New Roman"/>
                      <w:snapToGrid w:val="0"/>
                      <w:color w:val="auto"/>
                      <w:kern w:val="0"/>
                      <w:szCs w:val="21"/>
                      <w:highlight w:val="none"/>
                    </w:rPr>
                  </w:pPr>
                  <w:r>
                    <w:rPr>
                      <w:rFonts w:ascii="Times New Roman" w:cs="Times New Roman" w:hAnsi="Times New Roman"/>
                      <w:color w:val="auto"/>
                      <w:kern w:val="0"/>
                      <w:szCs w:val="21"/>
                      <w:highlight w:val="none"/>
                    </w:rPr>
                    <w:t>项目位于河北省</w:t>
                  </w:r>
                  <w:r>
                    <w:rPr>
                      <w:rFonts w:cs="Times New Roman" w:hint="eastAsia"/>
                      <w:color w:val="auto"/>
                      <w:kern w:val="0"/>
                      <w:szCs w:val="21"/>
                      <w:lang w:eastAsia="zh-CN"/>
                      <w:highlight w:val="none"/>
                    </w:rPr>
                    <w:t>石家庄市栾城区装备制造基地楼底镇段家营村裕翔街168号103厂房（南）</w:t>
                  </w:r>
                  <w:r>
                    <w:rPr>
                      <w:rFonts w:ascii="Times New Roman" w:cs="Times New Roman" w:hAnsi="Times New Roman"/>
                      <w:color w:val="auto"/>
                      <w:kern w:val="0"/>
                      <w:szCs w:val="21"/>
                      <w:highlight w:val="none"/>
                    </w:rPr>
                    <w:t>，项目占地为工业用地，使用能源为电能，不涉及煤炭、天然气等能源消耗，项目工艺过程不涉及二氧化碳等温室气体排放；项目不</w:t>
                  </w:r>
                  <w:r>
                    <w:rPr>
                      <w:rFonts w:ascii="Times New Roman" w:cs="Times New Roman" w:hAnsi="Times New Roman"/>
                      <w:snapToGrid w:val="0"/>
                      <w:color w:val="auto"/>
                      <w:kern w:val="0"/>
                      <w:szCs w:val="21"/>
                      <w:highlight w:val="none"/>
                    </w:rPr>
                    <w:t>涉及钢铁、焦化、水泥熟料、平板玻璃</w:t>
                  </w:r>
                  <w:r>
                    <w:rPr>
                      <w:rFonts w:ascii="Times New Roman" w:cs="Times New Roman" w:hAnsi="Times New Roman"/>
                      <w:color w:val="auto"/>
                      <w:kern w:val="0"/>
                      <w:szCs w:val="21"/>
                      <w:highlight w:val="none"/>
                    </w:rPr>
                    <w:t>、煤化工产能。企业属于环境保护监测，不属于重点行业企业。</w:t>
                  </w:r>
                </w:p>
              </w:tc>
              <w:tc>
                <w:tcPr>
                  <w:tcW w:w="389" w:type="pct"/>
                  <w:tcBorders>
                    <w:tl2br w:val="nil"/>
                    <w:tr2bl w:val="nil"/>
                  </w:tcBorders>
                  <w:vAlign w:val="center"/>
                </w:tcPr>
                <w:p>
                  <w:pPr>
                    <w:adjustRightInd w:val="0"/>
                    <w:snapToGrid w:val="0"/>
                    <w:jc w:val="center"/>
                    <w:rPr>
                      <w:rFonts w:ascii="Times New Roman" w:cs="Times New Roman" w:hAnsi="Times New Roman"/>
                      <w:snapToGrid w:val="0"/>
                      <w:color w:val="auto"/>
                      <w:kern w:val="0"/>
                      <w:szCs w:val="21"/>
                      <w:highlight w:val="none"/>
                    </w:rPr>
                  </w:pPr>
                  <w:r>
                    <w:rPr>
                      <w:rFonts w:ascii="Times New Roman" w:cs="Times New Roman" w:hAnsi="Times New Roman"/>
                      <w:snapToGrid w:val="0"/>
                      <w:color w:val="auto"/>
                      <w:kern w:val="0"/>
                      <w:szCs w:val="21"/>
                      <w:highlight w:val="none"/>
                    </w:rPr>
                    <w:t>符合</w:t>
                  </w:r>
                </w:p>
              </w:tc>
            </w:tr>
            <w:tr>
              <w:tc>
                <w:tcPr>
                  <w:tcW w:w="509" w:type="pct"/>
                  <w:vMerge/>
                  <w:tcBorders>
                    <w:tl2br w:val="nil"/>
                    <w:tr2bl w:val="nil"/>
                  </w:tcBorders>
                  <w:vAlign w:val="center"/>
                </w:tcPr>
                <w:p/>
              </w:tc>
              <w:tc>
                <w:tcPr>
                  <w:tcW w:w="2947" w:type="pct"/>
                  <w:tcBorders>
                    <w:tl2br w:val="nil"/>
                    <w:tr2bl w:val="nil"/>
                  </w:tcBorders>
                  <w:vAlign w:val="center"/>
                </w:tcPr>
                <w:p>
                  <w:pPr>
                    <w:adjustRightInd w:val="0"/>
                    <w:snapToGrid w:val="0"/>
                    <w:rPr>
                      <w:rFonts w:ascii="Times New Roman" w:cs="Times New Roman" w:hAnsi="Times New Roman"/>
                      <w:snapToGrid w:val="0"/>
                      <w:color w:val="auto"/>
                      <w:kern w:val="0"/>
                      <w:szCs w:val="21"/>
                      <w:highlight w:val="none"/>
                    </w:rPr>
                  </w:pPr>
                  <w:r>
                    <w:rPr>
                      <w:rFonts w:ascii="Times New Roman" w:cs="Times New Roman" w:hAnsi="Times New Roman"/>
                      <w:snapToGrid w:val="0"/>
                      <w:color w:val="auto"/>
                      <w:kern w:val="0"/>
                      <w:szCs w:val="21"/>
                      <w:highlight w:val="none"/>
                    </w:rPr>
                    <w:t>（三）推动能源清洁高效利用。1.调整优化能源供给结构。2.控制煤炭消费总量。3.实施终端用能清洁化替代。</w:t>
                  </w:r>
                </w:p>
              </w:tc>
              <w:tc>
                <w:tcPr>
                  <w:tcW w:w="1153" w:type="pct"/>
                  <w:tcBorders>
                    <w:tl2br w:val="nil"/>
                    <w:tr2bl w:val="nil"/>
                  </w:tcBorders>
                  <w:vAlign w:val="center"/>
                </w:tcPr>
                <w:p>
                  <w:pPr>
                    <w:adjustRightInd w:val="0"/>
                    <w:snapToGrid w:val="0"/>
                    <w:jc w:val="center"/>
                    <w:rPr>
                      <w:rFonts w:ascii="Times New Roman" w:cs="Times New Roman" w:hAnsi="Times New Roman"/>
                      <w:snapToGrid w:val="0"/>
                      <w:color w:val="auto"/>
                      <w:kern w:val="0"/>
                      <w:szCs w:val="21"/>
                      <w:highlight w:val="none"/>
                    </w:rPr>
                  </w:pPr>
                  <w:r>
                    <w:rPr>
                      <w:rFonts w:ascii="Times New Roman" w:cs="Times New Roman" w:hAnsi="Times New Roman"/>
                      <w:color w:val="auto"/>
                      <w:kern w:val="0"/>
                      <w:szCs w:val="21"/>
                      <w:highlight w:val="none"/>
                    </w:rPr>
                    <w:t>项目使用能源为电能，不涉及煤炭、天然气等能源消耗。</w:t>
                  </w:r>
                </w:p>
              </w:tc>
              <w:tc>
                <w:tcPr>
                  <w:tcW w:w="389" w:type="pct"/>
                  <w:tcBorders>
                    <w:tl2br w:val="nil"/>
                    <w:tr2bl w:val="nil"/>
                  </w:tcBorders>
                  <w:vAlign w:val="center"/>
                </w:tcPr>
                <w:p>
                  <w:pPr>
                    <w:adjustRightInd w:val="0"/>
                    <w:snapToGrid w:val="0"/>
                    <w:jc w:val="center"/>
                    <w:rPr>
                      <w:rFonts w:ascii="Times New Roman" w:cs="Times New Roman" w:hAnsi="Times New Roman"/>
                      <w:snapToGrid w:val="0"/>
                      <w:color w:val="auto"/>
                      <w:kern w:val="0"/>
                      <w:szCs w:val="21"/>
                      <w:highlight w:val="none"/>
                    </w:rPr>
                  </w:pPr>
                  <w:r>
                    <w:rPr>
                      <w:rFonts w:ascii="Times New Roman" w:cs="Times New Roman" w:hAnsi="Times New Roman"/>
                      <w:snapToGrid w:val="0"/>
                      <w:color w:val="auto"/>
                      <w:kern w:val="0"/>
                      <w:szCs w:val="21"/>
                      <w:highlight w:val="none"/>
                    </w:rPr>
                    <w:t>符合</w:t>
                  </w:r>
                </w:p>
              </w:tc>
            </w:tr>
            <w:tr>
              <w:tc>
                <w:tcPr>
                  <w:tcW w:w="509" w:type="pct"/>
                  <w:tcBorders>
                    <w:tl2br w:val="nil"/>
                    <w:tr2bl w:val="nil"/>
                  </w:tcBorders>
                  <w:vAlign w:val="center"/>
                </w:tcPr>
                <w:p>
                  <w:pPr>
                    <w:adjustRightInd w:val="0"/>
                    <w:snapToGrid w:val="0"/>
                    <w:jc w:val="center"/>
                    <w:rPr>
                      <w:rFonts w:ascii="Times New Roman" w:cs="Times New Roman" w:hAnsi="Times New Roman"/>
                      <w:snapToGrid w:val="0"/>
                      <w:color w:val="auto"/>
                      <w:kern w:val="0"/>
                      <w:szCs w:val="21"/>
                      <w:highlight w:val="none"/>
                    </w:rPr>
                  </w:pPr>
                  <w:r>
                    <w:rPr>
                      <w:rFonts w:ascii="Times New Roman" w:cs="Times New Roman" w:hAnsi="Times New Roman"/>
                      <w:snapToGrid w:val="0"/>
                      <w:color w:val="auto"/>
                      <w:kern w:val="0"/>
                      <w:szCs w:val="21"/>
                      <w:highlight w:val="none"/>
                    </w:rPr>
                    <w:t>四、降碳减排，积极应对气候变化</w:t>
                  </w:r>
                </w:p>
              </w:tc>
              <w:tc>
                <w:tcPr>
                  <w:tcW w:w="2947" w:type="pct"/>
                  <w:tcBorders>
                    <w:tl2br w:val="nil"/>
                    <w:tr2bl w:val="nil"/>
                  </w:tcBorders>
                  <w:vAlign w:val="center"/>
                </w:tcPr>
                <w:p>
                  <w:pPr>
                    <w:adjustRightInd w:val="0"/>
                    <w:snapToGrid w:val="0"/>
                    <w:jc w:val="center"/>
                    <w:rPr>
                      <w:rFonts w:ascii="Times New Roman" w:cs="Times New Roman" w:hAnsi="Times New Roman"/>
                      <w:snapToGrid w:val="0"/>
                      <w:color w:val="auto"/>
                      <w:kern w:val="0"/>
                      <w:szCs w:val="21"/>
                      <w:highlight w:val="none"/>
                    </w:rPr>
                  </w:pPr>
                  <w:r>
                    <w:rPr>
                      <w:rFonts w:ascii="Times New Roman" w:cs="Times New Roman" w:hAnsi="Times New Roman"/>
                      <w:snapToGrid w:val="0"/>
                      <w:color w:val="auto"/>
                      <w:kern w:val="0"/>
                      <w:szCs w:val="21"/>
                      <w:highlight w:val="none"/>
                    </w:rPr>
                    <w:t>（二）控制温室气体排放。1.控制工业二氧化碳排放。2.控制交通领域二氧化碳排放。3.控制建筑领域二氧化碳排放。4.控制非二氧化碳温室气体排放。5.实施温室气体和污染物协同控制。</w:t>
                  </w:r>
                </w:p>
              </w:tc>
              <w:tc>
                <w:tcPr>
                  <w:tcW w:w="1153" w:type="pct"/>
                  <w:tcBorders>
                    <w:tl2br w:val="nil"/>
                    <w:tr2bl w:val="nil"/>
                  </w:tcBorders>
                  <w:vAlign w:val="center"/>
                </w:tcPr>
                <w:p>
                  <w:pPr>
                    <w:adjustRightInd w:val="0"/>
                    <w:snapToGrid w:val="0"/>
                    <w:jc w:val="center"/>
                    <w:rPr>
                      <w:rFonts w:ascii="Times New Roman" w:cs="Times New Roman" w:hAnsi="Times New Roman"/>
                      <w:snapToGrid w:val="0"/>
                      <w:color w:val="auto"/>
                      <w:kern w:val="0"/>
                      <w:szCs w:val="21"/>
                      <w:highlight w:val="none"/>
                    </w:rPr>
                  </w:pPr>
                  <w:r>
                    <w:rPr>
                      <w:rFonts w:ascii="Times New Roman" w:cs="Times New Roman" w:hAnsi="Times New Roman"/>
                      <w:color w:val="auto"/>
                      <w:kern w:val="0"/>
                      <w:szCs w:val="21"/>
                      <w:highlight w:val="none"/>
                    </w:rPr>
                    <w:t>项目使用能源为电能，不涉及煤炭、天然气等能源消耗，项目生产过程不涉及温室气体排放。</w:t>
                  </w:r>
                </w:p>
              </w:tc>
              <w:tc>
                <w:tcPr>
                  <w:tcW w:w="389" w:type="pct"/>
                  <w:tcBorders>
                    <w:tl2br w:val="nil"/>
                    <w:tr2bl w:val="nil"/>
                  </w:tcBorders>
                  <w:vAlign w:val="center"/>
                </w:tcPr>
                <w:p>
                  <w:pPr>
                    <w:adjustRightInd w:val="0"/>
                    <w:snapToGrid w:val="0"/>
                    <w:jc w:val="center"/>
                    <w:rPr>
                      <w:rFonts w:ascii="Times New Roman" w:cs="Times New Roman" w:hAnsi="Times New Roman"/>
                      <w:snapToGrid w:val="0"/>
                      <w:color w:val="auto"/>
                      <w:kern w:val="0"/>
                      <w:szCs w:val="21"/>
                      <w:highlight w:val="none"/>
                    </w:rPr>
                  </w:pPr>
                  <w:r>
                    <w:rPr>
                      <w:rFonts w:ascii="Times New Roman" w:cs="Times New Roman" w:hAnsi="Times New Roman"/>
                      <w:snapToGrid w:val="0"/>
                      <w:color w:val="auto"/>
                      <w:kern w:val="0"/>
                      <w:szCs w:val="21"/>
                      <w:highlight w:val="none"/>
                    </w:rPr>
                    <w:t>符合</w:t>
                  </w:r>
                </w:p>
              </w:tc>
            </w:tr>
            <w:tr>
              <w:tc>
                <w:tcPr>
                  <w:tcW w:w="509" w:type="pct"/>
                  <w:vMerge w:val="restart"/>
                  <w:tcBorders>
                    <w:tl2br w:val="nil"/>
                    <w:tr2bl w:val="nil"/>
                  </w:tcBorders>
                  <w:vAlign w:val="center"/>
                </w:tcPr>
                <w:p>
                  <w:pPr>
                    <w:adjustRightInd w:val="0"/>
                    <w:snapToGrid w:val="0"/>
                    <w:jc w:val="center"/>
                    <w:rPr>
                      <w:rFonts w:ascii="Times New Roman" w:cs="Times New Roman" w:hAnsi="Times New Roman"/>
                      <w:snapToGrid w:val="0"/>
                      <w:color w:val="auto"/>
                      <w:kern w:val="0"/>
                      <w:szCs w:val="21"/>
                      <w:highlight w:val="none"/>
                    </w:rPr>
                  </w:pPr>
                  <w:r>
                    <w:rPr>
                      <w:rFonts w:ascii="Times New Roman" w:cs="Times New Roman" w:hAnsi="Times New Roman"/>
                      <w:snapToGrid w:val="0"/>
                      <w:color w:val="auto"/>
                      <w:kern w:val="0"/>
                      <w:szCs w:val="21"/>
                      <w:highlight w:val="none"/>
                    </w:rPr>
                    <w:t>五、精准治理，持续改善环境空气质量</w:t>
                  </w:r>
                </w:p>
              </w:tc>
              <w:tc>
                <w:tcPr>
                  <w:tcW w:w="2947" w:type="pct"/>
                  <w:tcBorders>
                    <w:tl2br w:val="nil"/>
                    <w:tr2bl w:val="nil"/>
                  </w:tcBorders>
                  <w:vAlign w:val="center"/>
                </w:tcPr>
                <w:p>
                  <w:pPr>
                    <w:adjustRightInd w:val="0"/>
                    <w:snapToGrid w:val="0"/>
                    <w:jc w:val="center"/>
                    <w:rPr>
                      <w:rFonts w:ascii="Times New Roman" w:cs="Times New Roman" w:hAnsi="Times New Roman"/>
                      <w:snapToGrid w:val="0"/>
                      <w:color w:val="auto"/>
                      <w:kern w:val="0"/>
                      <w:szCs w:val="21"/>
                      <w:highlight w:val="none"/>
                    </w:rPr>
                  </w:pPr>
                  <w:r>
                    <w:rPr>
                      <w:rFonts w:ascii="Times New Roman" w:cs="Times New Roman" w:hAnsi="Times New Roman"/>
                      <w:snapToGrid w:val="0"/>
                      <w:color w:val="auto"/>
                      <w:kern w:val="0"/>
                      <w:szCs w:val="21"/>
                      <w:highlight w:val="none"/>
                    </w:rPr>
                    <w:t>（二）推进工业领域污染减排。1.推动重点行业深度治理和超低排放。巩固钢铁、焦化、煤电、水泥、平板玻璃、陶瓷等行业超低排放成效，实施工艺全流程深度治理，全面加强无组织排放管控。推进砖瓦、石灰、铸造、铁合金、耐火材料等重点行业污染深度治理。以工业炉窑污染综合治理为重点，深化工业氮氧化物减排。开展生活垃圾焚烧烟气深度治理，探索研发二噁英治理和控制技术，到2025年，所有焚烧炉烟气达到生活垃圾焚烧大气污染物排放控制标准。2.深化重点行业挥发性有机物（VOCs）治理。以石化、化工、涂装、医药、包装印刷、油品储运销等行业领域为重点，安全高效推进挥发性有机物（VOCs）综合治理，实施原辅材料和产品源头替代、无组织排放和末端深度治理等提升改造工程。</w:t>
                  </w:r>
                </w:p>
              </w:tc>
              <w:tc>
                <w:tcPr>
                  <w:tcW w:w="1153" w:type="pct"/>
                  <w:tcBorders>
                    <w:tl2br w:val="nil"/>
                    <w:tr2bl w:val="nil"/>
                  </w:tcBorders>
                  <w:vAlign w:val="center"/>
                </w:tcPr>
                <w:p>
                  <w:pPr>
                    <w:adjustRightInd w:val="0"/>
                    <w:snapToGrid w:val="0"/>
                    <w:jc w:val="center"/>
                    <w:rPr>
                      <w:rFonts w:ascii="Times New Roman" w:eastAsia="宋体" w:cs="Times New Roman" w:hAnsi="Times New Roman" w:hint="eastAsia"/>
                      <w:snapToGrid w:val="0"/>
                      <w:color w:val="auto"/>
                      <w:kern w:val="0"/>
                      <w:szCs w:val="21"/>
                      <w:lang w:eastAsia="zh-CN"/>
                      <w:highlight w:val="none"/>
                    </w:rPr>
                  </w:pPr>
                  <w:r>
                    <w:rPr>
                      <w:rFonts w:ascii="Times New Roman" w:cs="Times New Roman" w:hAnsi="Times New Roman"/>
                      <w:color w:val="auto"/>
                      <w:kern w:val="0"/>
                      <w:szCs w:val="21"/>
                      <w:highlight w:val="none"/>
                    </w:rPr>
                    <w:t>项目不属于</w:t>
                  </w:r>
                  <w:r>
                    <w:rPr>
                      <w:rFonts w:ascii="Times New Roman" w:cs="Times New Roman" w:hAnsi="Times New Roman"/>
                      <w:snapToGrid w:val="0"/>
                      <w:color w:val="auto"/>
                      <w:kern w:val="0"/>
                      <w:szCs w:val="21"/>
                      <w:highlight w:val="none"/>
                    </w:rPr>
                    <w:t>石化、化工、涂装、医药、油品储运销等</w:t>
                  </w:r>
                  <w:r>
                    <w:rPr>
                      <w:rFonts w:ascii="Times New Roman" w:cs="Times New Roman" w:hAnsi="Times New Roman"/>
                      <w:color w:val="auto"/>
                      <w:kern w:val="0"/>
                      <w:szCs w:val="21"/>
                      <w:highlight w:val="none"/>
                    </w:rPr>
                    <w:t>重点行业</w:t>
                  </w:r>
                  <w:r>
                    <w:rPr>
                      <w:rFonts w:ascii="Times New Roman" w:cs="Times New Roman" w:hAnsi="Times New Roman"/>
                      <w:snapToGrid w:val="0"/>
                      <w:color w:val="auto"/>
                      <w:kern w:val="0"/>
                      <w:szCs w:val="21"/>
                      <w:highlight w:val="none"/>
                    </w:rPr>
                    <w:t>。</w:t>
                  </w:r>
                  <w:r>
                    <w:rPr>
                      <w:rFonts w:ascii="Times New Roman" w:cs="Times New Roman" w:hAnsi="Times New Roman"/>
                      <w:color w:val="auto"/>
                      <w:kern w:val="0"/>
                      <w:szCs w:val="21"/>
                      <w:highlight w:val="none"/>
                    </w:rPr>
                    <w:t>项目污染物</w:t>
                  </w:r>
                  <w:r>
                    <w:rPr>
                      <w:rFonts w:cs="Times New Roman" w:hint="eastAsia"/>
                      <w:color w:val="auto"/>
                      <w:kern w:val="0"/>
                      <w:szCs w:val="21"/>
                      <w:lang w:val="en-US" w:eastAsia="zh-CN"/>
                      <w:highlight w:val="none"/>
                    </w:rPr>
                    <w:t>经采取治理</w:t>
                  </w:r>
                  <w:r>
                    <w:rPr>
                      <w:rFonts w:ascii="Times New Roman" w:cs="Times New Roman" w:hAnsi="Times New Roman"/>
                      <w:color w:val="auto"/>
                      <w:kern w:val="0"/>
                      <w:szCs w:val="21"/>
                      <w:highlight w:val="none"/>
                    </w:rPr>
                    <w:t>措施，污染物均能达标排放</w:t>
                  </w:r>
                  <w:r>
                    <w:rPr>
                      <w:rFonts w:cs="Times New Roman" w:hint="eastAsia"/>
                      <w:color w:val="auto"/>
                      <w:kern w:val="0"/>
                      <w:szCs w:val="21"/>
                      <w:lang w:eastAsia="zh-CN"/>
                      <w:highlight w:val="none"/>
                    </w:rPr>
                    <w:t>。</w:t>
                  </w:r>
                </w:p>
              </w:tc>
              <w:tc>
                <w:tcPr>
                  <w:tcW w:w="389" w:type="pct"/>
                  <w:tcBorders>
                    <w:tl2br w:val="nil"/>
                    <w:tr2bl w:val="nil"/>
                  </w:tcBorders>
                  <w:vAlign w:val="center"/>
                </w:tcPr>
                <w:p>
                  <w:pPr>
                    <w:adjustRightInd w:val="0"/>
                    <w:snapToGrid w:val="0"/>
                    <w:jc w:val="center"/>
                    <w:rPr>
                      <w:rFonts w:ascii="Times New Roman" w:cs="Times New Roman" w:hAnsi="Times New Roman"/>
                      <w:snapToGrid w:val="0"/>
                      <w:color w:val="auto"/>
                      <w:kern w:val="0"/>
                      <w:szCs w:val="21"/>
                      <w:highlight w:val="none"/>
                    </w:rPr>
                  </w:pPr>
                  <w:r>
                    <w:rPr>
                      <w:rFonts w:ascii="Times New Roman" w:cs="Times New Roman" w:hAnsi="Times New Roman"/>
                      <w:snapToGrid w:val="0"/>
                      <w:color w:val="auto"/>
                      <w:kern w:val="0"/>
                      <w:szCs w:val="21"/>
                      <w:highlight w:val="none"/>
                    </w:rPr>
                    <w:t>符合</w:t>
                  </w:r>
                </w:p>
              </w:tc>
            </w:tr>
            <w:tr>
              <w:trPr>
                <w:trHeight w:val="4242"/>
              </w:trPr>
              <w:tc>
                <w:tcPr>
                  <w:tcW w:w="509" w:type="pct"/>
                  <w:vMerge/>
                  <w:tcBorders>
                    <w:tl2br w:val="nil"/>
                    <w:tr2bl w:val="nil"/>
                  </w:tcBorders>
                  <w:vAlign w:val="center"/>
                </w:tcPr>
                <w:p/>
              </w:tc>
              <w:tc>
                <w:tcPr>
                  <w:tcW w:w="2947" w:type="pct"/>
                  <w:tcBorders>
                    <w:tl2br w:val="nil"/>
                    <w:tr2bl w:val="nil"/>
                  </w:tcBorders>
                  <w:vAlign w:val="center"/>
                </w:tcPr>
                <w:p>
                  <w:pPr>
                    <w:adjustRightInd w:val="0"/>
                    <w:snapToGrid w:val="0"/>
                    <w:rPr>
                      <w:rFonts w:ascii="Times New Roman" w:cs="Times New Roman" w:hAnsi="Times New Roman"/>
                      <w:snapToGrid w:val="0"/>
                      <w:color w:val="auto"/>
                      <w:kern w:val="0"/>
                      <w:szCs w:val="21"/>
                      <w:highlight w:val="none"/>
                    </w:rPr>
                  </w:pPr>
                  <w:r>
                    <w:rPr>
                      <w:rFonts w:ascii="Times New Roman" w:cs="Times New Roman" w:hAnsi="Times New Roman"/>
                      <w:snapToGrid w:val="0"/>
                      <w:color w:val="auto"/>
                      <w:kern w:val="0"/>
                      <w:szCs w:val="21"/>
                      <w:highlight w:val="none"/>
                    </w:rPr>
                    <w:t>（四）实施面源污染治理攻坚。1.强化扬尘精细化管控。建立健全绿色施工标准和扬尘管控体系，对扬尘重点污染源实行清单化动态管理，将绿色施工纳入企业资质评价、生态环境信用评价。加强城市道路低尘机械化湿式清扫作业，加大城市出入口、城乡结合部等重要路段冲洗保洁力度，实施渣土车密闭运输，完善降尘监测和考评体系。城市裸露地面、粉料类物料堆放及大型煤炭和矿石码头物料堆场基本完成抑尘设施建设和物料输送系统封闭改造，鼓励有条件的大型煤炭和矿石码头等干散货码头堆场实施全封闭改造。强化重点时段秸秆禁烧专项整治，完善秸秆焚烧视频监控系统点位建设，基本实现全省涉农区域全覆盖。严格落实矿产资源开采、运输和加工过程防尘、除尘措施，实施矿山生产污染物排放在线监测。</w:t>
                  </w:r>
                </w:p>
              </w:tc>
              <w:tc>
                <w:tcPr>
                  <w:tcW w:w="1153" w:type="pct"/>
                  <w:tcBorders>
                    <w:tl2br w:val="nil"/>
                    <w:tr2bl w:val="nil"/>
                  </w:tcBorders>
                  <w:vAlign w:val="center"/>
                </w:tcPr>
                <w:p>
                  <w:pPr>
                    <w:adjustRightInd w:val="0"/>
                    <w:snapToGrid w:val="0"/>
                    <w:jc w:val="center"/>
                    <w:rPr>
                      <w:rFonts w:ascii="Times New Roman" w:cs="Times New Roman" w:hAnsi="Times New Roman"/>
                      <w:snapToGrid w:val="0"/>
                      <w:color w:val="auto"/>
                      <w:kern w:val="0"/>
                      <w:szCs w:val="21"/>
                      <w:highlight w:val="none"/>
                    </w:rPr>
                  </w:pPr>
                  <w:r>
                    <w:rPr>
                      <w:rFonts w:hint="eastAsia"/>
                      <w:color w:val="auto"/>
                      <w:szCs w:val="21"/>
                      <w:lang w:val="zh-CN"/>
                      <w:highlight w:val="none"/>
                    </w:rPr>
                    <w:t>项目租用现有厂房改造后用于废铅蓄电池的存储，改造过程中会产生扬尘，采取措施后最大限度的降低对周围环境的影响，施工期结束后影响随即消失</w:t>
                  </w:r>
                  <w:r>
                    <w:rPr>
                      <w:rFonts w:eastAsia="宋体" w:hint="eastAsia"/>
                      <w:color w:val="auto"/>
                      <w:szCs w:val="21"/>
                      <w:lang w:val="zh-CN"/>
                      <w:highlight w:val="none"/>
                    </w:rPr>
                    <w:t>。</w:t>
                  </w:r>
                </w:p>
              </w:tc>
              <w:tc>
                <w:tcPr>
                  <w:tcW w:w="389" w:type="pct"/>
                  <w:tcBorders>
                    <w:tl2br w:val="nil"/>
                    <w:tr2bl w:val="nil"/>
                  </w:tcBorders>
                  <w:vAlign w:val="center"/>
                </w:tcPr>
                <w:p>
                  <w:pPr>
                    <w:adjustRightInd w:val="0"/>
                    <w:snapToGrid w:val="0"/>
                    <w:jc w:val="center"/>
                    <w:rPr>
                      <w:rFonts w:ascii="Times New Roman" w:cs="Times New Roman" w:hAnsi="Times New Roman"/>
                      <w:snapToGrid w:val="0"/>
                      <w:color w:val="auto"/>
                      <w:kern w:val="0"/>
                      <w:szCs w:val="21"/>
                      <w:highlight w:val="none"/>
                    </w:rPr>
                  </w:pPr>
                  <w:r>
                    <w:rPr>
                      <w:rFonts w:ascii="Times New Roman" w:cs="Times New Roman" w:hAnsi="Times New Roman"/>
                      <w:snapToGrid w:val="0"/>
                      <w:color w:val="auto"/>
                      <w:kern w:val="0"/>
                      <w:szCs w:val="21"/>
                      <w:highlight w:val="none"/>
                    </w:rPr>
                    <w:t>符合</w:t>
                  </w:r>
                </w:p>
              </w:tc>
            </w:tr>
            <w:tr>
              <w:tc>
                <w:tcPr>
                  <w:tcW w:w="509" w:type="pct"/>
                  <w:tcBorders>
                    <w:tl2br w:val="nil"/>
                    <w:tr2bl w:val="nil"/>
                  </w:tcBorders>
                  <w:vAlign w:val="center"/>
                </w:tcPr>
                <w:p>
                  <w:pPr>
                    <w:adjustRightInd w:val="0"/>
                    <w:snapToGrid w:val="0"/>
                    <w:jc w:val="center"/>
                    <w:rPr>
                      <w:rFonts w:ascii="Times New Roman" w:cs="Times New Roman" w:hAnsi="Times New Roman"/>
                      <w:snapToGrid w:val="0"/>
                      <w:color w:val="auto"/>
                      <w:kern w:val="0"/>
                      <w:szCs w:val="21"/>
                      <w:highlight w:val="none"/>
                    </w:rPr>
                  </w:pPr>
                  <w:r>
                    <w:rPr>
                      <w:rFonts w:ascii="Times New Roman" w:cs="Times New Roman" w:hAnsi="Times New Roman"/>
                      <w:snapToGrid w:val="0"/>
                      <w:color w:val="auto"/>
                      <w:kern w:val="0"/>
                      <w:szCs w:val="21"/>
                      <w:highlight w:val="none"/>
                    </w:rPr>
                    <w:t>六、“三水”统筹，打造良好水生态环境</w:t>
                  </w:r>
                </w:p>
              </w:tc>
              <w:tc>
                <w:tcPr>
                  <w:tcW w:w="2947" w:type="pct"/>
                  <w:tcBorders>
                    <w:tl2br w:val="nil"/>
                    <w:tr2bl w:val="nil"/>
                  </w:tcBorders>
                  <w:vAlign w:val="center"/>
                </w:tcPr>
                <w:p>
                  <w:pPr>
                    <w:adjustRightInd w:val="0"/>
                    <w:snapToGrid w:val="0"/>
                    <w:rPr>
                      <w:rFonts w:ascii="Times New Roman" w:cs="Times New Roman" w:hAnsi="Times New Roman"/>
                      <w:snapToGrid w:val="0"/>
                      <w:color w:val="auto"/>
                      <w:kern w:val="0"/>
                      <w:szCs w:val="21"/>
                      <w:highlight w:val="none"/>
                    </w:rPr>
                  </w:pPr>
                  <w:r>
                    <w:rPr>
                      <w:rFonts w:ascii="Times New Roman" w:cs="Times New Roman" w:hAnsi="Times New Roman"/>
                      <w:snapToGrid w:val="0"/>
                      <w:color w:val="auto"/>
                      <w:kern w:val="0"/>
                      <w:szCs w:val="21"/>
                      <w:highlight w:val="none"/>
                    </w:rPr>
                    <w:t>（四）强化水污染源头防控。1.强化工业污染减排。实施差别化环境准入政策，推进涉水工业企业全面入园进区。新设立和升级的经济技术开发区、高新技术产业开发区等工业园区同步规划建设污水集中处理设施，加快完善工业园区配套管网，推进“清污分流、雨污分流”，实现园区污水全收集、全处理。</w:t>
                  </w:r>
                </w:p>
              </w:tc>
              <w:tc>
                <w:tcPr>
                  <w:tcW w:w="1153" w:type="pct"/>
                  <w:tcBorders>
                    <w:tl2br w:val="nil"/>
                    <w:tr2bl w:val="nil"/>
                  </w:tcBorders>
                  <w:vAlign w:val="center"/>
                </w:tcPr>
                <w:p>
                  <w:pPr>
                    <w:adjustRightInd w:val="0"/>
                    <w:snapToGrid w:val="0"/>
                    <w:jc w:val="center"/>
                    <w:rPr>
                      <w:rFonts w:ascii="Times New Roman" w:cs="Times New Roman" w:hAnsi="Times New Roman"/>
                      <w:snapToGrid w:val="0"/>
                      <w:color w:val="auto"/>
                      <w:kern w:val="0"/>
                      <w:szCs w:val="21"/>
                      <w:highlight w:val="none"/>
                    </w:rPr>
                  </w:pPr>
                  <w:r>
                    <w:rPr>
                      <w:rFonts w:ascii="Times New Roman" w:cs="Times New Roman" w:hAnsi="Times New Roman"/>
                      <w:color w:val="auto"/>
                      <w:szCs w:val="21"/>
                      <w:highlight w:val="none"/>
                    </w:rPr>
                    <w:t>项目不属于工业企业。</w:t>
                  </w:r>
                </w:p>
              </w:tc>
              <w:tc>
                <w:tcPr>
                  <w:tcW w:w="389" w:type="pct"/>
                  <w:tcBorders>
                    <w:tl2br w:val="nil"/>
                    <w:tr2bl w:val="nil"/>
                  </w:tcBorders>
                  <w:vAlign w:val="center"/>
                </w:tcPr>
                <w:p>
                  <w:pPr>
                    <w:adjustRightInd w:val="0"/>
                    <w:snapToGrid w:val="0"/>
                    <w:jc w:val="center"/>
                    <w:rPr>
                      <w:rFonts w:ascii="Times New Roman" w:cs="Times New Roman" w:hAnsi="Times New Roman"/>
                      <w:snapToGrid w:val="0"/>
                      <w:color w:val="auto"/>
                      <w:kern w:val="0"/>
                      <w:szCs w:val="21"/>
                      <w:highlight w:val="none"/>
                    </w:rPr>
                  </w:pPr>
                  <w:r>
                    <w:rPr>
                      <w:rFonts w:ascii="Times New Roman" w:cs="Times New Roman" w:hAnsi="Times New Roman"/>
                      <w:snapToGrid w:val="0"/>
                      <w:color w:val="auto"/>
                      <w:kern w:val="0"/>
                      <w:szCs w:val="21"/>
                      <w:highlight w:val="none"/>
                    </w:rPr>
                    <w:t>符合</w:t>
                  </w:r>
                </w:p>
              </w:tc>
            </w:tr>
            <w:tr>
              <w:tc>
                <w:tcPr>
                  <w:tcW w:w="509" w:type="pct"/>
                  <w:tcBorders>
                    <w:tl2br w:val="nil"/>
                    <w:tr2bl w:val="nil"/>
                  </w:tcBorders>
                  <w:vAlign w:val="center"/>
                </w:tcPr>
                <w:p>
                  <w:pPr>
                    <w:adjustRightInd w:val="0"/>
                    <w:snapToGrid w:val="0"/>
                    <w:jc w:val="center"/>
                    <w:rPr>
                      <w:rFonts w:ascii="Times New Roman" w:cs="Times New Roman" w:hAnsi="Times New Roman"/>
                      <w:snapToGrid w:val="0"/>
                      <w:color w:val="auto"/>
                      <w:kern w:val="0"/>
                      <w:szCs w:val="21"/>
                      <w:highlight w:val="none"/>
                    </w:rPr>
                  </w:pPr>
                  <w:r>
                    <w:rPr>
                      <w:rFonts w:ascii="Times New Roman" w:cs="Times New Roman" w:hAnsi="Times New Roman"/>
                      <w:snapToGrid w:val="0"/>
                      <w:color w:val="auto"/>
                      <w:kern w:val="0"/>
                      <w:szCs w:val="21"/>
                      <w:highlight w:val="none"/>
                    </w:rPr>
                    <w:t>八、协同防控，保障土壤地下水环境安全</w:t>
                  </w:r>
                </w:p>
              </w:tc>
              <w:tc>
                <w:tcPr>
                  <w:tcW w:w="2947" w:type="pct"/>
                  <w:tcBorders>
                    <w:tl2br w:val="nil"/>
                    <w:tr2bl w:val="nil"/>
                  </w:tcBorders>
                  <w:vAlign w:val="center"/>
                </w:tcPr>
                <w:p>
                  <w:pPr>
                    <w:adjustRightInd w:val="0"/>
                    <w:snapToGrid w:val="0"/>
                    <w:rPr>
                      <w:rFonts w:ascii="Times New Roman" w:cs="Times New Roman" w:hAnsi="Times New Roman"/>
                      <w:snapToGrid w:val="0"/>
                      <w:color w:val="auto"/>
                      <w:kern w:val="0"/>
                      <w:szCs w:val="21"/>
                      <w:highlight w:val="none"/>
                    </w:rPr>
                  </w:pPr>
                  <w:r>
                    <w:rPr>
                      <w:rFonts w:ascii="Times New Roman" w:cs="Times New Roman" w:hAnsi="Times New Roman"/>
                      <w:snapToGrid w:val="0"/>
                      <w:color w:val="auto"/>
                      <w:kern w:val="0"/>
                      <w:szCs w:val="21"/>
                      <w:highlight w:val="none"/>
                    </w:rPr>
                    <w:t>（一）强化污染源头防控。1.加强空间布局管控。将土壤和地下水环境要求纳入相关规划。永久基本农田集中区域禁止新建可能造成土壤污染的建设项目。污染地块再开发利用，严格落实规划用途及相应的土壤环境质量要求，科学设定成片污染地块及周边土地开发时序。2.强化工业企业土壤污染风险防控。新（改、扩）建项目涉及有毒</w:t>
                    <w:cr/>
                    <w:t>有害物质可能造成土壤污染的，落实土壤和地下水污染防治要求。开展典型行业企业用地及周边土壤污染状况调查，持续推进耕地周边涉重金属行业企业排查整治。动态更新土壤污染重点监管单位名录，将土壤污染防治义务依法纳入排污许可管理。加强企业拆除活动污染防治监管，落实拆除活动污染防治措施。3.严格控制重金属排放总量。</w:t>
                  </w:r>
                </w:p>
              </w:tc>
              <w:tc>
                <w:tcPr>
                  <w:tcW w:w="1153" w:type="pct"/>
                  <w:tcBorders>
                    <w:tl2br w:val="nil"/>
                    <w:tr2bl w:val="nil"/>
                  </w:tcBorders>
                  <w:vAlign w:val="center"/>
                </w:tcPr>
                <w:p>
                  <w:pPr>
                    <w:adjustRightInd w:val="0"/>
                    <w:snapToGrid w:val="0"/>
                    <w:jc w:val="center"/>
                    <w:rPr>
                      <w:rFonts w:ascii="Times New Roman" w:cs="Times New Roman" w:hAnsi="Times New Roman"/>
                      <w:snapToGrid w:val="0"/>
                      <w:color w:val="auto"/>
                      <w:kern w:val="0"/>
                      <w:szCs w:val="21"/>
                      <w:highlight w:val="none"/>
                    </w:rPr>
                  </w:pPr>
                  <w:r>
                    <w:rPr>
                      <w:rFonts w:ascii="Times New Roman" w:cs="Times New Roman" w:hAnsi="Times New Roman"/>
                      <w:color w:val="auto"/>
                      <w:szCs w:val="21"/>
                      <w:highlight w:val="none"/>
                    </w:rPr>
                    <w:t>项目不涉及</w:t>
                  </w:r>
                  <w:r>
                    <w:rPr>
                      <w:rFonts w:ascii="Times New Roman" w:cs="Times New Roman" w:hAnsi="Times New Roman"/>
                      <w:snapToGrid w:val="0"/>
                      <w:color w:val="auto"/>
                      <w:kern w:val="0"/>
                      <w:szCs w:val="21"/>
                      <w:highlight w:val="none"/>
                    </w:rPr>
                    <w:t>重金属排放总量。</w:t>
                  </w:r>
                </w:p>
              </w:tc>
              <w:tc>
                <w:tcPr>
                  <w:tcW w:w="389" w:type="pct"/>
                  <w:tcBorders>
                    <w:tl2br w:val="nil"/>
                    <w:tr2bl w:val="nil"/>
                  </w:tcBorders>
                  <w:vAlign w:val="center"/>
                </w:tcPr>
                <w:p>
                  <w:pPr>
                    <w:adjustRightInd w:val="0"/>
                    <w:snapToGrid w:val="0"/>
                    <w:jc w:val="center"/>
                    <w:rPr>
                      <w:rFonts w:ascii="Times New Roman" w:cs="Times New Roman" w:hAnsi="Times New Roman"/>
                      <w:snapToGrid w:val="0"/>
                      <w:color w:val="auto"/>
                      <w:kern w:val="0"/>
                      <w:szCs w:val="21"/>
                      <w:highlight w:val="none"/>
                    </w:rPr>
                  </w:pPr>
                  <w:r>
                    <w:rPr>
                      <w:rFonts w:ascii="Times New Roman" w:cs="Times New Roman" w:hAnsi="Times New Roman"/>
                      <w:snapToGrid w:val="0"/>
                      <w:color w:val="auto"/>
                      <w:kern w:val="0"/>
                      <w:szCs w:val="21"/>
                      <w:highlight w:val="none"/>
                    </w:rPr>
                    <w:t>符合</w:t>
                  </w:r>
                </w:p>
              </w:tc>
            </w:tr>
            <w:tr>
              <w:tc>
                <w:tcPr>
                  <w:tcW w:w="509" w:type="pct"/>
                  <w:vMerge w:val="restart"/>
                  <w:tcBorders>
                    <w:tl2br w:val="nil"/>
                    <w:tr2bl w:val="nil"/>
                  </w:tcBorders>
                  <w:vAlign w:val="center"/>
                </w:tcPr>
                <w:p>
                  <w:pPr>
                    <w:adjustRightInd w:val="0"/>
                    <w:snapToGrid w:val="0"/>
                    <w:jc w:val="center"/>
                    <w:rPr>
                      <w:rFonts w:ascii="Times New Roman" w:cs="Times New Roman" w:hAnsi="Times New Roman"/>
                      <w:snapToGrid w:val="0"/>
                      <w:color w:val="auto"/>
                      <w:kern w:val="0"/>
                      <w:szCs w:val="21"/>
                      <w:highlight w:val="none"/>
                    </w:rPr>
                  </w:pPr>
                  <w:r>
                    <w:rPr>
                      <w:rFonts w:ascii="Times New Roman" w:cs="Times New Roman" w:hAnsi="Times New Roman"/>
                      <w:snapToGrid w:val="0"/>
                      <w:color w:val="auto"/>
                      <w:kern w:val="0"/>
                      <w:szCs w:val="21"/>
                      <w:highlight w:val="none"/>
                    </w:rPr>
                    <w:t>九、防治结合，构建固体废物监管体系</w:t>
                  </w:r>
                </w:p>
              </w:tc>
              <w:tc>
                <w:tcPr>
                  <w:tcW w:w="2947" w:type="pct"/>
                  <w:tcBorders>
                    <w:tl2br w:val="nil"/>
                    <w:tr2bl w:val="nil"/>
                  </w:tcBorders>
                  <w:vAlign w:val="center"/>
                </w:tcPr>
                <w:p>
                  <w:pPr>
                    <w:adjustRightInd w:val="0"/>
                    <w:snapToGrid w:val="0"/>
                    <w:rPr>
                      <w:rFonts w:ascii="Times New Roman" w:cs="Times New Roman" w:hAnsi="Times New Roman"/>
                      <w:snapToGrid w:val="0"/>
                      <w:color w:val="auto"/>
                      <w:kern w:val="0"/>
                      <w:szCs w:val="21"/>
                      <w:highlight w:val="none"/>
                    </w:rPr>
                  </w:pPr>
                  <w:r>
                    <w:rPr>
                      <w:rFonts w:ascii="Times New Roman" w:cs="Times New Roman" w:hAnsi="Times New Roman"/>
                      <w:snapToGrid w:val="0"/>
                      <w:color w:val="auto"/>
                      <w:kern w:val="0"/>
                      <w:szCs w:val="21"/>
                      <w:highlight w:val="none"/>
                    </w:rPr>
                    <w:t>（一）规范危险废物环境管理。1.完善危险废物监管体制机制。拓宽部门沟通协作渠道，建立覆盖危险废物产生、收集、贮存、运输、利用、处置等全过程、全链条式监管体系。完善联席会议制度，促进信息共享。严格落实“网格化”监管，深化网格长、网格监督员、监督执法人员、企业内部监管人员“一长三员”监管机制。建立危险废物环境风险区域联防联控机制。2.加大源头管控力度。严格执行危险废物名录管理制度，动态更新危险废物环境重点监管单位清单。严把涉危险废物工业项目环境准入关，落实工业危险废物排污许可制度。组织危险废物相关企业实施强制性清洁生产审核。鼓励生产者责任延伸，支持研发、推广减少工业危险废物产生量和降低工业危险废物危害性的生产工艺和设备。3.规范危险废物收集转运。推动建立危险废物跨省转移“白名单”制度。开展工业园区危险废物收集转运试点。严格危险废物产生、运输、利用处置转移联单管理，推动转移运输规范化和便捷化。支持危险废物专业收集转运，利用处置单位和社会力量建设区域性收集网点和贮存设施。鼓励在有条件的高校集中区域开展实验室危险废物分类收集和预处理示范项目建设。6.强化危险废物环境风险防控能力。强化对危险废物收集、贮存、处置单位的监管，严防危险废物超期超量贮存。推进智能化视频监控体系建设。在环境风险可控的前提下，鼓励工业企业对产生的危险废物回收再利用处置，开展“点对点”定向利用的危险废物经营许可豁免管理试点。</w:t>
                  </w:r>
                </w:p>
              </w:tc>
              <w:tc>
                <w:tcPr>
                  <w:tcW w:w="1153" w:type="pct"/>
                  <w:tcBorders>
                    <w:tl2br w:val="nil"/>
                    <w:tr2bl w:val="nil"/>
                  </w:tcBorders>
                  <w:vAlign w:val="center"/>
                </w:tcPr>
                <w:p>
                  <w:pPr>
                    <w:adjustRightInd w:val="0"/>
                    <w:snapToGrid w:val="0"/>
                    <w:jc w:val="center"/>
                    <w:rPr>
                      <w:rFonts w:ascii="Times New Roman" w:cs="Times New Roman" w:hAnsi="Times New Roman"/>
                      <w:snapToGrid w:val="0"/>
                      <w:color w:val="auto"/>
                      <w:kern w:val="0"/>
                      <w:szCs w:val="21"/>
                      <w:highlight w:val="none"/>
                    </w:rPr>
                  </w:pPr>
                  <w:r>
                    <w:rPr>
                      <w:rFonts w:ascii="Times New Roman" w:cs="Times New Roman" w:hAnsi="Times New Roman"/>
                      <w:snapToGrid w:val="0"/>
                      <w:color w:val="auto"/>
                      <w:kern w:val="0"/>
                      <w:szCs w:val="21"/>
                      <w:highlight w:val="none"/>
                    </w:rPr>
                    <w:t>项目危险废物暂存于危废间，定期交有资质单位处置。</w:t>
                  </w:r>
                </w:p>
              </w:tc>
              <w:tc>
                <w:tcPr>
                  <w:tcW w:w="389" w:type="pct"/>
                  <w:tcBorders>
                    <w:tl2br w:val="nil"/>
                    <w:tr2bl w:val="nil"/>
                  </w:tcBorders>
                  <w:vAlign w:val="center"/>
                </w:tcPr>
                <w:p>
                  <w:pPr>
                    <w:adjustRightInd w:val="0"/>
                    <w:snapToGrid w:val="0"/>
                    <w:jc w:val="center"/>
                    <w:rPr>
                      <w:rFonts w:ascii="Times New Roman" w:cs="Times New Roman" w:hAnsi="Times New Roman"/>
                      <w:snapToGrid w:val="0"/>
                      <w:color w:val="auto"/>
                      <w:kern w:val="0"/>
                      <w:szCs w:val="21"/>
                      <w:highlight w:val="none"/>
                    </w:rPr>
                  </w:pPr>
                  <w:r>
                    <w:rPr>
                      <w:rFonts w:ascii="Times New Roman" w:cs="Times New Roman" w:hAnsi="Times New Roman"/>
                      <w:snapToGrid w:val="0"/>
                      <w:color w:val="auto"/>
                      <w:kern w:val="0"/>
                      <w:szCs w:val="21"/>
                      <w:highlight w:val="none"/>
                    </w:rPr>
                    <w:t>符合</w:t>
                  </w:r>
                </w:p>
              </w:tc>
            </w:tr>
            <w:tr>
              <w:tc>
                <w:tcPr>
                  <w:tcW w:w="509" w:type="pct"/>
                  <w:vMerge/>
                  <w:tcBorders>
                    <w:tl2br w:val="nil"/>
                    <w:tr2bl w:val="nil"/>
                  </w:tcBorders>
                  <w:vAlign w:val="center"/>
                </w:tcPr>
                <w:p/>
              </w:tc>
              <w:tc>
                <w:tcPr>
                  <w:tcW w:w="2947" w:type="pct"/>
                  <w:tcBorders>
                    <w:tl2br w:val="nil"/>
                    <w:tr2bl w:val="nil"/>
                  </w:tcBorders>
                  <w:vAlign w:val="center"/>
                </w:tcPr>
                <w:p>
                  <w:pPr>
                    <w:adjustRightInd w:val="0"/>
                    <w:snapToGrid w:val="0"/>
                    <w:rPr>
                      <w:rFonts w:ascii="Times New Roman" w:cs="Times New Roman" w:hAnsi="Times New Roman"/>
                      <w:snapToGrid w:val="0"/>
                      <w:color w:val="auto"/>
                      <w:kern w:val="0"/>
                      <w:szCs w:val="21"/>
                      <w:highlight w:val="none"/>
                    </w:rPr>
                  </w:pPr>
                  <w:r>
                    <w:rPr>
                      <w:rFonts w:ascii="Times New Roman" w:cs="Times New Roman" w:hAnsi="Times New Roman"/>
                      <w:snapToGrid w:val="0"/>
                      <w:color w:val="auto"/>
                      <w:kern w:val="0"/>
                      <w:szCs w:val="21"/>
                      <w:highlight w:val="none"/>
                    </w:rPr>
                    <w:t>（三）提高固体废物综合利用水平。1.加快构建废旧物资循环利用体系。深化雄安新区</w:t>
                  </w:r>
                  <w:r>
                    <w:rPr>
                      <w:rFonts w:cs="Times New Roman" w:hint="eastAsia"/>
                      <w:snapToGrid w:val="0"/>
                      <w:color w:val="auto"/>
                      <w:kern w:val="0"/>
                      <w:szCs w:val="21"/>
                      <w:lang w:eastAsia="zh-CN"/>
                      <w:highlight w:val="none"/>
                    </w:rPr>
                    <w:t>“</w:t>
                  </w:r>
                  <w:r>
                    <w:rPr>
                      <w:rFonts w:ascii="Times New Roman" w:cs="Times New Roman" w:hAnsi="Times New Roman"/>
                      <w:snapToGrid w:val="0"/>
                      <w:color w:val="auto"/>
                      <w:kern w:val="0"/>
                      <w:szCs w:val="21"/>
                      <w:highlight w:val="none"/>
                    </w:rPr>
                    <w:t>无废城市</w:t>
                  </w:r>
                  <w:r>
                    <w:rPr>
                      <w:rFonts w:cs="Times New Roman" w:hint="eastAsia"/>
                      <w:snapToGrid w:val="0"/>
                      <w:color w:val="auto"/>
                      <w:kern w:val="0"/>
                      <w:szCs w:val="21"/>
                      <w:lang w:eastAsia="zh-CN"/>
                      <w:highlight w:val="none"/>
                    </w:rPr>
                    <w:t>”</w:t>
                  </w:r>
                  <w:r>
                    <w:rPr>
                      <w:rFonts w:ascii="Times New Roman" w:cs="Times New Roman" w:hAnsi="Times New Roman"/>
                      <w:snapToGrid w:val="0"/>
                      <w:color w:val="auto"/>
                      <w:kern w:val="0"/>
                      <w:szCs w:val="21"/>
                      <w:highlight w:val="none"/>
                    </w:rPr>
                    <w:t>试点，在各市开展</w:t>
                  </w:r>
                  <w:r>
                    <w:rPr>
                      <w:rFonts w:cs="Times New Roman" w:hint="eastAsia"/>
                      <w:snapToGrid w:val="0"/>
                      <w:color w:val="auto"/>
                      <w:kern w:val="0"/>
                      <w:szCs w:val="21"/>
                      <w:lang w:eastAsia="zh-CN"/>
                      <w:highlight w:val="none"/>
                    </w:rPr>
                    <w:t>“</w:t>
                  </w:r>
                  <w:r>
                    <w:rPr>
                      <w:rFonts w:ascii="Times New Roman" w:cs="Times New Roman" w:hAnsi="Times New Roman"/>
                      <w:snapToGrid w:val="0"/>
                      <w:color w:val="auto"/>
                      <w:kern w:val="0"/>
                      <w:szCs w:val="21"/>
                      <w:highlight w:val="none"/>
                    </w:rPr>
                    <w:t>无废城市</w:t>
                  </w:r>
                  <w:r>
                    <w:rPr>
                      <w:rFonts w:cs="Times New Roman" w:hint="eastAsia"/>
                      <w:snapToGrid w:val="0"/>
                      <w:color w:val="auto"/>
                      <w:kern w:val="0"/>
                      <w:szCs w:val="21"/>
                      <w:lang w:eastAsia="zh-CN"/>
                      <w:highlight w:val="none"/>
                    </w:rPr>
                    <w:t>”</w:t>
                  </w:r>
                  <w:r>
                    <w:rPr>
                      <w:rFonts w:ascii="Times New Roman" w:cs="Times New Roman" w:hAnsi="Times New Roman"/>
                      <w:snapToGrid w:val="0"/>
                      <w:color w:val="auto"/>
                      <w:kern w:val="0"/>
                      <w:szCs w:val="21"/>
                      <w:highlight w:val="none"/>
                    </w:rPr>
                    <w:t>创建。健全强制报废制度和废旧家电、消费电子等耐用消费品回收处理体系。以电器电子产品、汽车产品、动力蓄电池、铅酸蓄电池、饮料纸基复合包装物为重点，加快落实生产者责任延伸制度。构建建筑垃圾管理和资源化利用体系，建立健全政策引导、市场推动、社会参与的长效推进机制。2.强化工业固体废物污染防治。持续开展非法和不规范堆存渣场排查整治，建立排污单位工业固体废物管理台账。推行生产企业“逆向回收”等模式，推动大宗工业固体废物贮存处置总量趋零增长。加快建设邯郸、唐山国家大宗固体废弃物综合利用基地，推进综合利用产业集聚发展，提升综合利用水平。</w:t>
                  </w:r>
                </w:p>
              </w:tc>
              <w:tc>
                <w:tcPr>
                  <w:tcW w:w="1153" w:type="pct"/>
                  <w:tcBorders>
                    <w:tl2br w:val="nil"/>
                    <w:tr2bl w:val="nil"/>
                  </w:tcBorders>
                  <w:vAlign w:val="center"/>
                </w:tcPr>
                <w:p>
                  <w:pPr>
                    <w:adjustRightInd w:val="0"/>
                    <w:snapToGrid w:val="0"/>
                    <w:jc w:val="center"/>
                    <w:rPr>
                      <w:rFonts w:ascii="Times New Roman" w:cs="Times New Roman" w:hAnsi="Times New Roman"/>
                      <w:snapToGrid w:val="0"/>
                      <w:color w:val="auto"/>
                      <w:kern w:val="0"/>
                      <w:szCs w:val="21"/>
                      <w:highlight w:val="none"/>
                    </w:rPr>
                  </w:pPr>
                  <w:r>
                    <w:rPr>
                      <w:rFonts w:cs="Times New Roman" w:hint="eastAsia"/>
                      <w:snapToGrid w:val="0"/>
                      <w:color w:val="auto"/>
                      <w:kern w:val="0"/>
                      <w:szCs w:val="21"/>
                      <w:lang w:eastAsia="zh-CN"/>
                      <w:highlight w:val="none"/>
                    </w:rPr>
                    <w:t>本</w:t>
                  </w:r>
                  <w:r>
                    <w:rPr>
                      <w:rFonts w:ascii="Times New Roman" w:cs="Times New Roman" w:hAnsi="Times New Roman"/>
                      <w:snapToGrid w:val="0"/>
                      <w:color w:val="auto"/>
                      <w:kern w:val="0"/>
                      <w:szCs w:val="21"/>
                      <w:highlight w:val="none"/>
                    </w:rPr>
                    <w:t>项目</w:t>
                  </w:r>
                  <w:r>
                    <w:rPr>
                      <w:rFonts w:cs="Times New Roman" w:hint="eastAsia"/>
                      <w:snapToGrid w:val="0"/>
                      <w:color w:val="auto"/>
                      <w:kern w:val="0"/>
                      <w:szCs w:val="21"/>
                      <w:lang w:eastAsia="zh-CN"/>
                      <w:highlight w:val="none"/>
                    </w:rPr>
                    <w:t>为废铅蓄电池中转项目，项目的建设有利于资源化利用和“无废城市”的创建。本项目</w:t>
                  </w:r>
                  <w:r>
                    <w:rPr>
                      <w:rFonts w:ascii="Times New Roman" w:cs="Times New Roman" w:hAnsi="Times New Roman"/>
                      <w:snapToGrid w:val="0"/>
                      <w:color w:val="auto"/>
                      <w:kern w:val="0"/>
                      <w:szCs w:val="21"/>
                      <w:highlight w:val="none"/>
                    </w:rPr>
                    <w:t>产生的一般固废外售综合利用。</w:t>
                  </w:r>
                </w:p>
              </w:tc>
              <w:tc>
                <w:tcPr>
                  <w:tcW w:w="389" w:type="pct"/>
                  <w:tcBorders>
                    <w:tl2br w:val="nil"/>
                    <w:tr2bl w:val="nil"/>
                  </w:tcBorders>
                  <w:vAlign w:val="center"/>
                </w:tcPr>
                <w:p>
                  <w:pPr>
                    <w:adjustRightInd w:val="0"/>
                    <w:snapToGrid w:val="0"/>
                    <w:jc w:val="center"/>
                    <w:rPr>
                      <w:rFonts w:ascii="Times New Roman" w:cs="Times New Roman" w:hAnsi="Times New Roman"/>
                      <w:snapToGrid w:val="0"/>
                      <w:color w:val="auto"/>
                      <w:kern w:val="0"/>
                      <w:szCs w:val="21"/>
                      <w:highlight w:val="none"/>
                    </w:rPr>
                  </w:pPr>
                  <w:r>
                    <w:rPr>
                      <w:rFonts w:ascii="Times New Roman" w:cs="Times New Roman" w:hAnsi="Times New Roman"/>
                      <w:snapToGrid w:val="0"/>
                      <w:color w:val="auto"/>
                      <w:kern w:val="0"/>
                      <w:szCs w:val="21"/>
                      <w:highlight w:val="none"/>
                    </w:rPr>
                    <w:t>符合</w:t>
                  </w:r>
                </w:p>
              </w:tc>
            </w:tr>
          </w:tbl>
          <w:p>
            <w:pPr>
              <w:keepNext w:val="0"/>
              <w:keepLines w:val="0"/>
              <w:pageBreakBefore w:val="0"/>
              <w:widowControl w:val="0"/>
              <w:kinsoku/>
              <w:wordWrap/>
              <w:overflowPunct/>
              <w:topLinePunct w:val="0"/>
              <w:autoSpaceDE/>
              <w:autoSpaceDN/>
              <w:bidi w:val="0"/>
              <w:adjustRightInd w:val="0"/>
              <w:snapToGrid w:val="0"/>
              <w:spacing w:line="460" w:lineRule="exact"/>
              <w:ind w:firstLineChars="200" w:firstLine="480"/>
              <w:rPr>
                <w:rFonts w:ascii="Times New Roman" w:cs="Times New Roman" w:hAnsi="Times New Roman"/>
                <w:color w:val="auto"/>
                <w:sz w:val="24"/>
                <w:highlight w:val="none"/>
              </w:rPr>
            </w:pPr>
            <w:r>
              <w:rPr>
                <w:rFonts w:ascii="Times New Roman" w:cs="Times New Roman" w:hAnsi="Times New Roman"/>
                <w:color w:val="auto"/>
                <w:sz w:val="24"/>
                <w:highlight w:val="none"/>
              </w:rPr>
              <w:t>综上，项目建设符合《河北省生态环境保护“十四五”规划》（冀政字[2022]2号）的相关要求。</w:t>
            </w:r>
          </w:p>
          <w:p>
            <w:pPr>
              <w:pStyle w:val="56"/>
              <w:keepNext w:val="0"/>
              <w:keepLines w:val="0"/>
              <w:pageBreakBefore w:val="0"/>
              <w:widowControl w:val="0"/>
              <w:kinsoku/>
              <w:wordWrap/>
              <w:overflowPunct/>
              <w:topLinePunct w:val="0"/>
              <w:autoSpaceDE/>
              <w:autoSpaceDN/>
              <w:bidi w:val="0"/>
              <w:adjustRightInd w:val="0"/>
              <w:rPr>
                <w:rFonts w:ascii="Times New Roman" w:cs="Times New Roman" w:hAnsi="Times New Roman"/>
                <w:b/>
                <w:bCs/>
                <w:color w:val="auto"/>
                <w:highlight w:val="none"/>
              </w:rPr>
            </w:pPr>
            <w:r>
              <w:rPr>
                <w:rFonts w:ascii="Times New Roman" w:cs="Times New Roman" w:hAnsi="Times New Roman"/>
                <w:b/>
                <w:color w:val="auto"/>
                <w:highlight w:val="none"/>
              </w:rPr>
              <w:t>6、项目与《石家庄市生态环境保护“十四五”规划》（石政函〔2022〕72号）</w:t>
            </w:r>
            <w:r>
              <w:rPr>
                <w:rFonts w:ascii="Times New Roman" w:cs="Times New Roman" w:hAnsi="Times New Roman"/>
                <w:b/>
                <w:bCs/>
                <w:color w:val="auto"/>
                <w:highlight w:val="none"/>
              </w:rPr>
              <w:t>符合性分析</w:t>
            </w:r>
          </w:p>
          <w:p>
            <w:pPr>
              <w:pStyle w:val="16"/>
              <w:keepNext w:val="0"/>
              <w:keepLines w:val="0"/>
              <w:pageBreakBefore w:val="0"/>
              <w:widowControl w:val="0"/>
              <w:kinsoku/>
              <w:wordWrap/>
              <w:overflowPunct/>
              <w:topLinePunct w:val="0"/>
              <w:autoSpaceDE/>
              <w:autoSpaceDN/>
              <w:bidi w:val="0"/>
              <w:adjustRightInd w:val="0"/>
              <w:snapToGrid w:val="0"/>
              <w:spacing w:line="460" w:lineRule="exact"/>
              <w:rPr>
                <w:rFonts w:ascii="Times New Roman" w:cs="Times New Roman" w:hAnsi="Times New Roman"/>
                <w:color w:val="auto"/>
                <w:kern w:val="2"/>
                <w:sz w:val="24"/>
                <w:highlight w:val="none"/>
              </w:rPr>
            </w:pPr>
            <w:r>
              <w:rPr>
                <w:rFonts w:ascii="Times New Roman" w:cs="Times New Roman" w:hAnsi="Times New Roman"/>
                <w:color w:val="auto"/>
                <w:kern w:val="2"/>
                <w:sz w:val="24"/>
                <w:highlight w:val="none"/>
              </w:rPr>
              <w:t>项目与《石家庄市生态环境保护“十四五”规划》（石政函〔2022〕72号）符合性见下表。</w:t>
            </w:r>
          </w:p>
          <w:p>
            <w:pPr>
              <w:jc w:val="center"/>
              <w:rPr>
                <w:rFonts w:ascii="Times New Roman" w:cs="Times New Roman" w:hAnsi="Times New Roman"/>
                <w:b/>
                <w:bCs/>
                <w:color w:val="auto"/>
                <w:sz w:val="24"/>
                <w:highlight w:val="none"/>
              </w:rPr>
            </w:pPr>
            <w:r>
              <w:rPr>
                <w:rFonts w:ascii="Times New Roman" w:cs="Times New Roman" w:hAnsi="Times New Roman"/>
                <w:b/>
                <w:bCs/>
                <w:color w:val="auto"/>
                <w:sz w:val="24"/>
                <w:highlight w:val="none"/>
              </w:rPr>
              <w:t>表1-</w:t>
            </w:r>
            <w:r>
              <w:rPr>
                <w:rFonts w:cs="Times New Roman" w:hint="eastAsia"/>
                <w:b/>
                <w:bCs/>
                <w:color w:val="auto"/>
                <w:sz w:val="24"/>
                <w:lang w:val="en-US" w:eastAsia="zh-CN"/>
                <w:highlight w:val="none"/>
              </w:rPr>
              <w:t>11</w:t>
            </w:r>
            <w:r>
              <w:rPr>
                <w:rFonts w:ascii="Times New Roman" w:cs="Times New Roman" w:hAnsi="Times New Roman"/>
                <w:b/>
                <w:bCs/>
                <w:color w:val="auto"/>
                <w:sz w:val="24"/>
                <w:highlight w:val="none"/>
              </w:rPr>
              <w:t xml:space="preserve">  项目与《石家庄市生态环境保护“十四五”规划》（石政函〔2022〕72号）符合性分析一览表</w:t>
            </w:r>
          </w:p>
          <w:tbl>
            <w:tblPr>
              <w:jc w:val="center"/>
              <w:tblW w:w="4970" w:type="pct"/>
              <w:tblBorders>
                <w:top w:val="single" w:sz="12" w:space="0" w:color="auto"/>
                <w:left w:val="none" w:sz="0" w:space="0" w:color="auto"/>
                <w:bottom w:val="single" w:sz="12" w:space="0" w:color="auto"/>
                <w:right w:val="none" w:sz="0" w:space="0" w:color="auto"/>
                <w:insideH w:val="single" w:sz="4" w:space="0" w:color="auto"/>
                <w:insideV w:val="single" w:sz="4" w:space="0" w:color="auto"/>
              </w:tblBorders>
              <w:tblCellMar>
                <w:top w:w="0" w:type="dxa"/>
                <w:left w:w="28" w:type="dxa"/>
                <w:bottom w:w="0" w:type="dxa"/>
                <w:right w:w="28" w:type="dxa"/>
              </w:tblCellMar>
              <w:tblLook w:val="0600" w:firstRow="0" w:lastRow="0" w:firstColumn="0" w:lastColumn="0" w:noHBand="1" w:noVBand="1"/>
            </w:tblPr>
            <w:tblGrid>
              <w:gridCol w:w="617"/>
              <w:gridCol w:w="4532"/>
              <w:gridCol w:w="1818"/>
              <w:gridCol w:w="586"/>
            </w:tblGrid>
            <w:tr>
              <w:tc>
                <w:tcPr>
                  <w:tcW w:w="3407" w:type="pct"/>
                  <w:gridSpan w:val="2"/>
                  <w:tcBorders>
                    <w:tl2br w:val="nil"/>
                    <w:tr2bl w:val="nil"/>
                  </w:tcBorders>
                  <w:vAlign w:val="center"/>
                </w:tcPr>
                <w:p>
                  <w:pPr>
                    <w:adjustRightInd w:val="0"/>
                    <w:snapToGrid w:val="0"/>
                    <w:jc w:val="center"/>
                    <w:rPr>
                      <w:rFonts w:ascii="Times New Roman" w:cs="Times New Roman" w:hAnsi="Times New Roman"/>
                      <w:snapToGrid w:val="0"/>
                      <w:color w:val="auto"/>
                      <w:kern w:val="0"/>
                      <w:szCs w:val="21"/>
                      <w:highlight w:val="none"/>
                    </w:rPr>
                  </w:pPr>
                  <w:r>
                    <w:rPr>
                      <w:rFonts w:ascii="Times New Roman" w:cs="Times New Roman" w:hAnsi="Times New Roman"/>
                      <w:snapToGrid w:val="0"/>
                      <w:color w:val="auto"/>
                      <w:kern w:val="0"/>
                      <w:szCs w:val="21"/>
                      <w:highlight w:val="none"/>
                    </w:rPr>
                    <w:t>相关内容要求</w:t>
                  </w:r>
                </w:p>
              </w:tc>
              <w:tc>
                <w:tcPr>
                  <w:tcW w:w="1203" w:type="pct"/>
                  <w:tcBorders>
                    <w:tl2br w:val="nil"/>
                    <w:tr2bl w:val="nil"/>
                  </w:tcBorders>
                  <w:vAlign w:val="center"/>
                </w:tcPr>
                <w:p>
                  <w:pPr>
                    <w:adjustRightInd w:val="0"/>
                    <w:snapToGrid w:val="0"/>
                    <w:jc w:val="center"/>
                    <w:rPr>
                      <w:rFonts w:ascii="Times New Roman" w:cs="Times New Roman" w:hAnsi="Times New Roman"/>
                      <w:snapToGrid w:val="0"/>
                      <w:color w:val="auto"/>
                      <w:kern w:val="0"/>
                      <w:szCs w:val="21"/>
                      <w:highlight w:val="none"/>
                    </w:rPr>
                  </w:pPr>
                  <w:r>
                    <w:rPr>
                      <w:rFonts w:ascii="Times New Roman" w:cs="Times New Roman" w:hAnsi="Times New Roman"/>
                      <w:snapToGrid w:val="0"/>
                      <w:color w:val="auto"/>
                      <w:kern w:val="0"/>
                      <w:szCs w:val="21"/>
                      <w:highlight w:val="none"/>
                    </w:rPr>
                    <w:t>项目情况</w:t>
                  </w:r>
                </w:p>
              </w:tc>
              <w:tc>
                <w:tcPr>
                  <w:tcW w:w="388" w:type="pct"/>
                  <w:tcBorders>
                    <w:tl2br w:val="nil"/>
                    <w:tr2bl w:val="nil"/>
                  </w:tcBorders>
                  <w:vAlign w:val="center"/>
                </w:tcPr>
                <w:p>
                  <w:pPr>
                    <w:adjustRightInd w:val="0"/>
                    <w:snapToGrid w:val="0"/>
                    <w:jc w:val="center"/>
                    <w:rPr>
                      <w:rFonts w:ascii="Times New Roman" w:cs="Times New Roman" w:hAnsi="Times New Roman"/>
                      <w:snapToGrid w:val="0"/>
                      <w:color w:val="auto"/>
                      <w:kern w:val="0"/>
                      <w:szCs w:val="21"/>
                      <w:highlight w:val="none"/>
                    </w:rPr>
                  </w:pPr>
                  <w:r>
                    <w:rPr>
                      <w:rFonts w:ascii="Times New Roman" w:cs="Times New Roman" w:hAnsi="Times New Roman"/>
                      <w:snapToGrid w:val="0"/>
                      <w:color w:val="auto"/>
                      <w:kern w:val="0"/>
                      <w:szCs w:val="21"/>
                      <w:highlight w:val="none"/>
                    </w:rPr>
                    <w:t>符合性</w:t>
                  </w:r>
                </w:p>
              </w:tc>
            </w:tr>
            <w:tr>
              <w:tc>
                <w:tcPr>
                  <w:tcW w:w="408" w:type="pct"/>
                  <w:vMerge w:val="restart"/>
                  <w:tcBorders>
                    <w:tl2br w:val="nil"/>
                    <w:tr2bl w:val="nil"/>
                  </w:tcBorders>
                  <w:vAlign w:val="center"/>
                </w:tcPr>
                <w:p>
                  <w:pPr>
                    <w:adjustRightInd w:val="0"/>
                    <w:snapToGrid w:val="0"/>
                    <w:jc w:val="center"/>
                    <w:rPr>
                      <w:rFonts w:ascii="Times New Roman" w:cs="Times New Roman" w:hAnsi="Times New Roman"/>
                      <w:snapToGrid w:val="0"/>
                      <w:color w:val="auto"/>
                      <w:kern w:val="0"/>
                      <w:szCs w:val="21"/>
                      <w:highlight w:val="none"/>
                    </w:rPr>
                  </w:pPr>
                  <w:r>
                    <w:rPr>
                      <w:rFonts w:ascii="Times New Roman" w:cs="Times New Roman" w:hAnsi="Times New Roman"/>
                      <w:snapToGrid w:val="0"/>
                      <w:color w:val="auto"/>
                      <w:kern w:val="0"/>
                      <w:szCs w:val="21"/>
                      <w:highlight w:val="none"/>
                    </w:rPr>
                    <w:t>三、健全优化开发政策，统筹推动绿色低碳发展</w:t>
                  </w:r>
                </w:p>
              </w:tc>
              <w:tc>
                <w:tcPr>
                  <w:tcW w:w="2999" w:type="pct"/>
                  <w:tcBorders>
                    <w:tl2br w:val="nil"/>
                    <w:tr2bl w:val="nil"/>
                  </w:tcBorders>
                  <w:vAlign w:val="center"/>
                </w:tcPr>
                <w:p>
                  <w:pPr>
                    <w:adjustRightInd w:val="0"/>
                    <w:snapToGrid w:val="0"/>
                    <w:jc w:val="left"/>
                    <w:rPr>
                      <w:rFonts w:ascii="Times New Roman" w:cs="Times New Roman" w:hAnsi="Times New Roman"/>
                      <w:snapToGrid w:val="0"/>
                      <w:color w:val="auto"/>
                      <w:kern w:val="0"/>
                      <w:szCs w:val="21"/>
                      <w:highlight w:val="none"/>
                    </w:rPr>
                  </w:pPr>
                  <w:r>
                    <w:rPr>
                      <w:rFonts w:ascii="Times New Roman" w:cs="Times New Roman" w:hAnsi="Times New Roman"/>
                      <w:snapToGrid w:val="0"/>
                      <w:color w:val="auto"/>
                      <w:kern w:val="0"/>
                      <w:szCs w:val="21"/>
                      <w:highlight w:val="none"/>
                    </w:rPr>
                    <w:t>（一）加强生态分区管控，推进区域绿色发展。建立生态环境分区管控体系。加快实施“生态保护红线、环境质量底线、资源利用上线和生态环境准入清单”（以下简称“三线一单”），构建生态环境分区管控体系，促进生态环境高水平保护和经济社会高质量赶超发展。推动“三线一单”精准落地，确立以乡镇为单位的环境管控单元，确定管控单元边界。衔接国土空间规划分区和用途管制要求，将生态保护红线、环境质量底线、资源利用上线的硬约束落实到环境管控单元，实现差别化管理,约束管控单元内的环境行为，保障区域环境功能的实现。全市列入重点生态功能区的县（市、区）因地制宜制定限制和禁止发展的产业目录，确定产业准入负面清单，促进精细化管理。</w:t>
                  </w:r>
                </w:p>
              </w:tc>
              <w:tc>
                <w:tcPr>
                  <w:tcW w:w="1203" w:type="pct"/>
                  <w:tcBorders>
                    <w:tl2br w:val="nil"/>
                    <w:tr2bl w:val="nil"/>
                  </w:tcBorders>
                  <w:vAlign w:val="center"/>
                </w:tcPr>
                <w:p>
                  <w:pPr>
                    <w:adjustRightInd w:val="0"/>
                    <w:snapToGrid w:val="0"/>
                    <w:jc w:val="center"/>
                    <w:rPr>
                      <w:rFonts w:ascii="Times New Roman" w:cs="Times New Roman" w:hAnsi="Times New Roman"/>
                      <w:snapToGrid w:val="0"/>
                      <w:color w:val="auto"/>
                      <w:kern w:val="0"/>
                      <w:szCs w:val="21"/>
                      <w:highlight w:val="none"/>
                    </w:rPr>
                  </w:pPr>
                  <w:r>
                    <w:rPr>
                      <w:rFonts w:ascii="Times New Roman" w:cs="Times New Roman" w:hAnsi="Times New Roman"/>
                      <w:snapToGrid w:val="0"/>
                      <w:color w:val="auto"/>
                      <w:kern w:val="0"/>
                      <w:szCs w:val="21"/>
                      <w:highlight w:val="none"/>
                    </w:rPr>
                    <w:t>项目建设符合“三线一单”相关文件要求。</w:t>
                  </w:r>
                </w:p>
              </w:tc>
              <w:tc>
                <w:tcPr>
                  <w:tcW w:w="388" w:type="pct"/>
                  <w:tcBorders>
                    <w:tl2br w:val="nil"/>
                    <w:tr2bl w:val="nil"/>
                  </w:tcBorders>
                  <w:vAlign w:val="center"/>
                </w:tcPr>
                <w:p>
                  <w:pPr>
                    <w:adjustRightInd w:val="0"/>
                    <w:snapToGrid w:val="0"/>
                    <w:jc w:val="center"/>
                    <w:rPr>
                      <w:rFonts w:ascii="Times New Roman" w:cs="Times New Roman" w:hAnsi="Times New Roman"/>
                      <w:snapToGrid w:val="0"/>
                      <w:color w:val="auto"/>
                      <w:kern w:val="0"/>
                      <w:szCs w:val="21"/>
                      <w:highlight w:val="none"/>
                    </w:rPr>
                  </w:pPr>
                  <w:r>
                    <w:rPr>
                      <w:rFonts w:ascii="Times New Roman" w:cs="Times New Roman" w:hAnsi="Times New Roman"/>
                      <w:snapToGrid w:val="0"/>
                      <w:color w:val="auto"/>
                      <w:kern w:val="0"/>
                      <w:szCs w:val="21"/>
                      <w:highlight w:val="none"/>
                    </w:rPr>
                    <w:t>符合</w:t>
                  </w:r>
                </w:p>
              </w:tc>
            </w:tr>
            <w:tr>
              <w:tc>
                <w:tcPr>
                  <w:tcW w:w="408" w:type="pct"/>
                  <w:vMerge/>
                  <w:tcBorders>
                    <w:tl2br w:val="nil"/>
                    <w:tr2bl w:val="nil"/>
                  </w:tcBorders>
                  <w:vAlign w:val="center"/>
                </w:tcPr>
                <w:p/>
              </w:tc>
              <w:tc>
                <w:tcPr>
                  <w:tcW w:w="2999" w:type="pct"/>
                  <w:tcBorders>
                    <w:tl2br w:val="nil"/>
                    <w:tr2bl w:val="nil"/>
                  </w:tcBorders>
                  <w:vAlign w:val="center"/>
                </w:tcPr>
                <w:p>
                  <w:pPr>
                    <w:adjustRightInd w:val="0"/>
                    <w:snapToGrid w:val="0"/>
                    <w:jc w:val="left"/>
                    <w:rPr>
                      <w:rFonts w:ascii="Times New Roman" w:cs="Times New Roman" w:hAnsi="Times New Roman"/>
                      <w:snapToGrid w:val="0"/>
                      <w:color w:val="auto"/>
                      <w:kern w:val="0"/>
                      <w:szCs w:val="21"/>
                      <w:highlight w:val="none"/>
                    </w:rPr>
                  </w:pPr>
                  <w:r>
                    <w:rPr>
                      <w:rFonts w:ascii="Times New Roman" w:cs="Times New Roman" w:hAnsi="Times New Roman"/>
                      <w:snapToGrid w:val="0"/>
                      <w:color w:val="auto"/>
                      <w:kern w:val="0"/>
                      <w:szCs w:val="21"/>
                      <w:highlight w:val="none"/>
                    </w:rPr>
                    <w:t>（二）着力优化功能布局，加快产业绿色升级。严格环境准入门槛，全市禁止钢铁、焦化、水泥、平板玻璃、铸造（高端或精密铸造项目以及《产业结构调整指导目录（2019年本）》第一类鼓励类项目除外）、有色、碳素、钙镁、煤化工、陶瓷、砖瓦等行业新建、扩建单纯新增产能（搬迁升级改造项目和产能置换项目除外）的项目和企业。对搬迁升级改造项目的环境影响评价，应满足规划环评要求，对本地过剩产能重点行业搬迁、技改项目，实行大气污染物排放倍量替代。严格控制新增燃煤项目（产能置换项目除外）建设。</w:t>
                  </w:r>
                </w:p>
              </w:tc>
              <w:tc>
                <w:tcPr>
                  <w:tcW w:w="1203" w:type="pct"/>
                  <w:tcBorders>
                    <w:tl2br w:val="nil"/>
                    <w:tr2bl w:val="nil"/>
                  </w:tcBorders>
                  <w:vAlign w:val="center"/>
                </w:tcPr>
                <w:p>
                  <w:pPr>
                    <w:adjustRightInd w:val="0"/>
                    <w:snapToGrid w:val="0"/>
                    <w:jc w:val="center"/>
                    <w:rPr>
                      <w:rFonts w:ascii="Times New Roman" w:cs="Times New Roman" w:hAnsi="Times New Roman"/>
                      <w:snapToGrid w:val="0"/>
                      <w:color w:val="auto"/>
                      <w:kern w:val="0"/>
                      <w:szCs w:val="21"/>
                      <w:highlight w:val="none"/>
                    </w:rPr>
                  </w:pPr>
                  <w:r>
                    <w:rPr>
                      <w:rFonts w:ascii="Times New Roman" w:cs="Times New Roman" w:hAnsi="Times New Roman"/>
                      <w:snapToGrid w:val="0"/>
                      <w:color w:val="auto"/>
                      <w:kern w:val="0"/>
                      <w:szCs w:val="21"/>
                      <w:highlight w:val="none"/>
                    </w:rPr>
                    <w:t>项目不属于限制新增产能的项目；项目不涉及燃煤使用。</w:t>
                  </w:r>
                </w:p>
              </w:tc>
              <w:tc>
                <w:tcPr>
                  <w:tcW w:w="388" w:type="pct"/>
                  <w:tcBorders>
                    <w:tl2br w:val="nil"/>
                    <w:tr2bl w:val="nil"/>
                  </w:tcBorders>
                  <w:vAlign w:val="center"/>
                </w:tcPr>
                <w:p>
                  <w:pPr>
                    <w:adjustRightInd w:val="0"/>
                    <w:snapToGrid w:val="0"/>
                    <w:jc w:val="center"/>
                    <w:rPr>
                      <w:rFonts w:ascii="Times New Roman" w:cs="Times New Roman" w:hAnsi="Times New Roman"/>
                      <w:snapToGrid w:val="0"/>
                      <w:color w:val="auto"/>
                      <w:kern w:val="0"/>
                      <w:szCs w:val="21"/>
                      <w:highlight w:val="none"/>
                    </w:rPr>
                  </w:pPr>
                  <w:r>
                    <w:rPr>
                      <w:rFonts w:ascii="Times New Roman" w:cs="Times New Roman" w:hAnsi="Times New Roman"/>
                      <w:snapToGrid w:val="0"/>
                      <w:color w:val="auto"/>
                      <w:kern w:val="0"/>
                      <w:szCs w:val="21"/>
                      <w:highlight w:val="none"/>
                    </w:rPr>
                    <w:t>符合</w:t>
                  </w:r>
                </w:p>
              </w:tc>
            </w:tr>
            <w:tr>
              <w:tc>
                <w:tcPr>
                  <w:tcW w:w="408" w:type="pct"/>
                  <w:vMerge/>
                  <w:tcBorders>
                    <w:tl2br w:val="nil"/>
                    <w:tr2bl w:val="nil"/>
                  </w:tcBorders>
                  <w:vAlign w:val="center"/>
                </w:tcPr>
                <w:p/>
              </w:tc>
              <w:tc>
                <w:tcPr>
                  <w:tcW w:w="2999" w:type="pct"/>
                  <w:tcBorders>
                    <w:tl2br w:val="nil"/>
                    <w:tr2bl w:val="nil"/>
                  </w:tcBorders>
                  <w:vAlign w:val="center"/>
                </w:tcPr>
                <w:p>
                  <w:pPr>
                    <w:adjustRightInd w:val="0"/>
                    <w:snapToGrid w:val="0"/>
                    <w:jc w:val="left"/>
                    <w:rPr>
                      <w:rFonts w:ascii="Times New Roman" w:cs="Times New Roman" w:hAnsi="Times New Roman"/>
                      <w:snapToGrid w:val="0"/>
                      <w:color w:val="auto"/>
                      <w:kern w:val="0"/>
                      <w:szCs w:val="21"/>
                      <w:highlight w:val="none"/>
                    </w:rPr>
                  </w:pPr>
                  <w:r>
                    <w:rPr>
                      <w:rFonts w:ascii="Times New Roman" w:cs="Times New Roman" w:hAnsi="Times New Roman"/>
                      <w:snapToGrid w:val="0"/>
                      <w:color w:val="auto"/>
                      <w:kern w:val="0"/>
                      <w:szCs w:val="21"/>
                      <w:highlight w:val="none"/>
                    </w:rPr>
                    <w:t>（三）加快调整能源结构，打造低碳能源体系。加快产业和能源结构调整。聚焦钢铁、建材、石化、化工、装备、医药、纺织、皮革等重点行业，实施传统产业“千企绿色改造”助推“万企转型”，加快发展新能源、新材料、新能源汽车等绿色新兴产业。优化工业用能结构，严格控制钢铁、化工、平板玻璃等重点行业主要用煤行业煤炭消费，提升清洁能源消费比重。</w:t>
                  </w:r>
                </w:p>
              </w:tc>
              <w:tc>
                <w:tcPr>
                  <w:tcW w:w="1203" w:type="pct"/>
                  <w:tcBorders>
                    <w:tl2br w:val="nil"/>
                    <w:tr2bl w:val="nil"/>
                  </w:tcBorders>
                  <w:vAlign w:val="center"/>
                </w:tcPr>
                <w:p>
                  <w:pPr>
                    <w:adjustRightInd w:val="0"/>
                    <w:snapToGrid w:val="0"/>
                    <w:jc w:val="center"/>
                    <w:rPr>
                      <w:rFonts w:ascii="Times New Roman" w:cs="Times New Roman" w:hAnsi="Times New Roman"/>
                      <w:snapToGrid w:val="0"/>
                      <w:color w:val="auto"/>
                      <w:kern w:val="0"/>
                      <w:szCs w:val="21"/>
                      <w:highlight w:val="none"/>
                    </w:rPr>
                  </w:pPr>
                  <w:r>
                    <w:rPr>
                      <w:rFonts w:ascii="Times New Roman" w:cs="Times New Roman" w:hAnsi="Times New Roman"/>
                      <w:color w:val="auto"/>
                      <w:kern w:val="0"/>
                      <w:szCs w:val="21"/>
                      <w:highlight w:val="none"/>
                    </w:rPr>
                    <w:t>项目使用能源为电能，不涉及煤炭、天然气等能源消耗</w:t>
                  </w:r>
                </w:p>
              </w:tc>
              <w:tc>
                <w:tcPr>
                  <w:tcW w:w="388" w:type="pct"/>
                  <w:tcBorders>
                    <w:tl2br w:val="nil"/>
                    <w:tr2bl w:val="nil"/>
                  </w:tcBorders>
                  <w:vAlign w:val="center"/>
                </w:tcPr>
                <w:p>
                  <w:pPr>
                    <w:adjustRightInd w:val="0"/>
                    <w:snapToGrid w:val="0"/>
                    <w:jc w:val="center"/>
                    <w:rPr>
                      <w:rFonts w:ascii="Times New Roman" w:cs="Times New Roman" w:hAnsi="Times New Roman"/>
                      <w:snapToGrid w:val="0"/>
                      <w:color w:val="auto"/>
                      <w:kern w:val="0"/>
                      <w:szCs w:val="21"/>
                      <w:highlight w:val="none"/>
                    </w:rPr>
                  </w:pPr>
                  <w:r>
                    <w:rPr>
                      <w:rFonts w:ascii="Times New Roman" w:cs="Times New Roman" w:hAnsi="Times New Roman"/>
                      <w:snapToGrid w:val="0"/>
                      <w:color w:val="auto"/>
                      <w:kern w:val="0"/>
                      <w:szCs w:val="21"/>
                      <w:highlight w:val="none"/>
                    </w:rPr>
                    <w:t>符合</w:t>
                  </w:r>
                </w:p>
              </w:tc>
            </w:tr>
            <w:tr>
              <w:tc>
                <w:tcPr>
                  <w:tcW w:w="408" w:type="pct"/>
                  <w:tcBorders>
                    <w:tl2br w:val="nil"/>
                    <w:tr2bl w:val="nil"/>
                  </w:tcBorders>
                  <w:vAlign w:val="center"/>
                </w:tcPr>
                <w:p>
                  <w:pPr>
                    <w:adjustRightInd w:val="0"/>
                    <w:snapToGrid w:val="0"/>
                    <w:jc w:val="center"/>
                    <w:rPr>
                      <w:rFonts w:ascii="Times New Roman" w:cs="Times New Roman" w:hAnsi="Times New Roman"/>
                      <w:snapToGrid w:val="0"/>
                      <w:color w:val="auto"/>
                      <w:kern w:val="0"/>
                      <w:szCs w:val="21"/>
                      <w:highlight w:val="none"/>
                    </w:rPr>
                  </w:pPr>
                  <w:r>
                    <w:rPr>
                      <w:rFonts w:ascii="Times New Roman" w:cs="Times New Roman" w:hAnsi="Times New Roman"/>
                      <w:snapToGrid w:val="0"/>
                      <w:color w:val="auto"/>
                      <w:kern w:val="0"/>
                      <w:szCs w:val="21"/>
                      <w:highlight w:val="none"/>
                    </w:rPr>
                    <w:t>五、协同减排精准治污，持续改善环境空气质量</w:t>
                  </w:r>
                </w:p>
              </w:tc>
              <w:tc>
                <w:tcPr>
                  <w:tcW w:w="2999" w:type="pct"/>
                  <w:tcBorders>
                    <w:tl2br w:val="nil"/>
                    <w:tr2bl w:val="nil"/>
                  </w:tcBorders>
                  <w:vAlign w:val="center"/>
                </w:tcPr>
                <w:p>
                  <w:pPr>
                    <w:adjustRightInd w:val="0"/>
                    <w:snapToGrid w:val="0"/>
                    <w:jc w:val="left"/>
                    <w:rPr>
                      <w:rFonts w:ascii="Times New Roman" w:cs="Times New Roman" w:hAnsi="Times New Roman"/>
                      <w:snapToGrid w:val="0"/>
                      <w:color w:val="auto"/>
                      <w:kern w:val="0"/>
                      <w:szCs w:val="21"/>
                      <w:highlight w:val="none"/>
                    </w:rPr>
                  </w:pPr>
                  <w:r>
                    <w:rPr>
                      <w:rFonts w:ascii="Times New Roman" w:cs="Times New Roman" w:hAnsi="Times New Roman"/>
                      <w:snapToGrid w:val="0"/>
                      <w:color w:val="auto"/>
                      <w:kern w:val="0"/>
                      <w:szCs w:val="21"/>
                      <w:highlight w:val="none"/>
                    </w:rPr>
                    <w:t>（四）措施严密监管到位，有效减少PM</w:t>
                  </w:r>
                  <w:r>
                    <w:rPr>
                      <w:rFonts w:ascii="Times New Roman" w:cs="Times New Roman" w:hAnsi="Times New Roman"/>
                      <w:snapToGrid w:val="0"/>
                      <w:color w:val="auto"/>
                      <w:kern w:val="0"/>
                      <w:szCs w:val="21"/>
                      <w:vertAlign w:val="subscript"/>
                      <w:highlight w:val="none"/>
                    </w:rPr>
                    <w:t>10</w:t>
                  </w:r>
                  <w:r>
                    <w:rPr>
                      <w:rFonts w:ascii="Times New Roman" w:cs="Times New Roman" w:hAnsi="Times New Roman"/>
                      <w:snapToGrid w:val="0"/>
                      <w:color w:val="auto"/>
                      <w:kern w:val="0"/>
                      <w:szCs w:val="21"/>
                      <w:highlight w:val="none"/>
                    </w:rPr>
                    <w:t>面源污染。加强施工扬尘管理。加大拆迁工程的扬尘管控措施监督，加强拆迁后裸漏场地的监管，建立健全绿色施工标准体系和扬尘管控体系，对扬尘重点污染源实行清单化动态管理，将绿色施工纳入企业资质评价、生态环境信用评价。新建和在建建筑、市政、拆除、公路、水利等各类工地严格落实“六个百分百”、“两个全覆盖”要求的基础上进一步提档升级，禁止现场搅拌混凝土、砂浆，拆除工程实施湿法作业，完善施工单位环保监督员制度，建立扬尘控制责任制度，全面加强混凝土搅拌站扬尘治理。到2025年，搅拌站全部完成绿色转型提升工作，预拌混凝土和预拌砂浆生产企业完成清洁生产改造。严查扬尘排放超标工地，建立对违法违规企业的长效监管机制，将扬尘管理工作不到位的信息纳入建筑市场信用管理体系。</w:t>
                  </w:r>
                </w:p>
                <w:p>
                  <w:pPr>
                    <w:adjustRightInd w:val="0"/>
                    <w:snapToGrid w:val="0"/>
                    <w:jc w:val="left"/>
                    <w:rPr>
                      <w:rFonts w:ascii="Times New Roman" w:cs="Times New Roman" w:hAnsi="Times New Roman"/>
                      <w:snapToGrid w:val="0"/>
                      <w:color w:val="auto"/>
                      <w:kern w:val="0"/>
                      <w:szCs w:val="21"/>
                      <w:highlight w:val="none"/>
                    </w:rPr>
                  </w:pPr>
                  <w:r>
                    <w:rPr>
                      <w:rFonts w:ascii="Times New Roman" w:cs="Times New Roman" w:hAnsi="Times New Roman"/>
                      <w:snapToGrid w:val="0"/>
                      <w:color w:val="auto"/>
                      <w:kern w:val="0"/>
                      <w:szCs w:val="21"/>
                      <w:highlight w:val="none"/>
                    </w:rPr>
                    <w:t>加强堆场及裸露地面扬尘治理。加大各工业企业料场堆场监督检查力度，对工业企业厂区内贮存的各类易扬尘的物料密闭管理，加强厂区内物料运送、倒运、装卸扬尘管理。加强矿山粉尘防治，严格落实矿产资源开采、运输和加工过程防尘、除尘措施，实施矿山生产污染物排放在线监测﹔按照“生态优先、减点控量、总量压缩”的要求，加强矿山开采总量控制，加快矿山修复绿化。实施城市土地硬化和复绿，对建筑工地未及时清运的渣土实行遮盖，对城乡结合部裸露地面实行复绿控尘治理，推进农村裸露土地治理，对不适宜种植农作物的贫瘠裸露土地，加强管理，保护现有植被，严禁各类违法取土、采石行为，防止产生新的扬尘污染源。推广保护性耕作、林间覆盖等方式，抑制季节性裸地农田扬尘。</w:t>
                  </w:r>
                </w:p>
              </w:tc>
              <w:tc>
                <w:tcPr>
                  <w:tcW w:w="1203" w:type="pct"/>
                  <w:tcBorders>
                    <w:tl2br w:val="nil"/>
                    <w:tr2bl w:val="nil"/>
                  </w:tcBorders>
                  <w:vAlign w:val="center"/>
                </w:tcPr>
                <w:p>
                  <w:pPr>
                    <w:adjustRightInd w:val="0"/>
                    <w:snapToGrid w:val="0"/>
                    <w:jc w:val="center"/>
                    <w:rPr>
                      <w:rFonts w:ascii="Times New Roman" w:cs="Times New Roman" w:hAnsi="Times New Roman"/>
                      <w:snapToGrid w:val="0"/>
                      <w:color w:val="auto"/>
                      <w:kern w:val="0"/>
                      <w:szCs w:val="21"/>
                      <w:highlight w:val="none"/>
                    </w:rPr>
                  </w:pPr>
                  <w:r>
                    <w:rPr>
                      <w:rFonts w:hint="eastAsia"/>
                      <w:color w:val="auto"/>
                      <w:szCs w:val="21"/>
                      <w:lang w:val="zh-CN"/>
                      <w:highlight w:val="none"/>
                    </w:rPr>
                    <w:t>项目租用现有厂房改造后用于废铅蓄电池的存储，改造过程中会产生扬尘，采取措施后最大限度的降低对周围环境的影响，施工期结束后影响随即消失</w:t>
                  </w:r>
                  <w:r>
                    <w:rPr>
                      <w:rFonts w:eastAsia="宋体" w:hint="eastAsia"/>
                      <w:color w:val="auto"/>
                      <w:szCs w:val="21"/>
                      <w:lang w:val="zh-CN"/>
                      <w:highlight w:val="none"/>
                    </w:rPr>
                    <w:t>。</w:t>
                  </w:r>
                </w:p>
              </w:tc>
              <w:tc>
                <w:tcPr>
                  <w:tcW w:w="388" w:type="pct"/>
                  <w:tcBorders>
                    <w:tl2br w:val="nil"/>
                    <w:tr2bl w:val="nil"/>
                  </w:tcBorders>
                  <w:vAlign w:val="center"/>
                </w:tcPr>
                <w:p>
                  <w:pPr>
                    <w:adjustRightInd w:val="0"/>
                    <w:snapToGrid w:val="0"/>
                    <w:jc w:val="center"/>
                    <w:rPr>
                      <w:rFonts w:ascii="Times New Roman" w:cs="Times New Roman" w:hAnsi="Times New Roman"/>
                      <w:snapToGrid w:val="0"/>
                      <w:color w:val="auto"/>
                      <w:kern w:val="0"/>
                      <w:szCs w:val="21"/>
                      <w:highlight w:val="none"/>
                    </w:rPr>
                  </w:pPr>
                  <w:r>
                    <w:rPr>
                      <w:rFonts w:ascii="Times New Roman" w:cs="Times New Roman" w:hAnsi="Times New Roman"/>
                      <w:snapToGrid w:val="0"/>
                      <w:color w:val="auto"/>
                      <w:kern w:val="0"/>
                      <w:szCs w:val="21"/>
                      <w:highlight w:val="none"/>
                    </w:rPr>
                    <w:t>符合</w:t>
                  </w:r>
                </w:p>
              </w:tc>
            </w:tr>
            <w:tr>
              <w:tc>
                <w:tcPr>
                  <w:tcW w:w="408" w:type="pct"/>
                  <w:tcBorders>
                    <w:tl2br w:val="nil"/>
                    <w:tr2bl w:val="nil"/>
                  </w:tcBorders>
                  <w:vAlign w:val="center"/>
                </w:tcPr>
                <w:p>
                  <w:pPr>
                    <w:adjustRightInd w:val="0"/>
                    <w:snapToGrid w:val="0"/>
                    <w:jc w:val="center"/>
                    <w:rPr>
                      <w:rFonts w:ascii="Times New Roman" w:cs="Times New Roman" w:hAnsi="Times New Roman"/>
                      <w:snapToGrid w:val="0"/>
                      <w:color w:val="auto"/>
                      <w:kern w:val="0"/>
                      <w:szCs w:val="21"/>
                      <w:highlight w:val="none"/>
                    </w:rPr>
                  </w:pPr>
                  <w:r>
                    <w:rPr>
                      <w:rFonts w:ascii="Times New Roman" w:cs="Times New Roman" w:hAnsi="Times New Roman"/>
                      <w:snapToGrid w:val="0"/>
                      <w:color w:val="auto"/>
                      <w:kern w:val="0"/>
                      <w:szCs w:val="21"/>
                      <w:highlight w:val="none"/>
                    </w:rPr>
                    <w:t>七、开展土壤污染治理，全面防控土壤污染风险</w:t>
                  </w:r>
                </w:p>
              </w:tc>
              <w:tc>
                <w:tcPr>
                  <w:tcW w:w="2999" w:type="pct"/>
                  <w:tcBorders>
                    <w:tl2br w:val="nil"/>
                    <w:tr2bl w:val="nil"/>
                  </w:tcBorders>
                  <w:vAlign w:val="center"/>
                </w:tcPr>
                <w:p>
                  <w:pPr>
                    <w:adjustRightInd w:val="0"/>
                    <w:snapToGrid w:val="0"/>
                    <w:jc w:val="left"/>
                    <w:rPr>
                      <w:rFonts w:ascii="Times New Roman" w:cs="Times New Roman" w:hAnsi="Times New Roman"/>
                      <w:snapToGrid w:val="0"/>
                      <w:color w:val="auto"/>
                      <w:kern w:val="0"/>
                      <w:szCs w:val="21"/>
                      <w:highlight w:val="none"/>
                    </w:rPr>
                  </w:pPr>
                  <w:r>
                    <w:rPr>
                      <w:rFonts w:ascii="Times New Roman" w:cs="Times New Roman" w:hAnsi="Times New Roman"/>
                      <w:snapToGrid w:val="0"/>
                      <w:color w:val="auto"/>
                      <w:kern w:val="0"/>
                      <w:szCs w:val="21"/>
                      <w:highlight w:val="none"/>
                    </w:rPr>
                    <w:t>（一）实施土壤污染源头防控。</w:t>
                  </w:r>
                </w:p>
                <w:p>
                  <w:pPr>
                    <w:adjustRightInd w:val="0"/>
                    <w:snapToGrid w:val="0"/>
                    <w:jc w:val="left"/>
                    <w:rPr>
                      <w:rFonts w:ascii="Times New Roman" w:cs="Times New Roman" w:hAnsi="Times New Roman"/>
                      <w:snapToGrid w:val="0"/>
                      <w:color w:val="auto"/>
                      <w:kern w:val="0"/>
                      <w:szCs w:val="21"/>
                      <w:highlight w:val="none"/>
                    </w:rPr>
                  </w:pPr>
                  <w:r>
                    <w:rPr>
                      <w:rFonts w:ascii="Times New Roman" w:cs="Times New Roman" w:hAnsi="Times New Roman"/>
                      <w:snapToGrid w:val="0"/>
                      <w:color w:val="auto"/>
                      <w:kern w:val="0"/>
                      <w:szCs w:val="21"/>
                      <w:highlight w:val="none"/>
                    </w:rPr>
                    <w:t>1．持续推进耕地周边污染源整治。严格控制重点重金属企业污染物排放。动态更新涉重金属重点行业企业全口径清单，持续推进重金属减排。按照国家部署明确执行颗粒物和重点重金属特别排放限值区域。依法依规将排放镉、汞、砷、铅、铬等有毒有害大气、水污染物的企业纳入大气、水污染物重点排污单位名录进行管理。2023年底前，纳入大气重点排污单位名录的重点重金属排放企业应实现自动监测，并与生态环境主管部门监控设备联网，按照排污许可证要求将相关污染物排放量上报全国排污许可证管理信息平台并公开。有序推进耕地周边污染源排查整治。集中推进历史遗留废渣、尾砂、冶炼粉尘等固体废物的排查整治，评估污染风险，分阶段治理，逐步消除存量，降低污染物进入农田的风险。重点排查我市行唐县、无极县、井陉县、赵县、栾城区等涉重金属区域。开展土壤及农产品超标成因排查。围绕产粮（油）大县、重有色金属矿山及污染企业周边区域，选择一批耕地土壤镉等重金属污染问题突出的县，开展集中连片耕地土壤重金属污染途径识别和污染源头追溯。2025年底前，全面完成新乐市、赵县、藁城区、栾城区、井陉县、行唐县安全利用类和严格管控类耕地污染成因排查。</w:t>
                  </w:r>
                </w:p>
              </w:tc>
              <w:tc>
                <w:tcPr>
                  <w:tcW w:w="1203" w:type="pct"/>
                  <w:tcBorders>
                    <w:tl2br w:val="nil"/>
                    <w:tr2bl w:val="nil"/>
                  </w:tcBorders>
                  <w:vAlign w:val="center"/>
                </w:tcPr>
                <w:p>
                  <w:pPr>
                    <w:adjustRightInd w:val="0"/>
                    <w:snapToGrid w:val="0"/>
                    <w:jc w:val="center"/>
                    <w:rPr>
                      <w:rFonts w:ascii="Times New Roman" w:cs="Times New Roman" w:hAnsi="Times New Roman"/>
                      <w:snapToGrid w:val="0"/>
                      <w:color w:val="auto"/>
                      <w:kern w:val="0"/>
                      <w:szCs w:val="21"/>
                      <w:highlight w:val="none"/>
                    </w:rPr>
                  </w:pPr>
                  <w:r>
                    <w:rPr>
                      <w:rFonts w:ascii="Times New Roman" w:cs="Times New Roman" w:hAnsi="Times New Roman"/>
                      <w:snapToGrid w:val="0"/>
                      <w:color w:val="auto"/>
                      <w:kern w:val="0"/>
                      <w:szCs w:val="21"/>
                      <w:highlight w:val="none"/>
                    </w:rPr>
                    <w:t>项目不涉及重点重金属污染物排放。</w:t>
                  </w:r>
                </w:p>
              </w:tc>
              <w:tc>
                <w:tcPr>
                  <w:tcW w:w="388" w:type="pct"/>
                  <w:tcBorders>
                    <w:tl2br w:val="nil"/>
                    <w:tr2bl w:val="nil"/>
                  </w:tcBorders>
                  <w:vAlign w:val="center"/>
                </w:tcPr>
                <w:p>
                  <w:pPr>
                    <w:adjustRightInd w:val="0"/>
                    <w:snapToGrid w:val="0"/>
                    <w:jc w:val="center"/>
                    <w:rPr>
                      <w:rFonts w:ascii="Times New Roman" w:cs="Times New Roman" w:hAnsi="Times New Roman"/>
                      <w:snapToGrid w:val="0"/>
                      <w:color w:val="auto"/>
                      <w:kern w:val="0"/>
                      <w:szCs w:val="21"/>
                      <w:highlight w:val="none"/>
                    </w:rPr>
                  </w:pPr>
                  <w:r>
                    <w:rPr>
                      <w:rFonts w:ascii="Times New Roman" w:cs="Times New Roman" w:hAnsi="Times New Roman"/>
                      <w:snapToGrid w:val="0"/>
                      <w:color w:val="auto"/>
                      <w:kern w:val="0"/>
                      <w:szCs w:val="21"/>
                      <w:highlight w:val="none"/>
                    </w:rPr>
                    <w:t>符合</w:t>
                  </w:r>
                </w:p>
              </w:tc>
            </w:tr>
            <w:tr>
              <w:tc>
                <w:tcPr>
                  <w:tcW w:w="408" w:type="pct"/>
                  <w:tcBorders>
                    <w:tl2br w:val="nil"/>
                    <w:tr2bl w:val="nil"/>
                  </w:tcBorders>
                  <w:vAlign w:val="center"/>
                </w:tcPr>
                <w:p>
                  <w:pPr>
                    <w:adjustRightInd w:val="0"/>
                    <w:snapToGrid w:val="0"/>
                    <w:jc w:val="center"/>
                    <w:rPr>
                      <w:rFonts w:ascii="Times New Roman" w:cs="Times New Roman" w:hAnsi="Times New Roman"/>
                      <w:snapToGrid w:val="0"/>
                      <w:color w:val="auto"/>
                      <w:kern w:val="0"/>
                      <w:szCs w:val="21"/>
                      <w:highlight w:val="none"/>
                    </w:rPr>
                  </w:pPr>
                  <w:r>
                    <w:rPr>
                      <w:rFonts w:ascii="Times New Roman" w:cs="Times New Roman" w:hAnsi="Times New Roman"/>
                      <w:snapToGrid w:val="0"/>
                      <w:color w:val="auto"/>
                      <w:kern w:val="0"/>
                      <w:szCs w:val="21"/>
                      <w:highlight w:val="none"/>
                    </w:rPr>
                    <w:t>八、提高固体废物利用效率，全面落实安全处置措施</w:t>
                  </w:r>
                </w:p>
              </w:tc>
              <w:tc>
                <w:tcPr>
                  <w:tcW w:w="2999" w:type="pct"/>
                  <w:tcBorders>
                    <w:tl2br w:val="nil"/>
                    <w:tr2bl w:val="nil"/>
                  </w:tcBorders>
                  <w:vAlign w:val="center"/>
                </w:tcPr>
                <w:p>
                  <w:pPr>
                    <w:adjustRightInd w:val="0"/>
                    <w:snapToGrid w:val="0"/>
                    <w:jc w:val="left"/>
                    <w:rPr>
                      <w:rFonts w:ascii="Times New Roman" w:cs="Times New Roman" w:hAnsi="Times New Roman"/>
                      <w:snapToGrid w:val="0"/>
                      <w:color w:val="auto"/>
                      <w:kern w:val="0"/>
                      <w:szCs w:val="21"/>
                      <w:highlight w:val="none"/>
                    </w:rPr>
                  </w:pPr>
                  <w:r>
                    <w:rPr>
                      <w:rFonts w:ascii="Times New Roman" w:cs="Times New Roman" w:hAnsi="Times New Roman"/>
                      <w:snapToGrid w:val="0"/>
                      <w:color w:val="auto"/>
                      <w:kern w:val="0"/>
                      <w:szCs w:val="21"/>
                      <w:highlight w:val="none"/>
                    </w:rPr>
                    <w:t>（二）提升工业固体废物处置能力。</w:t>
                  </w:r>
                </w:p>
                <w:p>
                  <w:pPr>
                    <w:adjustRightInd w:val="0"/>
                    <w:snapToGrid w:val="0"/>
                    <w:jc w:val="left"/>
                    <w:rPr>
                      <w:rFonts w:ascii="Times New Roman" w:cs="Times New Roman" w:hAnsi="Times New Roman"/>
                      <w:snapToGrid w:val="0"/>
                      <w:color w:val="auto"/>
                      <w:kern w:val="0"/>
                      <w:szCs w:val="21"/>
                      <w:highlight w:val="none"/>
                    </w:rPr>
                  </w:pPr>
                  <w:r>
                    <w:rPr>
                      <w:rFonts w:ascii="Times New Roman" w:cs="Times New Roman" w:hAnsi="Times New Roman"/>
                      <w:snapToGrid w:val="0"/>
                      <w:color w:val="auto"/>
                      <w:kern w:val="0"/>
                      <w:szCs w:val="21"/>
                      <w:highlight w:val="none"/>
                    </w:rPr>
                    <w:t>积极推进京津冀地区工业资源综合利用产业协同发展等示范工程建设，发挥示范引领和带动作用，积极推进跨区域工业资源综合利用产业协同发展﹔积极利用水泥、钢铁窑炉协同处置工业固体废物和危险废物。以尾矿（伴生矿）、煤矸石、粉煤灰、工业废弃料及其他类大宗固体废弃物为重点，拓展资源化利用途径，推动和发挥鹿泉、井陉、赞皇等地水泥与建材规模企业利用全市一般工业固体废物和危险废物的主体作用。支持传统建材行业延伸产业链，推进固体废物利用增量化、多品种化，加快传统资源综合利用建材生产企业升级换代，逐步增加可消纳的工业固体废物种类。强化工业固体废物综合利用和处理处置过程监管和技术开发。推进工业固体废物处置设施的完善和落实。完善工业固体废弃物回收利用系统，提高固体废弃物的利用技术与水平。积极推进各类工业园区循环经济建设，提高工业企业内部再利用废弃物水平，降低工业固体废物处理处置量。推进污水厂污泥源头减量和协同处置，压减填埋规模，推进资源化利用。完善全过程监控管理，逐步建立综合利用与安全处置相结合的工业固体废物处置体系。到2025年一般工业固体废物处置利用率达到95%以上。</w:t>
                  </w:r>
                </w:p>
              </w:tc>
              <w:tc>
                <w:tcPr>
                  <w:tcW w:w="1203" w:type="pct"/>
                  <w:tcBorders>
                    <w:tl2br w:val="nil"/>
                    <w:tr2bl w:val="nil"/>
                  </w:tcBorders>
                  <w:vAlign w:val="center"/>
                </w:tcPr>
                <w:p>
                  <w:pPr>
                    <w:adjustRightInd w:val="0"/>
                    <w:snapToGrid w:val="0"/>
                    <w:jc w:val="center"/>
                    <w:rPr>
                      <w:rFonts w:ascii="Times New Roman" w:cs="Times New Roman" w:hAnsi="Times New Roman"/>
                      <w:snapToGrid w:val="0"/>
                      <w:color w:val="auto"/>
                      <w:kern w:val="0"/>
                      <w:szCs w:val="21"/>
                      <w:highlight w:val="none"/>
                    </w:rPr>
                  </w:pPr>
                  <w:r>
                    <w:rPr>
                      <w:rFonts w:cs="Times New Roman" w:hint="eastAsia"/>
                      <w:snapToGrid w:val="0"/>
                      <w:color w:val="auto"/>
                      <w:kern w:val="0"/>
                      <w:szCs w:val="21"/>
                      <w:lang w:eastAsia="zh-CN"/>
                      <w:highlight w:val="none"/>
                    </w:rPr>
                    <w:t>本项目为废铅蓄电池中转项目，可推进资源化利用，</w:t>
                  </w:r>
                  <w:r>
                    <w:rPr>
                      <w:rFonts w:ascii="Times New Roman" w:cs="Times New Roman" w:hAnsi="Times New Roman"/>
                      <w:snapToGrid w:val="0"/>
                      <w:color w:val="auto"/>
                      <w:kern w:val="0"/>
                      <w:szCs w:val="21"/>
                      <w:highlight w:val="none"/>
                    </w:rPr>
                    <w:t>项目产生的固体废物均进行合理处置。</w:t>
                  </w:r>
                </w:p>
              </w:tc>
              <w:tc>
                <w:tcPr>
                  <w:tcW w:w="388" w:type="pct"/>
                  <w:tcBorders>
                    <w:tl2br w:val="nil"/>
                    <w:tr2bl w:val="nil"/>
                  </w:tcBorders>
                  <w:vAlign w:val="center"/>
                </w:tcPr>
                <w:p>
                  <w:pPr>
                    <w:adjustRightInd w:val="0"/>
                    <w:snapToGrid w:val="0"/>
                    <w:jc w:val="center"/>
                    <w:rPr>
                      <w:rFonts w:ascii="Times New Roman" w:cs="Times New Roman" w:hAnsi="Times New Roman"/>
                      <w:snapToGrid w:val="0"/>
                      <w:color w:val="auto"/>
                      <w:kern w:val="0"/>
                      <w:szCs w:val="21"/>
                      <w:highlight w:val="none"/>
                    </w:rPr>
                  </w:pPr>
                  <w:r>
                    <w:rPr>
                      <w:rFonts w:ascii="Times New Roman" w:cs="Times New Roman" w:hAnsi="Times New Roman"/>
                      <w:snapToGrid w:val="0"/>
                      <w:color w:val="auto"/>
                      <w:kern w:val="0"/>
                      <w:szCs w:val="21"/>
                      <w:highlight w:val="none"/>
                    </w:rPr>
                    <w:t>符合</w:t>
                  </w:r>
                </w:p>
              </w:tc>
            </w:tr>
          </w:tbl>
          <w:p>
            <w:pPr>
              <w:numPr>
                <w:ilvl w:val="0"/>
                <w:numId w:val="1"/>
              </w:numPr>
              <w:adjustRightInd w:val="0"/>
              <w:snapToGrid w:val="0"/>
              <w:spacing w:line="460" w:lineRule="exact"/>
              <w:ind w:left="0" w:firstLineChars="200" w:firstLine="480"/>
              <w:rPr>
                <w:rFonts w:cs="Times New Roman" w:hint="eastAsia"/>
                <w:b/>
                <w:color w:val="auto"/>
                <w:sz w:val="24"/>
                <w:lang w:val="en-US" w:eastAsia="zh-CN"/>
                <w:highlight w:val="none"/>
              </w:rPr>
            </w:pPr>
            <w:r>
              <w:rPr>
                <w:rFonts w:cs="Times New Roman" w:hint="eastAsia"/>
                <w:b/>
                <w:color w:val="auto"/>
                <w:sz w:val="24"/>
                <w:lang w:val="en-US" w:eastAsia="zh-CN"/>
                <w:highlight w:val="none"/>
              </w:rPr>
              <w:t>与《</w:t>
            </w:r>
            <w:r>
              <w:rPr>
                <w:rFonts w:ascii="Times New Roman" w:eastAsia="宋体" w:cs="Times New Roman" w:hAnsi="Times New Roman" w:hint="eastAsia"/>
                <w:b/>
                <w:color w:val="auto"/>
                <w:sz w:val="24"/>
                <w:lang w:val="en-US" w:eastAsia="zh-CN"/>
                <w:highlight w:val="none"/>
              </w:rPr>
              <w:t>土壤、地下水和农业农村生态环境保护“十五五”规划</w:t>
            </w:r>
            <w:r>
              <w:rPr>
                <w:rFonts w:cs="Times New Roman" w:hint="eastAsia"/>
                <w:b/>
                <w:color w:val="auto"/>
                <w:sz w:val="24"/>
                <w:lang w:val="en-US" w:eastAsia="zh-CN"/>
                <w:highlight w:val="none"/>
              </w:rPr>
              <w:t>》符合性分析</w:t>
            </w:r>
          </w:p>
          <w:p>
            <w:pPr>
              <w:ind w:firstLineChars="200" w:firstLine="480"/>
              <w:jc w:val="center"/>
              <w:rPr>
                <w:rFonts w:ascii="Times New Roman" w:eastAsia="宋体" w:cs="Times New Roman" w:hAnsi="Times New Roman" w:hint="eastAsia"/>
                <w:b/>
                <w:bCs/>
                <w:color w:val="auto"/>
                <w:sz w:val="24"/>
                <w:highlight w:val="none"/>
              </w:rPr>
            </w:pPr>
            <w:r>
              <w:rPr>
                <w:rFonts w:ascii="Times New Roman" w:eastAsia="宋体" w:cs="Times New Roman" w:hAnsi="Times New Roman" w:hint="eastAsia"/>
                <w:b/>
                <w:bCs/>
                <w:color w:val="auto"/>
                <w:sz w:val="24"/>
                <w:highlight w:val="none"/>
              </w:rPr>
              <w:t>表1-1</w:t>
            </w:r>
            <w:r>
              <w:rPr>
                <w:rFonts w:cs="Times New Roman" w:hint="eastAsia"/>
                <w:b/>
                <w:bCs/>
                <w:color w:val="auto"/>
                <w:sz w:val="24"/>
                <w:lang w:val="en-US" w:eastAsia="zh-CN"/>
                <w:highlight w:val="none"/>
              </w:rPr>
              <w:t>2</w:t>
            </w:r>
            <w:r>
              <w:rPr>
                <w:rFonts w:ascii="Times New Roman" w:eastAsia="宋体" w:cs="Times New Roman" w:hAnsi="Times New Roman" w:hint="eastAsia"/>
                <w:b/>
                <w:bCs/>
                <w:color w:val="auto"/>
                <w:sz w:val="24"/>
                <w:highlight w:val="none"/>
              </w:rPr>
              <w:t xml:space="preserve">  与《</w:t>
            </w:r>
            <w:r>
              <w:rPr>
                <w:rFonts w:ascii="Times New Roman" w:eastAsia="宋体" w:cs="Times New Roman" w:hAnsi="Times New Roman" w:hint="eastAsia"/>
                <w:b/>
                <w:color w:val="auto"/>
                <w:sz w:val="24"/>
                <w:lang w:val="en-US" w:eastAsia="zh-CN"/>
                <w:highlight w:val="none"/>
              </w:rPr>
              <w:t>土壤、地下水和农业农村生态环境保护“十五五”规划</w:t>
            </w:r>
            <w:r>
              <w:rPr>
                <w:rFonts w:ascii="Times New Roman" w:eastAsia="宋体" w:cs="Times New Roman" w:hAnsi="Times New Roman" w:hint="eastAsia"/>
                <w:b/>
                <w:bCs/>
                <w:color w:val="auto"/>
                <w:sz w:val="24"/>
                <w:highlight w:val="none"/>
              </w:rPr>
              <w:t>》符合性分析一览表</w:t>
            </w:r>
          </w:p>
          <w:tbl>
            <w:tblPr>
              <w:jc w:val="center"/>
              <w:tblW w:w="4998" w:type="pct"/>
              <w:tblBorders>
                <w:top w:val="single" w:sz="12" w:space="0" w:color="auto"/>
                <w:left w:val="none" w:sz="0" w:space="0" w:color="auto"/>
                <w:bottom w:val="single" w:sz="12" w:space="0" w:color="auto"/>
                <w:right w:val="none" w:sz="0" w:space="0" w:color="auto"/>
                <w:insideH w:val="single" w:sz="4" w:space="0" w:color="auto"/>
                <w:insideV w:val="single" w:sz="4" w:space="0" w:color="auto"/>
              </w:tblBorders>
              <w:tblCellMar>
                <w:top w:w="0" w:type="dxa"/>
                <w:left w:w="108" w:type="dxa"/>
                <w:bottom w:w="0" w:type="dxa"/>
                <w:right w:w="108" w:type="dxa"/>
              </w:tblCellMar>
              <w:tblLook w:val="0600" w:firstRow="0" w:lastRow="0" w:firstColumn="0" w:lastColumn="0" w:noHBand="1" w:noVBand="1"/>
            </w:tblPr>
            <w:tblGrid>
              <w:gridCol w:w="775"/>
              <w:gridCol w:w="3208"/>
              <w:gridCol w:w="2906"/>
              <w:gridCol w:w="707"/>
            </w:tblGrid>
            <w:tr>
              <w:trPr>
                <w:cantSplit/>
                <w:trHeight w:val="318"/>
                <w:tblHeader/>
              </w:trPr>
              <w:tc>
                <w:tcPr>
                  <w:tcW w:w="510" w:type="pct"/>
                  <w:vAlign w:val="center"/>
                </w:tcPr>
                <w:p>
                  <w:pPr>
                    <w:snapToGrid w:val="0"/>
                    <w:jc w:val="center"/>
                    <w:rPr>
                      <w:rFonts w:hint="eastAsia"/>
                      <w:b/>
                      <w:color w:val="auto"/>
                      <w:szCs w:val="21"/>
                    </w:rPr>
                  </w:pPr>
                  <w:r>
                    <w:rPr>
                      <w:rFonts w:hint="eastAsia"/>
                      <w:b/>
                      <w:color w:val="auto"/>
                      <w:szCs w:val="21"/>
                    </w:rPr>
                    <w:t>项目</w:t>
                  </w:r>
                </w:p>
              </w:tc>
              <w:tc>
                <w:tcPr>
                  <w:tcW w:w="2111" w:type="pct"/>
                  <w:vAlign w:val="center"/>
                </w:tcPr>
                <w:p>
                  <w:pPr>
                    <w:snapToGrid w:val="0"/>
                    <w:jc w:val="center"/>
                    <w:rPr>
                      <w:rFonts w:hint="eastAsia"/>
                      <w:b/>
                      <w:color w:val="auto"/>
                      <w:szCs w:val="21"/>
                    </w:rPr>
                  </w:pPr>
                  <w:r>
                    <w:rPr>
                      <w:rFonts w:hint="eastAsia"/>
                      <w:b/>
                      <w:color w:val="auto"/>
                      <w:szCs w:val="21"/>
                    </w:rPr>
                    <w:t>规范要求</w:t>
                  </w:r>
                </w:p>
              </w:tc>
              <w:tc>
                <w:tcPr>
                  <w:tcW w:w="1912" w:type="pct"/>
                  <w:vAlign w:val="center"/>
                </w:tcPr>
                <w:p>
                  <w:pPr>
                    <w:snapToGrid w:val="0"/>
                    <w:jc w:val="center"/>
                    <w:rPr>
                      <w:rFonts w:hint="eastAsia"/>
                      <w:b/>
                      <w:color w:val="auto"/>
                      <w:szCs w:val="21"/>
                    </w:rPr>
                  </w:pPr>
                  <w:r>
                    <w:rPr>
                      <w:rFonts w:hint="eastAsia"/>
                      <w:b/>
                      <w:color w:val="auto"/>
                      <w:szCs w:val="21"/>
                    </w:rPr>
                    <w:t>项目建设条件</w:t>
                  </w:r>
                </w:p>
              </w:tc>
              <w:tc>
                <w:tcPr>
                  <w:tcW w:w="465" w:type="pct"/>
                  <w:vAlign w:val="center"/>
                </w:tcPr>
                <w:p>
                  <w:pPr>
                    <w:snapToGrid w:val="0"/>
                    <w:jc w:val="center"/>
                    <w:rPr>
                      <w:rFonts w:hint="eastAsia"/>
                      <w:b/>
                      <w:color w:val="auto"/>
                      <w:szCs w:val="21"/>
                    </w:rPr>
                  </w:pPr>
                  <w:r>
                    <w:rPr>
                      <w:rFonts w:hint="eastAsia"/>
                      <w:b/>
                      <w:color w:val="auto"/>
                      <w:szCs w:val="21"/>
                    </w:rPr>
                    <w:t>相符性</w:t>
                  </w:r>
                </w:p>
              </w:tc>
            </w:tr>
            <w:tr>
              <w:trPr>
                <w:cantSplit/>
                <w:trHeight w:val="318"/>
                <w:tblHeader/>
              </w:trPr>
              <w:tc>
                <w:tcPr>
                  <w:tcW w:w="510" w:type="pct"/>
                  <w:vAlign w:val="center"/>
                </w:tcPr>
                <w:p>
                  <w:pPr>
                    <w:adjustRightInd w:val="0"/>
                    <w:snapToGrid w:val="0"/>
                    <w:jc w:val="center"/>
                    <w:rPr>
                      <w:rFonts w:ascii="Times New Roman" w:eastAsia="宋体" w:cs="Times New Roman" w:hAnsi="Times New Roman" w:hint="eastAsia"/>
                      <w:color w:val="auto"/>
                      <w:highlight w:val="none"/>
                    </w:rPr>
                  </w:pPr>
                  <w:r>
                    <w:rPr>
                      <w:rFonts w:ascii="Times New Roman" w:eastAsia="宋体" w:cs="Times New Roman" w:hAnsi="Times New Roman" w:hint="eastAsia"/>
                      <w:color w:val="auto"/>
                      <w:highlight w:val="none"/>
                    </w:rPr>
                    <w:t>强化要素协同防治</w:t>
                  </w:r>
                </w:p>
              </w:tc>
              <w:tc>
                <w:tcPr>
                  <w:tcW w:w="2111" w:type="pct"/>
                </w:tcPr>
                <w:p>
                  <w:pPr>
                    <w:adjustRightInd w:val="0"/>
                    <w:snapToGrid w:val="0"/>
                    <w:jc w:val="both"/>
                    <w:rPr>
                      <w:rFonts w:ascii="Times New Roman" w:eastAsia="宋体" w:cs="Times New Roman" w:hAnsi="Times New Roman" w:hint="eastAsia"/>
                      <w:color w:val="auto"/>
                      <w:highlight w:val="none"/>
                    </w:rPr>
                  </w:pPr>
                  <w:r>
                    <w:rPr>
                      <w:rFonts w:ascii="Times New Roman" w:eastAsia="宋体" w:cs="Times New Roman" w:hAnsi="Times New Roman"/>
                      <w:color w:val="auto"/>
                      <w:highlight w:val="none"/>
                    </w:rPr>
                    <w:t>加强一般工业固体废物无害化预处理和规范化环境管理，防控危险废物环境风险，推进全过程信息化环境管理。</w:t>
                  </w:r>
                </w:p>
              </w:tc>
              <w:tc>
                <w:tcPr>
                  <w:tcW w:w="1912" w:type="pct"/>
                </w:tcPr>
                <w:p>
                  <w:pPr>
                    <w:adjustRightInd w:val="0"/>
                    <w:snapToGrid w:val="0"/>
                    <w:jc w:val="both"/>
                    <w:rPr>
                      <w:rFonts w:ascii="Times New Roman" w:eastAsia="宋体" w:cs="Times New Roman" w:hAnsi="Times New Roman" w:hint="eastAsia"/>
                      <w:color w:val="auto"/>
                      <w:highlight w:val="none"/>
                    </w:rPr>
                  </w:pPr>
                  <w:r>
                    <w:rPr>
                      <w:rFonts w:ascii="Times New Roman" w:eastAsia="宋体" w:cs="Times New Roman" w:hAnsi="Times New Roman"/>
                      <w:color w:val="auto"/>
                      <w:highlight w:val="none"/>
                    </w:rPr>
                    <w:t>本项目</w:t>
                  </w:r>
                  <w:r>
                    <w:rPr>
                      <w:rFonts w:ascii="Times New Roman" w:eastAsia="宋体" w:cs="Times New Roman" w:hAnsi="Times New Roman" w:hint="eastAsia"/>
                      <w:color w:val="auto"/>
                      <w:lang w:eastAsia="zh-CN"/>
                      <w:highlight w:val="none"/>
                    </w:rPr>
                    <w:t>为废电池中转项目，主要存储废铅蓄电池，采取了风险防范措施</w:t>
                  </w:r>
                  <w:r>
                    <w:rPr>
                      <w:rFonts w:cs="Times New Roman" w:hint="eastAsia"/>
                      <w:color w:val="auto"/>
                      <w:lang w:eastAsia="zh-CN"/>
                      <w:highlight w:val="none"/>
                    </w:rPr>
                    <w:t>，</w:t>
                  </w:r>
                  <w:r>
                    <w:rPr>
                      <w:rFonts w:ascii="Times New Roman" w:eastAsia="宋体" w:cs="Times New Roman" w:hAnsi="Times New Roman" w:hint="eastAsia"/>
                      <w:color w:val="auto"/>
                      <w:lang w:eastAsia="zh-CN"/>
                      <w:highlight w:val="none"/>
                    </w:rPr>
                    <w:t>本项目设有智能称重和监控系统等</w:t>
                  </w:r>
                  <w:r>
                    <w:rPr>
                      <w:rFonts w:ascii="Times New Roman" w:eastAsia="宋体" w:cs="Times New Roman" w:hAnsi="Times New Roman"/>
                      <w:color w:val="auto"/>
                      <w:highlight w:val="none"/>
                    </w:rPr>
                    <w:t>。</w:t>
                  </w:r>
                </w:p>
              </w:tc>
              <w:tc>
                <w:tcPr>
                  <w:tcW w:w="465" w:type="pct"/>
                  <w:vAlign w:val="center"/>
                </w:tcPr>
                <w:p>
                  <w:pPr>
                    <w:adjustRightInd w:val="0"/>
                    <w:snapToGrid w:val="0"/>
                    <w:jc w:val="both"/>
                    <w:rPr>
                      <w:rFonts w:ascii="Times New Roman" w:eastAsia="宋体" w:cs="Times New Roman" w:hAnsi="Times New Roman" w:hint="eastAsia"/>
                      <w:color w:val="auto"/>
                      <w:highlight w:val="none"/>
                    </w:rPr>
                  </w:pPr>
                  <w:r>
                    <w:rPr>
                      <w:rFonts w:ascii="Times New Roman" w:eastAsia="宋体" w:cs="Times New Roman" w:hAnsi="Times New Roman"/>
                      <w:color w:val="auto"/>
                      <w:highlight w:val="none"/>
                    </w:rPr>
                    <w:t>符合</w:t>
                  </w:r>
                </w:p>
              </w:tc>
            </w:tr>
          </w:tbl>
          <w:p>
            <w:pPr>
              <w:numPr>
                <w:ilvl w:val="0"/>
                <w:numId w:val="1"/>
              </w:numPr>
              <w:adjustRightInd w:val="0"/>
              <w:snapToGrid w:val="0"/>
              <w:spacing w:line="460" w:lineRule="exact"/>
              <w:ind w:left="0" w:firstLineChars="200" w:firstLine="480"/>
              <w:rPr>
                <w:rFonts w:cs="Times New Roman" w:hint="eastAsia"/>
                <w:b/>
                <w:color w:val="auto"/>
                <w:sz w:val="24"/>
                <w:lang w:val="en-US" w:eastAsia="zh-CN"/>
                <w:highlight w:val="none"/>
              </w:rPr>
            </w:pPr>
            <w:r>
              <w:rPr>
                <w:rFonts w:cs="Times New Roman" w:hint="eastAsia"/>
                <w:b/>
                <w:color w:val="auto"/>
                <w:sz w:val="24"/>
                <w:lang w:val="en-US" w:eastAsia="zh-CN"/>
                <w:highlight w:val="none"/>
              </w:rPr>
              <w:t>与《固体废物污染防治“十五五”规划》符合性分析</w:t>
            </w:r>
          </w:p>
          <w:p>
            <w:pPr>
              <w:jc w:val="center"/>
              <w:rPr>
                <w:rFonts w:ascii="Times New Roman" w:eastAsia="宋体" w:cs="Times New Roman" w:hAnsi="Times New Roman" w:hint="eastAsia"/>
                <w:b/>
                <w:bCs/>
                <w:color w:val="auto"/>
                <w:sz w:val="24"/>
                <w:highlight w:val="none"/>
              </w:rPr>
            </w:pPr>
            <w:r>
              <w:rPr>
                <w:rFonts w:ascii="Times New Roman" w:eastAsia="宋体" w:cs="Times New Roman" w:hAnsi="Times New Roman" w:hint="eastAsia"/>
                <w:b/>
                <w:bCs/>
                <w:color w:val="auto"/>
                <w:sz w:val="24"/>
                <w:highlight w:val="none"/>
              </w:rPr>
              <w:t>表1-1</w:t>
            </w:r>
            <w:r>
              <w:rPr>
                <w:rFonts w:cs="Times New Roman" w:hint="eastAsia"/>
                <w:b/>
                <w:bCs/>
                <w:color w:val="auto"/>
                <w:sz w:val="24"/>
                <w:lang w:val="en-US" w:eastAsia="zh-CN"/>
                <w:highlight w:val="none"/>
              </w:rPr>
              <w:t>3</w:t>
            </w:r>
            <w:r>
              <w:rPr>
                <w:rFonts w:ascii="Times New Roman" w:eastAsia="宋体" w:cs="Times New Roman" w:hAnsi="Times New Roman" w:hint="eastAsia"/>
                <w:b/>
                <w:bCs/>
                <w:color w:val="auto"/>
                <w:sz w:val="24"/>
                <w:highlight w:val="none"/>
              </w:rPr>
              <w:t xml:space="preserve">  与《</w:t>
            </w:r>
            <w:r>
              <w:rPr>
                <w:rFonts w:cs="Times New Roman" w:hint="eastAsia"/>
                <w:b/>
                <w:color w:val="auto"/>
                <w:sz w:val="24"/>
                <w:lang w:val="en-US" w:eastAsia="zh-CN"/>
                <w:highlight w:val="none"/>
              </w:rPr>
              <w:t>固体废物污染防治“十五五”规划</w:t>
            </w:r>
            <w:r>
              <w:rPr>
                <w:rFonts w:ascii="Times New Roman" w:eastAsia="宋体" w:cs="Times New Roman" w:hAnsi="Times New Roman" w:hint="eastAsia"/>
                <w:b/>
                <w:bCs/>
                <w:color w:val="auto"/>
                <w:sz w:val="24"/>
                <w:highlight w:val="none"/>
              </w:rPr>
              <w:t>》符合性分析一览表</w:t>
            </w:r>
          </w:p>
          <w:tbl>
            <w:tblPr>
              <w:jc w:val="center"/>
              <w:tblW w:w="4998" w:type="pct"/>
              <w:tblBorders>
                <w:top w:val="single" w:sz="12" w:space="0" w:color="auto"/>
                <w:left w:val="none" w:sz="0" w:space="0" w:color="auto"/>
                <w:bottom w:val="single" w:sz="12" w:space="0" w:color="auto"/>
                <w:right w:val="none" w:sz="0" w:space="0" w:color="auto"/>
                <w:insideH w:val="single" w:sz="4" w:space="0" w:color="auto"/>
                <w:insideV w:val="single" w:sz="4" w:space="0" w:color="auto"/>
              </w:tblBorders>
              <w:tblCellMar>
                <w:top w:w="0" w:type="dxa"/>
                <w:left w:w="108" w:type="dxa"/>
                <w:bottom w:w="0" w:type="dxa"/>
                <w:right w:w="108" w:type="dxa"/>
              </w:tblCellMar>
              <w:tblLook w:val="0600" w:firstRow="0" w:lastRow="0" w:firstColumn="0" w:lastColumn="0" w:noHBand="1" w:noVBand="1"/>
            </w:tblPr>
            <w:tblGrid>
              <w:gridCol w:w="775"/>
              <w:gridCol w:w="3382"/>
              <w:gridCol w:w="2733"/>
              <w:gridCol w:w="707"/>
            </w:tblGrid>
            <w:tr>
              <w:trPr>
                <w:cantSplit/>
                <w:trHeight w:val="318"/>
                <w:tblHeader/>
              </w:trPr>
              <w:tc>
                <w:tcPr>
                  <w:tcW w:w="510" w:type="pct"/>
                  <w:vAlign w:val="center"/>
                </w:tcPr>
                <w:p>
                  <w:pPr>
                    <w:snapToGrid w:val="0"/>
                    <w:jc w:val="center"/>
                    <w:rPr>
                      <w:rFonts w:hint="eastAsia"/>
                      <w:b/>
                      <w:color w:val="auto"/>
                      <w:szCs w:val="21"/>
                    </w:rPr>
                  </w:pPr>
                  <w:r>
                    <w:rPr>
                      <w:rFonts w:hint="eastAsia"/>
                      <w:b/>
                      <w:color w:val="auto"/>
                      <w:szCs w:val="21"/>
                    </w:rPr>
                    <w:t>项目</w:t>
                  </w:r>
                </w:p>
              </w:tc>
              <w:tc>
                <w:tcPr>
                  <w:tcW w:w="2225" w:type="pct"/>
                  <w:vAlign w:val="center"/>
                </w:tcPr>
                <w:p>
                  <w:pPr>
                    <w:snapToGrid w:val="0"/>
                    <w:jc w:val="center"/>
                    <w:rPr>
                      <w:rFonts w:hint="eastAsia"/>
                      <w:b/>
                      <w:color w:val="auto"/>
                      <w:szCs w:val="21"/>
                    </w:rPr>
                  </w:pPr>
                  <w:r>
                    <w:rPr>
                      <w:rFonts w:hint="eastAsia"/>
                      <w:b/>
                      <w:color w:val="auto"/>
                      <w:szCs w:val="21"/>
                    </w:rPr>
                    <w:t>规范要求</w:t>
                  </w:r>
                </w:p>
              </w:tc>
              <w:tc>
                <w:tcPr>
                  <w:tcW w:w="1798" w:type="pct"/>
                  <w:vAlign w:val="center"/>
                </w:tcPr>
                <w:p>
                  <w:pPr>
                    <w:snapToGrid w:val="0"/>
                    <w:jc w:val="center"/>
                    <w:rPr>
                      <w:rFonts w:hint="eastAsia"/>
                      <w:b/>
                      <w:color w:val="auto"/>
                      <w:szCs w:val="21"/>
                    </w:rPr>
                  </w:pPr>
                  <w:r>
                    <w:rPr>
                      <w:rFonts w:hint="eastAsia"/>
                      <w:b/>
                      <w:color w:val="auto"/>
                      <w:szCs w:val="21"/>
                    </w:rPr>
                    <w:t>项目建设条件</w:t>
                  </w:r>
                </w:p>
              </w:tc>
              <w:tc>
                <w:tcPr>
                  <w:tcW w:w="465" w:type="pct"/>
                  <w:vAlign w:val="center"/>
                </w:tcPr>
                <w:p>
                  <w:pPr>
                    <w:snapToGrid w:val="0"/>
                    <w:jc w:val="center"/>
                    <w:rPr>
                      <w:rFonts w:hint="eastAsia"/>
                      <w:b/>
                      <w:color w:val="auto"/>
                      <w:szCs w:val="21"/>
                    </w:rPr>
                  </w:pPr>
                  <w:r>
                    <w:rPr>
                      <w:rFonts w:hint="eastAsia"/>
                      <w:b/>
                      <w:color w:val="auto"/>
                      <w:szCs w:val="21"/>
                    </w:rPr>
                    <w:t>相符性</w:t>
                  </w:r>
                </w:p>
              </w:tc>
            </w:tr>
            <w:tr>
              <w:trPr>
                <w:cantSplit/>
                <w:trHeight w:val="318"/>
                <w:tblHeader/>
              </w:trPr>
              <w:tc>
                <w:tcPr>
                  <w:tcW w:w="510" w:type="pct"/>
                  <w:vMerge w:val="restart"/>
                  <w:vAlign w:val="center"/>
                </w:tcPr>
                <w:p>
                  <w:pPr>
                    <w:adjustRightInd w:val="0"/>
                    <w:snapToGrid w:val="0"/>
                    <w:jc w:val="center"/>
                    <w:rPr>
                      <w:rFonts w:ascii="Times New Roman" w:eastAsia="宋体" w:cs="Times New Roman" w:hAnsi="Times New Roman" w:hint="eastAsia"/>
                      <w:color w:val="auto"/>
                      <w:highlight w:val="none"/>
                    </w:rPr>
                  </w:pPr>
                  <w:r>
                    <w:rPr>
                      <w:rFonts w:ascii="Times New Roman" w:eastAsia="宋体" w:cs="Times New Roman" w:hAnsi="Times New Roman" w:hint="eastAsia"/>
                      <w:color w:val="auto"/>
                      <w:highlight w:val="none"/>
                    </w:rPr>
                    <w:t>严格实施危险废物全过程环境监管</w:t>
                  </w:r>
                </w:p>
              </w:tc>
              <w:tc>
                <w:tcPr>
                  <w:tcW w:w="2225" w:type="pct"/>
                </w:tcPr>
                <w:p>
                  <w:pPr>
                    <w:adjustRightInd w:val="0"/>
                    <w:snapToGrid w:val="0"/>
                    <w:jc w:val="both"/>
                    <w:rPr>
                      <w:rFonts w:ascii="Times New Roman" w:eastAsia="宋体" w:cs="Times New Roman" w:hAnsi="Times New Roman" w:hint="eastAsia"/>
                      <w:color w:val="auto"/>
                      <w:lang w:eastAsia="zh-CN"/>
                      <w:highlight w:val="none"/>
                    </w:rPr>
                  </w:pPr>
                  <w:r>
                    <w:rPr>
                      <w:rFonts w:ascii="Times New Roman" w:eastAsia="宋体" w:cs="Times New Roman" w:hAnsi="Times New Roman"/>
                      <w:color w:val="auto"/>
                      <w:highlight w:val="none"/>
                    </w:rPr>
                    <w:t>（九）深化危险废物全过程信息化监管。推动企业开展数智监控设备升级改造，加快全国危险废物全过程环境管理能力建设，推进危险废物产生单位“五即”（即产生、即包装、即称重、即打码、即入库）规范化建设，强化危险废物“一码贯通”实时可追溯信息化监管，全面实现危险废物运输车辆轨迹实时追踪。完善支撑全过程信息化监管的危险废物管理制度，围绕危险废物信息化监管优化危险废物规范化评估模式。鼓励开展危险废物收集、运输、利用、处置网上交易和第三方支付业务。到 2028 年，全国危险废物全过程环境管理信息系统数据应用于生态环境统计</w:t>
                  </w:r>
                  <w:r>
                    <w:rPr>
                      <w:rFonts w:cs="Times New Roman" w:hint="eastAsia"/>
                      <w:color w:val="auto"/>
                      <w:lang w:eastAsia="zh-CN"/>
                      <w:highlight w:val="none"/>
                    </w:rPr>
                    <w:t>。</w:t>
                  </w:r>
                </w:p>
              </w:tc>
              <w:tc>
                <w:tcPr>
                  <w:tcW w:w="1798" w:type="pct"/>
                </w:tcPr>
                <w:p>
                  <w:pPr>
                    <w:adjustRightInd w:val="0"/>
                    <w:snapToGrid w:val="0"/>
                    <w:jc w:val="both"/>
                    <w:rPr>
                      <w:rFonts w:ascii="Times New Roman" w:eastAsia="宋体" w:cs="Times New Roman" w:hAnsi="Times New Roman" w:hint="eastAsia"/>
                      <w:color w:val="auto"/>
                      <w:lang w:eastAsia="zh-CN"/>
                      <w:highlight w:val="none"/>
                    </w:rPr>
                  </w:pPr>
                  <w:r>
                    <w:rPr>
                      <w:rFonts w:ascii="Times New Roman" w:eastAsia="宋体" w:cs="Times New Roman" w:hAnsi="Times New Roman"/>
                      <w:color w:val="auto"/>
                      <w:highlight w:val="none"/>
                    </w:rPr>
                    <w:t>本项目</w:t>
                  </w:r>
                  <w:r>
                    <w:rPr>
                      <w:rFonts w:cs="Times New Roman" w:hint="eastAsia"/>
                      <w:color w:val="auto"/>
                      <w:lang w:eastAsia="zh-CN"/>
                      <w:highlight w:val="none"/>
                    </w:rPr>
                    <w:t>为废电池中转项目，不涉及运输环节</w:t>
                  </w:r>
                  <w:r>
                    <w:rPr>
                      <w:rFonts w:ascii="Times New Roman" w:eastAsia="宋体" w:cs="Times New Roman" w:hAnsi="Times New Roman"/>
                      <w:color w:val="auto"/>
                      <w:highlight w:val="none"/>
                    </w:rPr>
                    <w:t>。</w:t>
                  </w:r>
                  <w:r>
                    <w:rPr>
                      <w:rFonts w:cs="Times New Roman" w:hint="eastAsia"/>
                      <w:color w:val="auto"/>
                      <w:lang w:eastAsia="zh-CN"/>
                      <w:highlight w:val="none"/>
                    </w:rPr>
                    <w:t>本项目采用电子地磅、电子标签、电子管理台账等技术手段对危险废物贮存过程进行信息化管理，确保数据完整、真实、准确。</w:t>
                  </w:r>
                </w:p>
              </w:tc>
              <w:tc>
                <w:tcPr>
                  <w:tcW w:w="465" w:type="pct"/>
                  <w:vAlign w:val="center"/>
                </w:tcPr>
                <w:p>
                  <w:pPr>
                    <w:adjustRightInd w:val="0"/>
                    <w:snapToGrid w:val="0"/>
                    <w:jc w:val="both"/>
                    <w:rPr>
                      <w:rFonts w:ascii="Times New Roman" w:eastAsia="宋体" w:cs="Times New Roman" w:hAnsi="Times New Roman" w:hint="eastAsia"/>
                      <w:color w:val="auto"/>
                      <w:highlight w:val="none"/>
                    </w:rPr>
                  </w:pPr>
                  <w:r>
                    <w:rPr>
                      <w:rFonts w:ascii="Times New Roman" w:eastAsia="宋体" w:cs="Times New Roman" w:hAnsi="Times New Roman"/>
                      <w:color w:val="auto"/>
                      <w:highlight w:val="none"/>
                    </w:rPr>
                    <w:t>符合</w:t>
                  </w:r>
                </w:p>
              </w:tc>
            </w:tr>
            <w:tr>
              <w:trPr>
                <w:cantSplit/>
                <w:trHeight w:val="318"/>
                <w:tblHeader/>
              </w:trPr>
              <w:tc>
                <w:tcPr>
                  <w:tcW w:w="510" w:type="pct"/>
                  <w:vMerge/>
                  <w:vAlign w:val="center"/>
                </w:tcPr>
                <w:p/>
              </w:tc>
              <w:tc>
                <w:tcPr>
                  <w:tcW w:w="2225" w:type="pct"/>
                </w:tcPr>
                <w:p>
                  <w:pPr>
                    <w:adjustRightInd w:val="0"/>
                    <w:snapToGrid w:val="0"/>
                    <w:jc w:val="both"/>
                    <w:rPr>
                      <w:rFonts w:ascii="Times New Roman" w:eastAsia="宋体" w:cs="Times New Roman" w:hAnsi="Times New Roman" w:hint="eastAsia"/>
                      <w:color w:val="auto"/>
                      <w:lang w:eastAsia="zh-CN"/>
                      <w:highlight w:val="none"/>
                    </w:rPr>
                  </w:pPr>
                  <w:r>
                    <w:rPr>
                      <w:rFonts w:ascii="Times New Roman" w:eastAsia="宋体" w:cs="Times New Roman" w:hAnsi="Times New Roman"/>
                      <w:color w:val="auto"/>
                      <w:highlight w:val="none"/>
                    </w:rPr>
                    <w:t>（十）提升危险废物收集利用处置水平。强化小微企业危险废物收集管理，优化服务对象和服务地域范围，推动收集单位提档升级。优化危险废物跨省转移管理，对符合要求的简化审批管理。加强危险废物利用处置设施统筹规划，建立环境影响评价与经营许可审批衔接机制，完善利用处置产能评估预警制度，综合利用标准、政策等手段化解能力结构性过剩问题。完善医疗废物收集处置体系，支持不具备集中处置条件的偏远地区探索就地处置方式</w:t>
                  </w:r>
                  <w:r>
                    <w:rPr>
                      <w:rFonts w:cs="Times New Roman" w:hint="eastAsia"/>
                      <w:color w:val="auto"/>
                      <w:lang w:eastAsia="zh-CN"/>
                      <w:highlight w:val="none"/>
                    </w:rPr>
                    <w:t>。</w:t>
                  </w:r>
                </w:p>
              </w:tc>
              <w:tc>
                <w:tcPr>
                  <w:tcW w:w="1798" w:type="pct"/>
                </w:tcPr>
                <w:p>
                  <w:pPr>
                    <w:adjustRightInd w:val="0"/>
                    <w:snapToGrid w:val="0"/>
                    <w:jc w:val="both"/>
                    <w:rPr>
                      <w:rFonts w:ascii="Times New Roman" w:eastAsia="宋体" w:cs="Times New Roman" w:hAnsi="Times New Roman"/>
                      <w:color w:val="auto"/>
                      <w:highlight w:val="none"/>
                    </w:rPr>
                  </w:pPr>
                  <w:r>
                    <w:rPr>
                      <w:rFonts w:ascii="Times New Roman" w:eastAsia="宋体" w:cs="Times New Roman" w:hAnsi="Times New Roman"/>
                      <w:color w:val="auto"/>
                      <w:highlight w:val="none"/>
                    </w:rPr>
                    <w:t>本项目</w:t>
                  </w:r>
                  <w:r>
                    <w:rPr>
                      <w:rFonts w:cs="Times New Roman" w:hint="eastAsia"/>
                      <w:color w:val="auto"/>
                      <w:lang w:eastAsia="zh-CN"/>
                      <w:highlight w:val="none"/>
                    </w:rPr>
                    <w:t>为废电池中转项目，仅涉及贮存环节，不涉及收集、运输、利用和处置。本项目贮存过程严格按照相应规范进行管理。</w:t>
                  </w:r>
                </w:p>
              </w:tc>
              <w:tc>
                <w:tcPr>
                  <w:tcW w:w="465" w:type="pct"/>
                  <w:vAlign w:val="center"/>
                </w:tcPr>
                <w:p>
                  <w:pPr>
                    <w:adjustRightInd w:val="0"/>
                    <w:snapToGrid w:val="0"/>
                    <w:jc w:val="both"/>
                    <w:rPr>
                      <w:rFonts w:ascii="Times New Roman" w:eastAsia="宋体" w:cs="Times New Roman" w:hAnsi="Times New Roman"/>
                      <w:color w:val="auto"/>
                      <w:highlight w:val="none"/>
                    </w:rPr>
                  </w:pPr>
                  <w:r>
                    <w:rPr>
                      <w:rFonts w:ascii="Times New Roman" w:eastAsia="宋体" w:cs="Times New Roman" w:hAnsi="Times New Roman"/>
                      <w:color w:val="auto"/>
                      <w:highlight w:val="none"/>
                    </w:rPr>
                    <w:t>符合</w:t>
                  </w:r>
                </w:p>
              </w:tc>
            </w:tr>
            <w:tr>
              <w:trPr>
                <w:cantSplit/>
                <w:trHeight w:val="318"/>
                <w:tblHeader/>
              </w:trPr>
              <w:tc>
                <w:tcPr>
                  <w:tcW w:w="510" w:type="pct"/>
                  <w:vAlign w:val="center"/>
                </w:tcPr>
                <w:p>
                  <w:pPr>
                    <w:adjustRightInd w:val="0"/>
                    <w:snapToGrid w:val="0"/>
                    <w:jc w:val="center"/>
                    <w:rPr>
                      <w:rFonts w:ascii="Times New Roman" w:eastAsia="宋体" w:cs="Times New Roman" w:hAnsi="Times New Roman" w:hint="eastAsia"/>
                      <w:color w:val="auto"/>
                      <w:highlight w:val="none"/>
                    </w:rPr>
                  </w:pPr>
                  <w:r>
                    <w:rPr>
                      <w:rFonts w:ascii="Times New Roman" w:eastAsia="宋体" w:cs="Times New Roman" w:hAnsi="Times New Roman" w:hint="eastAsia"/>
                      <w:color w:val="auto"/>
                      <w:highlight w:val="none"/>
                    </w:rPr>
                    <w:t>积极开展废弃电器电子产品及新能源退役设备污染防治</w:t>
                  </w:r>
                </w:p>
              </w:tc>
              <w:tc>
                <w:tcPr>
                  <w:tcW w:w="2225" w:type="pct"/>
                </w:tcPr>
                <w:p>
                  <w:pPr>
                    <w:adjustRightInd w:val="0"/>
                    <w:snapToGrid w:val="0"/>
                    <w:jc w:val="both"/>
                    <w:rPr>
                      <w:rFonts w:ascii="Times New Roman" w:eastAsia="宋体" w:cs="Times New Roman" w:hAnsi="Times New Roman" w:hint="eastAsia"/>
                      <w:color w:val="auto"/>
                      <w:lang w:eastAsia="zh-CN"/>
                      <w:highlight w:val="none"/>
                    </w:rPr>
                  </w:pPr>
                  <w:r>
                    <w:rPr>
                      <w:rFonts w:ascii="Times New Roman" w:eastAsia="宋体" w:cs="Times New Roman" w:hAnsi="Times New Roman"/>
                      <w:color w:val="auto"/>
                      <w:highlight w:val="none"/>
                    </w:rPr>
                    <w:t>（十三）强化新能源退役设备环境管理。制修订废动力电池、风电设备等回收处理污染控制技术规范，强化退役新能源设备产废源头管理。落实动力电池和新能源汽车生产者延伸责任，引导光伏电站、风电站等将退役新能源设备交售至综合利用企业。支持退役新能源设备综合利用技术研发与应用</w:t>
                  </w:r>
                  <w:r>
                    <w:rPr>
                      <w:rFonts w:cs="Times New Roman" w:hint="eastAsia"/>
                      <w:color w:val="auto"/>
                      <w:lang w:eastAsia="zh-CN"/>
                      <w:highlight w:val="none"/>
                    </w:rPr>
                    <w:t>。</w:t>
                  </w:r>
                </w:p>
              </w:tc>
              <w:tc>
                <w:tcPr>
                  <w:tcW w:w="1798" w:type="pct"/>
                </w:tcPr>
                <w:p>
                  <w:pPr>
                    <w:adjustRightInd w:val="0"/>
                    <w:snapToGrid w:val="0"/>
                    <w:jc w:val="both"/>
                    <w:rPr>
                      <w:rFonts w:ascii="Times New Roman" w:eastAsia="宋体" w:cs="Times New Roman" w:hAnsi="Times New Roman" w:hint="eastAsia"/>
                      <w:color w:val="auto"/>
                      <w:lang w:eastAsia="zh-CN"/>
                      <w:highlight w:val="none"/>
                    </w:rPr>
                  </w:pPr>
                  <w:r>
                    <w:rPr>
                      <w:rFonts w:cs="Times New Roman" w:hint="eastAsia"/>
                      <w:color w:val="auto"/>
                      <w:lang w:eastAsia="zh-CN"/>
                      <w:highlight w:val="none"/>
                    </w:rPr>
                    <w:t>本项目废电池主要来源于园区、医院、机关单位等部门退役的废铅蓄电池，随着新能源退役设备的批量产生，本项目废电池来源会更有保障。本项目的建设有助于废电池回收再生利用。</w:t>
                  </w:r>
                </w:p>
              </w:tc>
              <w:tc>
                <w:tcPr>
                  <w:tcW w:w="465" w:type="pct"/>
                  <w:vAlign w:val="center"/>
                </w:tcPr>
                <w:p>
                  <w:pPr>
                    <w:adjustRightInd w:val="0"/>
                    <w:snapToGrid w:val="0"/>
                    <w:jc w:val="both"/>
                    <w:rPr>
                      <w:rFonts w:ascii="Times New Roman" w:eastAsia="宋体" w:cs="Times New Roman" w:hAnsi="Times New Roman"/>
                      <w:color w:val="auto"/>
                      <w:highlight w:val="none"/>
                    </w:rPr>
                  </w:pPr>
                  <w:r>
                    <w:rPr>
                      <w:rFonts w:ascii="Times New Roman" w:eastAsia="宋体" w:cs="Times New Roman" w:hAnsi="Times New Roman"/>
                      <w:color w:val="auto"/>
                      <w:highlight w:val="none"/>
                    </w:rPr>
                    <w:t>符合</w:t>
                  </w:r>
                </w:p>
              </w:tc>
            </w:tr>
            <w:tr>
              <w:trPr>
                <w:cantSplit/>
                <w:trHeight w:val="318"/>
                <w:tblHeader/>
              </w:trPr>
              <w:tc>
                <w:tcPr>
                  <w:tcW w:w="510" w:type="pct"/>
                  <w:vAlign w:val="center"/>
                </w:tcPr>
                <w:p>
                  <w:pPr>
                    <w:adjustRightInd w:val="0"/>
                    <w:snapToGrid w:val="0"/>
                    <w:jc w:val="center"/>
                    <w:rPr>
                      <w:rFonts w:ascii="Times New Roman" w:eastAsia="宋体" w:cs="Times New Roman" w:hAnsi="Times New Roman" w:hint="eastAsia"/>
                      <w:color w:val="auto"/>
                      <w:highlight w:val="none"/>
                    </w:rPr>
                  </w:pPr>
                  <w:r>
                    <w:rPr>
                      <w:rFonts w:ascii="Times New Roman" w:eastAsia="宋体" w:cs="Times New Roman" w:hAnsi="Times New Roman" w:hint="eastAsia"/>
                      <w:color w:val="auto"/>
                      <w:highlight w:val="none"/>
                    </w:rPr>
                    <w:t>系统加强固体废物监测监管能力建设</w:t>
                  </w:r>
                </w:p>
              </w:tc>
              <w:tc>
                <w:tcPr>
                  <w:tcW w:w="2225" w:type="pct"/>
                </w:tcPr>
                <w:p>
                  <w:pPr>
                    <w:adjustRightInd w:val="0"/>
                    <w:snapToGrid w:val="0"/>
                    <w:jc w:val="both"/>
                    <w:rPr>
                      <w:rFonts w:ascii="Times New Roman" w:eastAsia="宋体" w:cs="Times New Roman" w:hAnsi="Times New Roman" w:hint="eastAsia"/>
                      <w:color w:val="auto"/>
                      <w:lang w:eastAsia="zh-CN"/>
                      <w:highlight w:val="none"/>
                    </w:rPr>
                  </w:pPr>
                  <w:r>
                    <w:rPr>
                      <w:rFonts w:ascii="Times New Roman" w:eastAsia="宋体" w:cs="Times New Roman" w:hAnsi="Times New Roman"/>
                      <w:color w:val="auto"/>
                      <w:highlight w:val="none"/>
                    </w:rPr>
                    <w:t>（二十一）强化贮存处置设施污染排放监测。加强固体废物贮存处置设施监督监测和自行监测监管。加快实现工业固体废物排污许可重点管理单位污染物排放自动监测设备联网，有序推进危险废物焚烧和水泥窑协同处置设施“装树联”</w:t>
                  </w:r>
                  <w:r>
                    <w:rPr>
                      <w:rFonts w:cs="Times New Roman" w:hint="eastAsia"/>
                      <w:color w:val="auto"/>
                      <w:lang w:eastAsia="zh-CN"/>
                      <w:highlight w:val="none"/>
                    </w:rPr>
                    <w:t>。</w:t>
                  </w:r>
                </w:p>
              </w:tc>
              <w:tc>
                <w:tcPr>
                  <w:tcW w:w="1798" w:type="pct"/>
                </w:tcPr>
                <w:p>
                  <w:pPr>
                    <w:adjustRightInd w:val="0"/>
                    <w:snapToGrid w:val="0"/>
                    <w:jc w:val="both"/>
                    <w:rPr>
                      <w:rFonts w:ascii="Times New Roman" w:eastAsia="宋体" w:cs="Times New Roman" w:hAnsi="Times New Roman" w:hint="eastAsia"/>
                      <w:color w:val="auto"/>
                      <w:lang w:eastAsia="zh-CN"/>
                      <w:highlight w:val="none"/>
                    </w:rPr>
                  </w:pPr>
                  <w:r>
                    <w:rPr>
                      <w:rFonts w:cs="Times New Roman" w:hint="eastAsia"/>
                      <w:color w:val="auto"/>
                      <w:lang w:eastAsia="zh-CN"/>
                      <w:highlight w:val="none"/>
                    </w:rPr>
                    <w:t>本项目已制定自行监测计划，后续按相关要求进行监测。</w:t>
                  </w:r>
                </w:p>
              </w:tc>
              <w:tc>
                <w:tcPr>
                  <w:tcW w:w="465" w:type="pct"/>
                  <w:vAlign w:val="center"/>
                </w:tcPr>
                <w:p>
                  <w:pPr>
                    <w:adjustRightInd w:val="0"/>
                    <w:snapToGrid w:val="0"/>
                    <w:jc w:val="both"/>
                    <w:rPr>
                      <w:rFonts w:ascii="Times New Roman" w:eastAsia="宋体" w:cs="Times New Roman" w:hAnsi="Times New Roman"/>
                      <w:color w:val="auto"/>
                      <w:highlight w:val="none"/>
                    </w:rPr>
                  </w:pPr>
                  <w:r>
                    <w:rPr>
                      <w:rFonts w:ascii="Times New Roman" w:eastAsia="宋体" w:cs="Times New Roman" w:hAnsi="Times New Roman"/>
                      <w:color w:val="auto"/>
                      <w:highlight w:val="none"/>
                    </w:rPr>
                    <w:t>符合</w:t>
                  </w:r>
                </w:p>
              </w:tc>
            </w:tr>
          </w:tbl>
          <w:p>
            <w:pPr>
              <w:adjustRightInd w:val="0"/>
              <w:snapToGrid w:val="0"/>
              <w:spacing w:line="460" w:lineRule="exact"/>
              <w:ind w:firstLineChars="200" w:firstLine="480"/>
              <w:rPr>
                <w:rFonts w:ascii="Times New Roman" w:eastAsia="宋体" w:cs="Times New Roman" w:hAnsi="Times New Roman" w:hint="eastAsia"/>
                <w:b/>
                <w:color w:val="auto"/>
                <w:sz w:val="24"/>
                <w:lang w:val="en-US" w:eastAsia="zh-CN"/>
                <w:highlight w:val="none"/>
              </w:rPr>
            </w:pPr>
            <w:r>
              <w:rPr>
                <w:rFonts w:cs="Times New Roman" w:hint="eastAsia"/>
                <w:b/>
                <w:color w:val="auto"/>
                <w:sz w:val="24"/>
                <w:lang w:val="en-US" w:eastAsia="zh-CN"/>
                <w:highlight w:val="none"/>
              </w:rPr>
              <w:t>9</w:t>
            </w:r>
            <w:r>
              <w:rPr>
                <w:rFonts w:ascii="Times New Roman" w:eastAsia="宋体" w:cs="Times New Roman" w:hAnsi="Times New Roman" w:hint="eastAsia"/>
                <w:b/>
                <w:color w:val="auto"/>
                <w:sz w:val="24"/>
                <w:lang w:val="en-US" w:eastAsia="zh-CN"/>
                <w:highlight w:val="none"/>
              </w:rPr>
              <w:t>、《河北省生态环境厅办公室关于进一步做好沙区建设项目环境影响评价工作的通知》（冀环办字函[2023]326号）符合性分析</w:t>
            </w:r>
          </w:p>
          <w:p>
            <w:pPr>
              <w:pStyle w:val="69"/>
              <w:spacing w:line="360" w:lineRule="auto"/>
              <w:ind w:left="122" w:firstLine="473"/>
              <w:rPr>
                <w:rFonts w:ascii="Times New Roman" w:eastAsia="宋体" w:cs="Times New Roman" w:hAnsi="Times New Roman" w:hint="eastAsia"/>
                <w:color w:val="auto"/>
                <w:kern w:val="2"/>
                <w:sz w:val="24"/>
                <w:szCs w:val="24"/>
                <w:lang w:val="en-US" w:eastAsia="zh-CN" w:bidi="ar-SA"/>
                <w:highlight w:val="none"/>
              </w:rPr>
            </w:pPr>
            <w:r>
              <w:rPr>
                <w:rFonts w:ascii="Times New Roman" w:eastAsia="宋体" w:cs="Times New Roman" w:hAnsi="Times New Roman" w:hint="eastAsia"/>
                <w:color w:val="auto"/>
                <w:kern w:val="2"/>
                <w:sz w:val="24"/>
                <w:szCs w:val="24"/>
                <w:lang w:val="en-US" w:eastAsia="zh-CN" w:bidi="ar-SA"/>
                <w:highlight w:val="none"/>
              </w:rPr>
              <w:t>本项目位于河北省石家庄市栾城区装备制造基地楼底镇段家营村裕翔街168号103厂房（南）</w:t>
            </w:r>
            <w:r>
              <w:rPr>
                <w:rFonts w:ascii="Times New Roman" w:eastAsia="宋体" w:cs="Times New Roman" w:hAnsi="Times New Roman" w:hint="eastAsia"/>
                <w:color w:val="auto"/>
                <w:kern w:val="2"/>
                <w:sz w:val="24"/>
                <w:szCs w:val="24"/>
                <w:lang w:val="zh-CN" w:eastAsia="zh-CN" w:bidi="ar-SA"/>
                <w:highlight w:val="none"/>
              </w:rPr>
              <w:t>，</w:t>
            </w:r>
            <w:r>
              <w:rPr>
                <w:rFonts w:ascii="Times New Roman" w:eastAsia="宋体" w:cs="Times New Roman" w:hAnsi="Times New Roman" w:hint="eastAsia"/>
                <w:color w:val="auto"/>
                <w:kern w:val="2"/>
                <w:sz w:val="24"/>
                <w:szCs w:val="24"/>
                <w:lang w:val="en-US" w:eastAsia="zh-CN" w:bidi="ar-SA"/>
                <w:highlight w:val="none"/>
              </w:rPr>
              <w:t>不属于沙区范围，本项目所在厂区周围无明显沙化现象，同时采取厂区地面硬化等措施，也间接起到了抑尘、降噪的效果，因此，项目建设符合《河北省生态环境厅办公室关于进一步做好沙区建设项目环境影响评价工作的通知》（冀环办字函[2023]326号）相关要求。</w:t>
            </w:r>
          </w:p>
          <w:p>
            <w:pPr>
              <w:adjustRightInd w:val="0"/>
              <w:snapToGrid w:val="0"/>
              <w:spacing w:line="460" w:lineRule="exact"/>
              <w:ind w:firstLineChars="200" w:firstLine="480"/>
              <w:rPr>
                <w:rFonts w:ascii="Times New Roman" w:cs="Times New Roman" w:hAnsi="Times New Roman"/>
                <w:b/>
                <w:color w:val="auto"/>
                <w:sz w:val="24"/>
                <w:highlight w:val="none"/>
              </w:rPr>
            </w:pPr>
            <w:r>
              <w:rPr>
                <w:rFonts w:cs="Times New Roman" w:hint="eastAsia"/>
                <w:b/>
                <w:color w:val="auto"/>
                <w:sz w:val="24"/>
                <w:lang w:val="en-US" w:eastAsia="zh-CN"/>
                <w:highlight w:val="none"/>
              </w:rPr>
              <w:t>10</w:t>
            </w:r>
            <w:r>
              <w:rPr>
                <w:rFonts w:ascii="Times New Roman" w:cs="Times New Roman" w:hAnsi="Times New Roman"/>
                <w:b/>
                <w:color w:val="auto"/>
                <w:sz w:val="24"/>
                <w:highlight w:val="none"/>
              </w:rPr>
              <w:t>、与其他环境管理政策符合性分析</w:t>
            </w:r>
          </w:p>
          <w:p>
            <w:pPr>
              <w:pStyle w:val="69"/>
              <w:spacing w:line="360" w:lineRule="auto"/>
              <w:ind w:left="122" w:firstLine="473"/>
              <w:rPr>
                <w:rFonts w:ascii="Times New Roman" w:eastAsia="宋体" w:cs="Times New Roman" w:hAnsi="Times New Roman"/>
                <w:color w:val="auto"/>
                <w:kern w:val="2"/>
                <w:sz w:val="24"/>
                <w:szCs w:val="24"/>
                <w:lang w:val="en-US" w:eastAsia="zh-CN" w:bidi="ar-SA"/>
                <w:highlight w:val="none"/>
              </w:rPr>
            </w:pPr>
            <w:r>
              <w:rPr>
                <w:rFonts w:ascii="Times New Roman" w:eastAsia="宋体" w:cs="Times New Roman" w:hAnsi="Times New Roman" w:hint="eastAsia"/>
                <w:color w:val="auto"/>
                <w:kern w:val="2"/>
                <w:sz w:val="24"/>
                <w:szCs w:val="24"/>
                <w:lang w:val="en-US" w:eastAsia="zh-CN" w:bidi="ar-SA"/>
                <w:highlight w:val="none"/>
              </w:rPr>
              <w:t>（</w:t>
            </w:r>
            <w:r>
              <w:rPr>
                <w:rFonts w:ascii="Times New Roman" w:cs="Times New Roman" w:hAnsi="Times New Roman" w:hint="eastAsia"/>
                <w:color w:val="auto"/>
                <w:kern w:val="2"/>
                <w:sz w:val="24"/>
                <w:szCs w:val="24"/>
                <w:lang w:val="en-US" w:eastAsia="zh-CN" w:bidi="ar-SA"/>
                <w:highlight w:val="none"/>
              </w:rPr>
              <w:t>1</w:t>
            </w:r>
            <w:r>
              <w:rPr>
                <w:rFonts w:ascii="Times New Roman" w:eastAsia="宋体" w:cs="Times New Roman" w:hAnsi="Times New Roman" w:hint="eastAsia"/>
                <w:color w:val="auto"/>
                <w:kern w:val="2"/>
                <w:sz w:val="24"/>
                <w:szCs w:val="24"/>
                <w:lang w:val="en-US" w:eastAsia="zh-CN" w:bidi="ar-SA"/>
                <w:highlight w:val="none"/>
              </w:rPr>
              <w:t>）与《危险废物贮存污染控制标准》（GB 18597-2023）的符合性分析</w:t>
            </w:r>
          </w:p>
          <w:p>
            <w:pPr>
              <w:ind w:firstLineChars="200" w:firstLine="480"/>
              <w:jc w:val="center"/>
              <w:rPr>
                <w:rFonts w:ascii="Times New Roman" w:eastAsia="宋体" w:cs="Times New Roman" w:hAnsi="Times New Roman" w:hint="eastAsia"/>
                <w:b/>
                <w:bCs/>
                <w:color w:val="auto"/>
                <w:sz w:val="24"/>
                <w:highlight w:val="none"/>
              </w:rPr>
            </w:pPr>
            <w:r>
              <w:rPr>
                <w:rFonts w:ascii="Times New Roman" w:eastAsia="宋体" w:cs="Times New Roman" w:hAnsi="Times New Roman" w:hint="eastAsia"/>
                <w:b/>
                <w:bCs/>
                <w:color w:val="auto"/>
                <w:sz w:val="24"/>
                <w:highlight w:val="none"/>
              </w:rPr>
              <w:t>表1-1</w:t>
            </w:r>
            <w:r>
              <w:rPr>
                <w:rFonts w:cs="Times New Roman" w:hint="eastAsia"/>
                <w:b/>
                <w:bCs/>
                <w:color w:val="auto"/>
                <w:sz w:val="24"/>
                <w:lang w:val="en-US" w:eastAsia="zh-CN"/>
                <w:highlight w:val="none"/>
              </w:rPr>
              <w:t>4</w:t>
            </w:r>
            <w:r>
              <w:rPr>
                <w:rFonts w:ascii="Times New Roman" w:eastAsia="宋体" w:cs="Times New Roman" w:hAnsi="Times New Roman" w:hint="eastAsia"/>
                <w:b/>
                <w:bCs/>
                <w:color w:val="auto"/>
                <w:sz w:val="24"/>
                <w:highlight w:val="none"/>
              </w:rPr>
              <w:t xml:space="preserve">  与《危险废物贮存污染控制标准》（GB 18597-2023）</w:t>
            </w:r>
          </w:p>
          <w:p>
            <w:pPr>
              <w:ind w:firstLineChars="200" w:firstLine="480"/>
              <w:jc w:val="center"/>
              <w:rPr>
                <w:rFonts w:ascii="Times New Roman" w:eastAsia="宋体" w:cs="Times New Roman" w:hAnsi="Times New Roman" w:hint="eastAsia"/>
                <w:b/>
                <w:bCs/>
                <w:color w:val="auto"/>
                <w:sz w:val="24"/>
                <w:highlight w:val="none"/>
              </w:rPr>
            </w:pPr>
            <w:r>
              <w:rPr>
                <w:rFonts w:ascii="Times New Roman" w:eastAsia="宋体" w:cs="Times New Roman" w:hAnsi="Times New Roman" w:hint="eastAsia"/>
                <w:b/>
                <w:bCs/>
                <w:color w:val="auto"/>
                <w:sz w:val="24"/>
                <w:highlight w:val="none"/>
              </w:rPr>
              <w:t>符合性分析一览表</w:t>
            </w:r>
          </w:p>
          <w:tbl>
            <w:tblPr>
              <w:jc w:val="center"/>
              <w:tblW w:w="4998" w:type="pct"/>
              <w:tblBorders>
                <w:top w:val="single" w:sz="12" w:space="0" w:color="auto"/>
                <w:left w:val="none" w:sz="0" w:space="0" w:color="auto"/>
                <w:bottom w:val="single" w:sz="12" w:space="0" w:color="auto"/>
                <w:right w:val="none" w:sz="0" w:space="0" w:color="auto"/>
                <w:insideH w:val="single" w:sz="4" w:space="0" w:color="auto"/>
                <w:insideV w:val="single" w:sz="4" w:space="0" w:color="auto"/>
              </w:tblBorders>
              <w:tblCellMar>
                <w:top w:w="0" w:type="dxa"/>
                <w:left w:w="108" w:type="dxa"/>
                <w:bottom w:w="0" w:type="dxa"/>
                <w:right w:w="108" w:type="dxa"/>
              </w:tblCellMar>
              <w:tblLook w:val="0600" w:firstRow="0" w:lastRow="0" w:firstColumn="0" w:lastColumn="0" w:noHBand="1" w:noVBand="1"/>
            </w:tblPr>
            <w:tblGrid>
              <w:gridCol w:w="775"/>
              <w:gridCol w:w="3382"/>
              <w:gridCol w:w="2733"/>
              <w:gridCol w:w="707"/>
            </w:tblGrid>
            <w:tr>
              <w:trPr>
                <w:cantSplit/>
                <w:trHeight w:val="318"/>
                <w:tblHeader/>
              </w:trPr>
              <w:tc>
                <w:tcPr>
                  <w:tcW w:w="510" w:type="pct"/>
                  <w:vAlign w:val="center"/>
                </w:tcPr>
                <w:p>
                  <w:pPr>
                    <w:snapToGrid w:val="0"/>
                    <w:jc w:val="center"/>
                    <w:rPr>
                      <w:rFonts w:hint="eastAsia"/>
                      <w:b/>
                      <w:color w:val="auto"/>
                      <w:szCs w:val="21"/>
                    </w:rPr>
                  </w:pPr>
                  <w:r>
                    <w:rPr>
                      <w:rFonts w:hint="eastAsia"/>
                      <w:b/>
                      <w:color w:val="auto"/>
                      <w:szCs w:val="21"/>
                    </w:rPr>
                    <w:t>项目</w:t>
                  </w:r>
                </w:p>
              </w:tc>
              <w:tc>
                <w:tcPr>
                  <w:tcW w:w="2225" w:type="pct"/>
                  <w:vAlign w:val="center"/>
                </w:tcPr>
                <w:p>
                  <w:pPr>
                    <w:snapToGrid w:val="0"/>
                    <w:jc w:val="center"/>
                    <w:rPr>
                      <w:rFonts w:hint="eastAsia"/>
                      <w:b/>
                      <w:color w:val="auto"/>
                      <w:szCs w:val="21"/>
                    </w:rPr>
                  </w:pPr>
                  <w:r>
                    <w:rPr>
                      <w:rFonts w:hint="eastAsia"/>
                      <w:b/>
                      <w:color w:val="auto"/>
                      <w:szCs w:val="21"/>
                    </w:rPr>
                    <w:t>规范要求</w:t>
                  </w:r>
                </w:p>
              </w:tc>
              <w:tc>
                <w:tcPr>
                  <w:tcW w:w="1798" w:type="pct"/>
                  <w:vAlign w:val="center"/>
                </w:tcPr>
                <w:p>
                  <w:pPr>
                    <w:snapToGrid w:val="0"/>
                    <w:jc w:val="center"/>
                    <w:rPr>
                      <w:rFonts w:hint="eastAsia"/>
                      <w:b/>
                      <w:color w:val="auto"/>
                      <w:szCs w:val="21"/>
                    </w:rPr>
                  </w:pPr>
                  <w:r>
                    <w:rPr>
                      <w:rFonts w:hint="eastAsia"/>
                      <w:b/>
                      <w:color w:val="auto"/>
                      <w:szCs w:val="21"/>
                    </w:rPr>
                    <w:t>项目建设条件</w:t>
                  </w:r>
                </w:p>
              </w:tc>
              <w:tc>
                <w:tcPr>
                  <w:tcW w:w="465" w:type="pct"/>
                  <w:vAlign w:val="center"/>
                </w:tcPr>
                <w:p>
                  <w:pPr>
                    <w:snapToGrid w:val="0"/>
                    <w:jc w:val="center"/>
                    <w:rPr>
                      <w:rFonts w:hint="eastAsia"/>
                      <w:b/>
                      <w:color w:val="auto"/>
                      <w:szCs w:val="21"/>
                    </w:rPr>
                  </w:pPr>
                  <w:r>
                    <w:rPr>
                      <w:rFonts w:hint="eastAsia"/>
                      <w:b/>
                      <w:color w:val="auto"/>
                      <w:szCs w:val="21"/>
                    </w:rPr>
                    <w:t>相符性</w:t>
                  </w:r>
                </w:p>
              </w:tc>
            </w:tr>
            <w:tr>
              <w:trPr>
                <w:cantSplit/>
                <w:trHeight w:val="318"/>
                <w:tblHeader/>
              </w:trPr>
              <w:tc>
                <w:tcPr>
                  <w:tcW w:w="510" w:type="pct"/>
                  <w:vMerge w:val="restart"/>
                  <w:vAlign w:val="center"/>
                </w:tcPr>
                <w:p>
                  <w:pPr>
                    <w:adjustRightInd w:val="0"/>
                    <w:snapToGrid w:val="0"/>
                    <w:jc w:val="center"/>
                    <w:rPr>
                      <w:rFonts w:ascii="Times New Roman" w:eastAsia="宋体" w:cs="Times New Roman" w:hAnsi="Times New Roman" w:hint="eastAsia"/>
                      <w:color w:val="auto"/>
                      <w:highlight w:val="none"/>
                    </w:rPr>
                  </w:pPr>
                  <w:r>
                    <w:rPr>
                      <w:rFonts w:cs="Times New Roman" w:hint="eastAsia"/>
                      <w:color w:val="auto"/>
                      <w:lang w:eastAsia="zh-CN"/>
                      <w:highlight w:val="none"/>
                    </w:rPr>
                    <w:t>总体</w:t>
                  </w:r>
                  <w:r>
                    <w:rPr>
                      <w:rFonts w:ascii="Times New Roman" w:eastAsia="宋体" w:cs="Times New Roman" w:hAnsi="Times New Roman"/>
                      <w:color w:val="auto"/>
                      <w:highlight w:val="none"/>
                    </w:rPr>
                    <w:t>要求</w:t>
                  </w:r>
                </w:p>
              </w:tc>
              <w:tc>
                <w:tcPr>
                  <w:tcW w:w="2225" w:type="pct"/>
                </w:tcPr>
                <w:p>
                  <w:pPr>
                    <w:adjustRightInd w:val="0"/>
                    <w:snapToGrid w:val="0"/>
                    <w:jc w:val="both"/>
                    <w:rPr>
                      <w:rFonts w:ascii="Times New Roman" w:eastAsia="宋体" w:cs="Times New Roman" w:hAnsi="Times New Roman"/>
                      <w:color w:val="auto"/>
                      <w:highlight w:val="none"/>
                    </w:rPr>
                  </w:pPr>
                  <w:r>
                    <w:rPr>
                      <w:rFonts w:ascii="Times New Roman" w:eastAsia="宋体" w:cs="Times New Roman" w:hAnsi="Times New Roman"/>
                      <w:color w:val="auto"/>
                      <w:highlight w:val="none"/>
                    </w:rPr>
                    <w:t>4.1 产生、收集、贮存、利用、处置危险废物的单位应建造危险废物贮存设施或设置贮存场所，并根据需要选择贮存设施类型。</w:t>
                  </w:r>
                </w:p>
                <w:p>
                  <w:pPr>
                    <w:adjustRightInd w:val="0"/>
                    <w:snapToGrid w:val="0"/>
                    <w:jc w:val="both"/>
                    <w:rPr>
                      <w:rFonts w:ascii="Times New Roman" w:eastAsia="宋体" w:cs="Times New Roman" w:hAnsi="Times New Roman" w:hint="eastAsia"/>
                      <w:color w:val="auto"/>
                      <w:highlight w:val="none"/>
                    </w:rPr>
                  </w:pPr>
                  <w:r>
                    <w:rPr>
                      <w:rFonts w:ascii="Times New Roman" w:eastAsia="宋体" w:cs="Times New Roman" w:hAnsi="Times New Roman"/>
                      <w:color w:val="auto"/>
                      <w:highlight w:val="none"/>
                    </w:rPr>
                    <w:t>4.2 贮存危险废物应根据危险废物的类别、数量、形态、物理化学性质和环境风险等因素，确定贮存设施或场所类型和规模。</w:t>
                  </w:r>
                </w:p>
              </w:tc>
              <w:tc>
                <w:tcPr>
                  <w:tcW w:w="1798" w:type="pct"/>
                </w:tcPr>
                <w:p>
                  <w:pPr>
                    <w:adjustRightInd w:val="0"/>
                    <w:snapToGrid w:val="0"/>
                    <w:jc w:val="both"/>
                    <w:rPr>
                      <w:rFonts w:ascii="Times New Roman" w:eastAsia="宋体" w:cs="Times New Roman" w:hAnsi="Times New Roman" w:hint="eastAsia"/>
                      <w:color w:val="auto"/>
                      <w:highlight w:val="none"/>
                    </w:rPr>
                  </w:pPr>
                  <w:r>
                    <w:rPr>
                      <w:rFonts w:ascii="Times New Roman" w:eastAsia="宋体" w:cs="Times New Roman" w:hAnsi="Times New Roman"/>
                      <w:color w:val="auto"/>
                      <w:highlight w:val="none"/>
                    </w:rPr>
                    <w:t>本项目</w:t>
                  </w:r>
                  <w:r>
                    <w:rPr>
                      <w:rFonts w:cs="Times New Roman" w:hint="eastAsia"/>
                      <w:color w:val="auto"/>
                      <w:lang w:eastAsia="zh-CN"/>
                      <w:highlight w:val="none"/>
                    </w:rPr>
                    <w:t>为废电池中转项目，主要存储废铅蓄电池，废铅蓄电池属于危险废物，本项目租赁现有仓库改造为符合要求的贮存场所</w:t>
                  </w:r>
                  <w:r>
                    <w:rPr>
                      <w:rFonts w:ascii="Times New Roman" w:eastAsia="宋体" w:cs="Times New Roman" w:hAnsi="Times New Roman"/>
                      <w:color w:val="auto"/>
                      <w:highlight w:val="none"/>
                    </w:rPr>
                    <w:t>。</w:t>
                  </w:r>
                </w:p>
              </w:tc>
              <w:tc>
                <w:tcPr>
                  <w:tcW w:w="465" w:type="pct"/>
                  <w:vAlign w:val="center"/>
                </w:tcPr>
                <w:p>
                  <w:pPr>
                    <w:adjustRightInd w:val="0"/>
                    <w:snapToGrid w:val="0"/>
                    <w:jc w:val="both"/>
                    <w:rPr>
                      <w:rFonts w:ascii="Times New Roman" w:eastAsia="宋体" w:cs="Times New Roman" w:hAnsi="Times New Roman" w:hint="eastAsia"/>
                      <w:color w:val="auto"/>
                      <w:highlight w:val="none"/>
                    </w:rPr>
                  </w:pPr>
                  <w:r>
                    <w:rPr>
                      <w:rFonts w:ascii="Times New Roman" w:eastAsia="宋体" w:cs="Times New Roman" w:hAnsi="Times New Roman"/>
                      <w:color w:val="auto"/>
                      <w:highlight w:val="none"/>
                    </w:rPr>
                    <w:t>符合</w:t>
                  </w:r>
                </w:p>
              </w:tc>
            </w:tr>
            <w:tr>
              <w:trPr>
                <w:cantSplit/>
                <w:trHeight w:val="318"/>
                <w:tblHeader/>
              </w:trPr>
              <w:tc>
                <w:tcPr>
                  <w:tcW w:w="510" w:type="pct"/>
                  <w:vMerge/>
                  <w:vAlign w:val="center"/>
                </w:tcPr>
                <w:p/>
              </w:tc>
              <w:tc>
                <w:tcPr>
                  <w:tcW w:w="2225" w:type="pct"/>
                </w:tcPr>
                <w:p>
                  <w:pPr>
                    <w:adjustRightInd w:val="0"/>
                    <w:snapToGrid w:val="0"/>
                    <w:jc w:val="both"/>
                    <w:rPr>
                      <w:rFonts w:ascii="Times New Roman" w:eastAsia="宋体" w:cs="Times New Roman" w:hAnsi="Times New Roman"/>
                      <w:color w:val="auto"/>
                      <w:highlight w:val="none"/>
                    </w:rPr>
                  </w:pPr>
                  <w:r>
                    <w:rPr>
                      <w:rFonts w:ascii="Times New Roman" w:eastAsia="宋体" w:cs="Times New Roman" w:hAnsi="Times New Roman"/>
                      <w:color w:val="auto"/>
                      <w:highlight w:val="none"/>
                    </w:rPr>
                    <w:t>4.3 贮存危险废物应根据危险废物的类别、形态、物理化学性质和污染防治要求进行分类贮存，且应避免危险废物与不相容的物质或材料接触。</w:t>
                  </w:r>
                </w:p>
              </w:tc>
              <w:tc>
                <w:tcPr>
                  <w:tcW w:w="1798" w:type="pct"/>
                </w:tcPr>
                <w:p>
                  <w:pPr>
                    <w:adjustRightInd w:val="0"/>
                    <w:snapToGrid w:val="0"/>
                    <w:jc w:val="both"/>
                    <w:rPr>
                      <w:rFonts w:ascii="Times New Roman" w:eastAsia="宋体" w:cs="Times New Roman" w:hAnsi="Times New Roman"/>
                      <w:color w:val="auto"/>
                      <w:highlight w:val="none"/>
                    </w:rPr>
                  </w:pPr>
                  <w:r>
                    <w:rPr>
                      <w:rFonts w:cs="Times New Roman" w:hint="eastAsia"/>
                      <w:color w:val="auto"/>
                      <w:lang w:eastAsia="zh-CN"/>
                      <w:highlight w:val="none"/>
                    </w:rPr>
                    <w:t>本项目主要贮存废铅蓄电池，库房分为完整电池贮存区和破损电池贮存区</w:t>
                  </w:r>
                  <w:r>
                    <w:rPr>
                      <w:rFonts w:ascii="Times New Roman" w:eastAsia="宋体" w:cs="Times New Roman" w:hAnsi="Times New Roman"/>
                      <w:color w:val="auto"/>
                      <w:highlight w:val="none"/>
                    </w:rPr>
                    <w:t>。</w:t>
                  </w:r>
                </w:p>
              </w:tc>
              <w:tc>
                <w:tcPr>
                  <w:tcW w:w="465" w:type="pct"/>
                  <w:vAlign w:val="center"/>
                </w:tcPr>
                <w:p>
                  <w:pPr>
                    <w:adjustRightInd w:val="0"/>
                    <w:snapToGrid w:val="0"/>
                    <w:jc w:val="both"/>
                    <w:rPr>
                      <w:rFonts w:ascii="Times New Roman" w:eastAsia="宋体" w:cs="Times New Roman" w:hAnsi="Times New Roman"/>
                      <w:color w:val="auto"/>
                      <w:highlight w:val="none"/>
                    </w:rPr>
                  </w:pPr>
                  <w:r>
                    <w:rPr>
                      <w:rFonts w:ascii="Times New Roman" w:eastAsia="宋体" w:cs="Times New Roman" w:hAnsi="Times New Roman"/>
                      <w:color w:val="auto"/>
                      <w:highlight w:val="none"/>
                    </w:rPr>
                    <w:t>符合</w:t>
                  </w:r>
                </w:p>
              </w:tc>
            </w:tr>
            <w:tr>
              <w:trPr>
                <w:cantSplit/>
                <w:trHeight w:val="318"/>
                <w:tblHeader/>
              </w:trPr>
              <w:tc>
                <w:tcPr>
                  <w:tcW w:w="510" w:type="pct"/>
                  <w:vMerge/>
                  <w:vAlign w:val="center"/>
                </w:tcPr>
                <w:p/>
              </w:tc>
              <w:tc>
                <w:tcPr>
                  <w:tcW w:w="2225" w:type="pct"/>
                </w:tcPr>
                <w:p>
                  <w:pPr>
                    <w:adjustRightInd w:val="0"/>
                    <w:snapToGrid w:val="0"/>
                    <w:jc w:val="both"/>
                    <w:rPr>
                      <w:rFonts w:ascii="Times New Roman" w:eastAsia="宋体" w:cs="Times New Roman" w:hAnsi="Times New Roman"/>
                      <w:color w:val="auto"/>
                      <w:highlight w:val="none"/>
                    </w:rPr>
                  </w:pPr>
                  <w:r>
                    <w:rPr>
                      <w:rFonts w:ascii="Times New Roman" w:eastAsia="宋体" w:cs="Times New Roman" w:hAnsi="Times New Roman"/>
                      <w:color w:val="auto"/>
                      <w:highlight w:val="none"/>
                    </w:rPr>
                    <w:t>4.4 贮存危险废物应根据危险废物的形态、物理化学性质、包装形式和污染物迁移途径，采取措施减少渗滤液及其衍生废物、渗漏的液态废物（简称渗漏液）、粉尘、VOCs、酸雾、有毒有害大气污染物和刺激性气味气体等污染物的产生，防止其污染环境。</w:t>
                  </w:r>
                </w:p>
              </w:tc>
              <w:tc>
                <w:tcPr>
                  <w:tcW w:w="1798" w:type="pct"/>
                </w:tcPr>
                <w:p>
                  <w:pPr>
                    <w:adjustRightInd w:val="0"/>
                    <w:snapToGrid w:val="0"/>
                    <w:jc w:val="both"/>
                    <w:rPr>
                      <w:rFonts w:ascii="Times New Roman" w:eastAsia="宋体" w:cs="Times New Roman" w:hAnsi="Times New Roman"/>
                      <w:color w:val="auto"/>
                      <w:highlight w:val="none"/>
                    </w:rPr>
                  </w:pPr>
                  <w:r>
                    <w:rPr>
                      <w:rFonts w:ascii="Times New Roman" w:eastAsia="宋体" w:cs="Times New Roman" w:hAnsi="Times New Roman"/>
                      <w:color w:val="auto"/>
                      <w:highlight w:val="none"/>
                    </w:rPr>
                    <w:t>本项目</w:t>
                  </w:r>
                  <w:r>
                    <w:rPr>
                      <w:rFonts w:cs="Times New Roman" w:hint="eastAsia"/>
                      <w:color w:val="auto"/>
                      <w:lang w:eastAsia="zh-CN"/>
                      <w:highlight w:val="none"/>
                    </w:rPr>
                    <w:t>采取了防渗措施和废电解液的导流收集措施，以及碱喷淋废气处理措施</w:t>
                  </w:r>
                  <w:r>
                    <w:rPr>
                      <w:rFonts w:ascii="Times New Roman" w:eastAsia="宋体" w:cs="Times New Roman" w:hAnsi="Times New Roman"/>
                      <w:color w:val="auto"/>
                      <w:highlight w:val="none"/>
                    </w:rPr>
                    <w:t>。</w:t>
                  </w:r>
                </w:p>
              </w:tc>
              <w:tc>
                <w:tcPr>
                  <w:tcW w:w="465" w:type="pct"/>
                  <w:vAlign w:val="center"/>
                </w:tcPr>
                <w:p>
                  <w:pPr>
                    <w:adjustRightInd w:val="0"/>
                    <w:snapToGrid w:val="0"/>
                    <w:jc w:val="both"/>
                    <w:rPr>
                      <w:rFonts w:ascii="Times New Roman" w:eastAsia="宋体" w:cs="Times New Roman" w:hAnsi="Times New Roman"/>
                      <w:color w:val="auto"/>
                      <w:highlight w:val="none"/>
                    </w:rPr>
                  </w:pPr>
                  <w:r>
                    <w:rPr>
                      <w:rFonts w:ascii="Times New Roman" w:eastAsia="宋体" w:cs="Times New Roman" w:hAnsi="Times New Roman"/>
                      <w:color w:val="auto"/>
                      <w:highlight w:val="none"/>
                    </w:rPr>
                    <w:t>符合</w:t>
                  </w:r>
                </w:p>
              </w:tc>
            </w:tr>
            <w:tr>
              <w:trPr>
                <w:cantSplit/>
                <w:trHeight w:val="318"/>
                <w:tblHeader/>
              </w:trPr>
              <w:tc>
                <w:tcPr>
                  <w:tcW w:w="510" w:type="pct"/>
                  <w:vMerge/>
                  <w:vAlign w:val="center"/>
                </w:tcPr>
                <w:p/>
              </w:tc>
              <w:tc>
                <w:tcPr>
                  <w:tcW w:w="2225" w:type="pct"/>
                </w:tcPr>
                <w:p>
                  <w:pPr>
                    <w:adjustRightInd w:val="0"/>
                    <w:snapToGrid w:val="0"/>
                    <w:jc w:val="both"/>
                    <w:rPr>
                      <w:rFonts w:ascii="Times New Roman" w:eastAsia="宋体" w:cs="Times New Roman" w:hAnsi="Times New Roman" w:hint="eastAsia"/>
                      <w:color w:val="auto"/>
                      <w:lang w:eastAsia="zh-CN"/>
                      <w:highlight w:val="none"/>
                    </w:rPr>
                  </w:pPr>
                  <w:r>
                    <w:rPr>
                      <w:rFonts w:cs="Times New Roman" w:hint="eastAsia"/>
                      <w:color w:val="auto"/>
                      <w:lang w:eastAsia="zh-CN"/>
                      <w:highlight w:val="none"/>
                    </w:rPr>
                    <w:t>4.5 危险废物贮存过程产生的液态废物和固态废物应分类收集，按其环境管理要求妥善处理。</w:t>
                  </w:r>
                </w:p>
              </w:tc>
              <w:tc>
                <w:tcPr>
                  <w:tcW w:w="1798" w:type="pct"/>
                </w:tcPr>
                <w:p>
                  <w:pPr>
                    <w:adjustRightInd w:val="0"/>
                    <w:snapToGrid w:val="0"/>
                    <w:jc w:val="both"/>
                    <w:rPr>
                      <w:rFonts w:ascii="Times New Roman" w:eastAsia="宋体" w:cs="Times New Roman" w:hAnsi="Times New Roman" w:hint="eastAsia"/>
                      <w:color w:val="auto"/>
                      <w:lang w:eastAsia="zh-CN"/>
                      <w:highlight w:val="none"/>
                    </w:rPr>
                  </w:pPr>
                  <w:r>
                    <w:rPr>
                      <w:rFonts w:cs="Times New Roman" w:hint="eastAsia"/>
                      <w:color w:val="auto"/>
                      <w:lang w:eastAsia="zh-CN"/>
                      <w:highlight w:val="none"/>
                    </w:rPr>
                    <w:t>废电池贮存过程中产生的废电解液单独收集贮存。</w:t>
                  </w:r>
                </w:p>
              </w:tc>
              <w:tc>
                <w:tcPr>
                  <w:tcW w:w="465" w:type="pct"/>
                  <w:vAlign w:val="center"/>
                </w:tcPr>
                <w:p>
                  <w:pPr>
                    <w:adjustRightInd w:val="0"/>
                    <w:snapToGrid w:val="0"/>
                    <w:jc w:val="both"/>
                    <w:rPr>
                      <w:rFonts w:ascii="Times New Roman" w:eastAsia="宋体" w:cs="Times New Roman" w:hAnsi="Times New Roman"/>
                      <w:color w:val="auto"/>
                      <w:highlight w:val="none"/>
                    </w:rPr>
                  </w:pPr>
                  <w:r>
                    <w:rPr>
                      <w:rFonts w:ascii="Times New Roman" w:eastAsia="宋体" w:cs="Times New Roman" w:hAnsi="Times New Roman"/>
                      <w:color w:val="auto"/>
                      <w:highlight w:val="none"/>
                    </w:rPr>
                    <w:t>符合</w:t>
                  </w:r>
                </w:p>
              </w:tc>
            </w:tr>
            <w:tr>
              <w:trPr>
                <w:cantSplit/>
                <w:trHeight w:val="318"/>
                <w:tblHeader/>
              </w:trPr>
              <w:tc>
                <w:tcPr>
                  <w:tcW w:w="510" w:type="pct"/>
                  <w:vMerge/>
                  <w:vAlign w:val="center"/>
                </w:tcPr>
                <w:p/>
              </w:tc>
              <w:tc>
                <w:tcPr>
                  <w:tcW w:w="2225" w:type="pct"/>
                </w:tcPr>
                <w:p>
                  <w:pPr>
                    <w:adjustRightInd w:val="0"/>
                    <w:snapToGrid w:val="0"/>
                    <w:jc w:val="both"/>
                    <w:rPr>
                      <w:rFonts w:ascii="Times New Roman" w:eastAsia="宋体" w:cs="Times New Roman" w:hAnsi="Times New Roman" w:hint="eastAsia"/>
                      <w:color w:val="auto"/>
                      <w:lang w:eastAsia="zh-CN"/>
                      <w:highlight w:val="none"/>
                    </w:rPr>
                  </w:pPr>
                  <w:r>
                    <w:rPr>
                      <w:rFonts w:cs="Times New Roman" w:hint="eastAsia"/>
                      <w:color w:val="auto"/>
                      <w:lang w:eastAsia="zh-CN"/>
                      <w:highlight w:val="none"/>
                    </w:rPr>
                    <w:t>4.6 贮存设施或场所、容器和包装物应按 HJ 1276 要求设置危险废物贮存设施或场所标志、危险废物贮存分区标志和危险废物标签等危险废物识别标志。</w:t>
                  </w:r>
                </w:p>
              </w:tc>
              <w:tc>
                <w:tcPr>
                  <w:tcW w:w="1798" w:type="pct"/>
                </w:tcPr>
                <w:p>
                  <w:pPr>
                    <w:adjustRightInd w:val="0"/>
                    <w:snapToGrid w:val="0"/>
                    <w:jc w:val="both"/>
                    <w:rPr>
                      <w:rFonts w:ascii="Times New Roman" w:eastAsia="宋体" w:cs="Times New Roman" w:hAnsi="Times New Roman" w:hint="eastAsia"/>
                      <w:color w:val="auto"/>
                      <w:lang w:eastAsia="zh-CN"/>
                      <w:highlight w:val="none"/>
                    </w:rPr>
                  </w:pPr>
                  <w:r>
                    <w:rPr>
                      <w:rFonts w:cs="Times New Roman" w:hint="eastAsia"/>
                      <w:color w:val="auto"/>
                      <w:lang w:eastAsia="zh-CN"/>
                      <w:highlight w:val="none"/>
                    </w:rPr>
                    <w:t>本项目场所、容器和包装物按要求设置危险废物贮存场所标志、危险废物贮存分区标志和危险废物标签等危险废物识别标志。</w:t>
                  </w:r>
                </w:p>
              </w:tc>
              <w:tc>
                <w:tcPr>
                  <w:tcW w:w="465" w:type="pct"/>
                  <w:vAlign w:val="center"/>
                </w:tcPr>
                <w:p>
                  <w:pPr>
                    <w:adjustRightInd w:val="0"/>
                    <w:snapToGrid w:val="0"/>
                    <w:jc w:val="both"/>
                    <w:rPr>
                      <w:rFonts w:ascii="Times New Roman" w:eastAsia="宋体" w:cs="Times New Roman" w:hAnsi="Times New Roman"/>
                      <w:color w:val="auto"/>
                      <w:highlight w:val="none"/>
                    </w:rPr>
                  </w:pPr>
                  <w:r>
                    <w:rPr>
                      <w:rFonts w:ascii="Times New Roman" w:eastAsia="宋体" w:cs="Times New Roman" w:hAnsi="Times New Roman"/>
                      <w:color w:val="auto"/>
                      <w:highlight w:val="none"/>
                    </w:rPr>
                    <w:t>符合</w:t>
                  </w:r>
                </w:p>
              </w:tc>
            </w:tr>
            <w:tr>
              <w:trPr>
                <w:cantSplit/>
                <w:trHeight w:val="318"/>
                <w:tblHeader/>
              </w:trPr>
              <w:tc>
                <w:tcPr>
                  <w:tcW w:w="510" w:type="pct"/>
                  <w:vMerge/>
                  <w:vAlign w:val="center"/>
                </w:tcPr>
                <w:p/>
              </w:tc>
              <w:tc>
                <w:tcPr>
                  <w:tcW w:w="2225" w:type="pct"/>
                </w:tcPr>
                <w:p>
                  <w:pPr>
                    <w:adjustRightInd w:val="0"/>
                    <w:snapToGrid w:val="0"/>
                    <w:jc w:val="both"/>
                    <w:rPr>
                      <w:rFonts w:ascii="Times New Roman" w:eastAsia="宋体" w:cs="Times New Roman" w:hAnsi="Times New Roman"/>
                      <w:color w:val="auto"/>
                      <w:highlight w:val="none"/>
                    </w:rPr>
                  </w:pPr>
                  <w:r>
                    <w:rPr>
                      <w:rFonts w:ascii="Times New Roman" w:eastAsia="宋体" w:cs="Times New Roman" w:hAnsi="Times New Roman"/>
                      <w:color w:val="auto"/>
                      <w:highlight w:val="none"/>
                    </w:rPr>
                    <w:t>4.7 HJ 1259 规定的危险废物环境重点监管单位，应采用电子地磅、电子标签、电子管理台账等技术手段对危险废物贮存过程进行信息化管理，确保数据完整、真实、准确；采用视频监控的应确保监控画面清晰，视频记录保存时间至少为 3 个月。</w:t>
                  </w:r>
                </w:p>
              </w:tc>
              <w:tc>
                <w:tcPr>
                  <w:tcW w:w="1798" w:type="pct"/>
                </w:tcPr>
                <w:p>
                  <w:pPr>
                    <w:adjustRightInd w:val="0"/>
                    <w:snapToGrid w:val="0"/>
                    <w:jc w:val="both"/>
                    <w:rPr>
                      <w:rFonts w:ascii="Times New Roman" w:eastAsia="宋体" w:cs="Times New Roman" w:hAnsi="Times New Roman" w:hint="eastAsia"/>
                      <w:color w:val="auto"/>
                      <w:lang w:eastAsia="zh-CN"/>
                      <w:highlight w:val="none"/>
                    </w:rPr>
                  </w:pPr>
                  <w:r>
                    <w:rPr>
                      <w:rFonts w:cs="Times New Roman" w:hint="eastAsia"/>
                      <w:color w:val="auto"/>
                      <w:lang w:eastAsia="zh-CN"/>
                      <w:highlight w:val="none"/>
                    </w:rPr>
                    <w:t>本项目</w:t>
                  </w:r>
                  <w:r>
                    <w:rPr>
                      <w:rFonts w:ascii="Times New Roman" w:eastAsia="宋体" w:cs="Times New Roman" w:hAnsi="Times New Roman"/>
                      <w:color w:val="auto"/>
                      <w:highlight w:val="none"/>
                    </w:rPr>
                    <w:t>采用电子地磅、电子标签、电子管理台账等技术手段对危险废物贮存过程进行信息化管理，确保数据完整、真实、准确；视频监控确保监控画面清晰，视频记录保存时间至少为 3 个月</w:t>
                  </w:r>
                  <w:r>
                    <w:rPr>
                      <w:rFonts w:cs="Times New Roman" w:hint="eastAsia"/>
                      <w:color w:val="auto"/>
                      <w:lang w:eastAsia="zh-CN"/>
                      <w:highlight w:val="none"/>
                    </w:rPr>
                    <w:t>。</w:t>
                  </w:r>
                </w:p>
              </w:tc>
              <w:tc>
                <w:tcPr>
                  <w:tcW w:w="465" w:type="pct"/>
                  <w:vAlign w:val="center"/>
                </w:tcPr>
                <w:p>
                  <w:pPr>
                    <w:adjustRightInd w:val="0"/>
                    <w:snapToGrid w:val="0"/>
                    <w:jc w:val="both"/>
                    <w:rPr>
                      <w:rFonts w:ascii="Times New Roman" w:eastAsia="宋体" w:cs="Times New Roman" w:hAnsi="Times New Roman"/>
                      <w:color w:val="auto"/>
                      <w:highlight w:val="none"/>
                    </w:rPr>
                  </w:pPr>
                  <w:r>
                    <w:rPr>
                      <w:rFonts w:ascii="Times New Roman" w:eastAsia="宋体" w:cs="Times New Roman" w:hAnsi="Times New Roman"/>
                      <w:color w:val="auto"/>
                      <w:highlight w:val="none"/>
                    </w:rPr>
                    <w:t>符合</w:t>
                  </w:r>
                </w:p>
              </w:tc>
            </w:tr>
            <w:tr>
              <w:trPr>
                <w:cantSplit/>
                <w:trHeight w:val="318"/>
                <w:tblHeader/>
              </w:trPr>
              <w:tc>
                <w:tcPr>
                  <w:tcW w:w="510" w:type="pct"/>
                  <w:vMerge/>
                  <w:vAlign w:val="center"/>
                </w:tcPr>
                <w:p/>
              </w:tc>
              <w:tc>
                <w:tcPr>
                  <w:tcW w:w="2225" w:type="pct"/>
                </w:tcPr>
                <w:p>
                  <w:pPr>
                    <w:adjustRightInd w:val="0"/>
                    <w:snapToGrid w:val="0"/>
                    <w:jc w:val="both"/>
                    <w:rPr>
                      <w:rFonts w:ascii="Times New Roman" w:eastAsia="宋体" w:cs="Times New Roman" w:hAnsi="Times New Roman"/>
                      <w:color w:val="auto"/>
                      <w:highlight w:val="none"/>
                    </w:rPr>
                  </w:pPr>
                  <w:r>
                    <w:rPr>
                      <w:rFonts w:ascii="Times New Roman" w:eastAsia="宋体" w:cs="Times New Roman" w:hAnsi="Times New Roman"/>
                      <w:color w:val="auto"/>
                      <w:highlight w:val="none"/>
                    </w:rPr>
                    <w:t>4.8 贮存设施退役时，所有者或运营者应依法履行环境保护责任，退役前应妥善处理处置贮存设施内剩余的危险废物，并对贮存设施进行清理，消除污染；还应依据土壤污染防治相关法律法规履行场地环境风险防控责任。</w:t>
                  </w:r>
                </w:p>
              </w:tc>
              <w:tc>
                <w:tcPr>
                  <w:tcW w:w="1798" w:type="pct"/>
                </w:tcPr>
                <w:p>
                  <w:pPr>
                    <w:adjustRightInd w:val="0"/>
                    <w:snapToGrid w:val="0"/>
                    <w:jc w:val="both"/>
                    <w:rPr>
                      <w:rFonts w:eastAsia="宋体" w:cs="Times New Roman" w:hint="eastAsia"/>
                      <w:color w:val="auto"/>
                      <w:lang w:eastAsia="zh-CN"/>
                      <w:highlight w:val="none"/>
                    </w:rPr>
                  </w:pPr>
                  <w:r>
                    <w:rPr>
                      <w:rFonts w:cs="Times New Roman" w:hint="eastAsia"/>
                      <w:color w:val="auto"/>
                      <w:lang w:eastAsia="zh-CN"/>
                      <w:highlight w:val="none"/>
                    </w:rPr>
                    <w:t>本项目贮存库房不再使用后，</w:t>
                  </w:r>
                  <w:r>
                    <w:rPr>
                      <w:rFonts w:ascii="Times New Roman" w:eastAsia="宋体" w:cs="Times New Roman" w:hAnsi="Times New Roman"/>
                      <w:color w:val="auto"/>
                      <w:highlight w:val="none"/>
                    </w:rPr>
                    <w:t>依法履行环境保护责任，退役前应妥善处理处置贮存设施内剩余的危险废物，并对贮存设施进行清理，消除污染；还应依据土壤污染防治相关法律法规履行场地环境风险防控责任</w:t>
                  </w:r>
                  <w:r>
                    <w:rPr>
                      <w:rFonts w:ascii="Times New Roman" w:eastAsia="宋体" w:cs="Times New Roman" w:hAnsi="Times New Roman" w:hint="eastAsia"/>
                      <w:color w:val="auto"/>
                      <w:lang w:eastAsia="zh-CN"/>
                      <w:highlight w:val="none"/>
                    </w:rPr>
                    <w:t>。</w:t>
                  </w:r>
                </w:p>
              </w:tc>
              <w:tc>
                <w:tcPr>
                  <w:tcW w:w="465" w:type="pct"/>
                  <w:vAlign w:val="center"/>
                </w:tcPr>
                <w:p>
                  <w:pPr>
                    <w:adjustRightInd w:val="0"/>
                    <w:snapToGrid w:val="0"/>
                    <w:jc w:val="both"/>
                    <w:rPr>
                      <w:rFonts w:ascii="Times New Roman" w:eastAsia="宋体" w:cs="Times New Roman" w:hAnsi="Times New Roman"/>
                      <w:color w:val="auto"/>
                      <w:highlight w:val="none"/>
                    </w:rPr>
                  </w:pPr>
                  <w:r>
                    <w:rPr>
                      <w:rFonts w:ascii="Times New Roman" w:eastAsia="宋体" w:cs="Times New Roman" w:hAnsi="Times New Roman"/>
                      <w:color w:val="auto"/>
                      <w:highlight w:val="none"/>
                    </w:rPr>
                    <w:t>符合</w:t>
                  </w:r>
                </w:p>
              </w:tc>
            </w:tr>
            <w:tr>
              <w:trPr>
                <w:cantSplit/>
                <w:trHeight w:val="318"/>
                <w:tblHeader/>
              </w:trPr>
              <w:tc>
                <w:tcPr>
                  <w:tcW w:w="510" w:type="pct"/>
                  <w:vMerge/>
                  <w:vAlign w:val="center"/>
                </w:tcPr>
                <w:p/>
              </w:tc>
              <w:tc>
                <w:tcPr>
                  <w:tcW w:w="2225" w:type="pct"/>
                </w:tcPr>
                <w:p>
                  <w:pPr>
                    <w:adjustRightInd w:val="0"/>
                    <w:snapToGrid w:val="0"/>
                    <w:jc w:val="both"/>
                    <w:rPr>
                      <w:rFonts w:ascii="Times New Roman" w:eastAsia="宋体" w:cs="Times New Roman" w:hAnsi="Times New Roman"/>
                      <w:color w:val="auto"/>
                      <w:highlight w:val="none"/>
                    </w:rPr>
                  </w:pPr>
                  <w:r>
                    <w:rPr>
                      <w:rFonts w:ascii="Times New Roman" w:eastAsia="宋体" w:cs="Times New Roman" w:hAnsi="Times New Roman"/>
                      <w:color w:val="auto"/>
                      <w:highlight w:val="none"/>
                    </w:rPr>
                    <w:t>4.9 在常温常压下易爆、易燃及排出有毒气体的危险废物应进行预处理，使之稳定后贮存，否则应按易爆、易燃危险品贮存。</w:t>
                  </w:r>
                </w:p>
              </w:tc>
              <w:tc>
                <w:tcPr>
                  <w:tcW w:w="1798" w:type="pct"/>
                </w:tcPr>
                <w:p>
                  <w:pPr>
                    <w:adjustRightInd w:val="0"/>
                    <w:snapToGrid w:val="0"/>
                    <w:jc w:val="both"/>
                    <w:rPr>
                      <w:rFonts w:cs="Times New Roman" w:hint="eastAsia"/>
                      <w:color w:val="auto"/>
                      <w:lang w:eastAsia="zh-CN"/>
                      <w:highlight w:val="none"/>
                    </w:rPr>
                  </w:pPr>
                  <w:r>
                    <w:rPr>
                      <w:rFonts w:cs="Times New Roman" w:hint="eastAsia"/>
                      <w:color w:val="auto"/>
                      <w:lang w:eastAsia="zh-CN"/>
                      <w:highlight w:val="none"/>
                    </w:rPr>
                    <w:t>本项目不涉及易燃易爆危险品贮存。</w:t>
                  </w:r>
                </w:p>
              </w:tc>
              <w:tc>
                <w:tcPr>
                  <w:tcW w:w="465" w:type="pct"/>
                  <w:vAlign w:val="center"/>
                </w:tcPr>
                <w:p>
                  <w:pPr>
                    <w:adjustRightInd w:val="0"/>
                    <w:snapToGrid w:val="0"/>
                    <w:jc w:val="both"/>
                    <w:rPr>
                      <w:rFonts w:ascii="Times New Roman" w:eastAsia="宋体" w:cs="Times New Roman" w:hAnsi="Times New Roman"/>
                      <w:color w:val="auto"/>
                      <w:highlight w:val="none"/>
                    </w:rPr>
                  </w:pPr>
                  <w:r>
                    <w:rPr>
                      <w:rFonts w:ascii="Times New Roman" w:eastAsia="宋体" w:cs="Times New Roman" w:hAnsi="Times New Roman"/>
                      <w:color w:val="auto"/>
                      <w:highlight w:val="none"/>
                    </w:rPr>
                    <w:t>符合</w:t>
                  </w:r>
                </w:p>
              </w:tc>
            </w:tr>
            <w:tr>
              <w:trPr>
                <w:cantSplit/>
                <w:trHeight w:val="318"/>
                <w:tblHeader/>
              </w:trPr>
              <w:tc>
                <w:tcPr>
                  <w:tcW w:w="510" w:type="pct"/>
                  <w:vMerge/>
                  <w:vAlign w:val="center"/>
                </w:tcPr>
                <w:p/>
              </w:tc>
              <w:tc>
                <w:tcPr>
                  <w:tcW w:w="2225" w:type="pct"/>
                </w:tcPr>
                <w:p>
                  <w:pPr>
                    <w:adjustRightInd w:val="0"/>
                    <w:snapToGrid w:val="0"/>
                    <w:jc w:val="both"/>
                    <w:rPr>
                      <w:rFonts w:ascii="Times New Roman" w:eastAsia="宋体" w:cs="Times New Roman" w:hAnsi="Times New Roman"/>
                      <w:color w:val="auto"/>
                      <w:highlight w:val="none"/>
                    </w:rPr>
                  </w:pPr>
                  <w:r>
                    <w:rPr>
                      <w:rFonts w:ascii="Times New Roman" w:eastAsia="宋体" w:cs="Times New Roman" w:hAnsi="Times New Roman"/>
                      <w:color w:val="auto"/>
                      <w:highlight w:val="none"/>
                    </w:rPr>
                    <w:t>4.10 危险废物贮存除应满足环境保护相关要求外，还应执行国家安全生产、职业健康、交通运输、消防等法律法规和标准的相关要求。</w:t>
                  </w:r>
                </w:p>
              </w:tc>
              <w:tc>
                <w:tcPr>
                  <w:tcW w:w="1798" w:type="pct"/>
                </w:tcPr>
                <w:p>
                  <w:pPr>
                    <w:adjustRightInd w:val="0"/>
                    <w:snapToGrid w:val="0"/>
                    <w:jc w:val="both"/>
                    <w:rPr>
                      <w:rFonts w:eastAsia="宋体" w:cs="Times New Roman" w:hint="eastAsia"/>
                      <w:color w:val="auto"/>
                      <w:lang w:eastAsia="zh-CN"/>
                      <w:highlight w:val="none"/>
                    </w:rPr>
                  </w:pPr>
                  <w:r>
                    <w:rPr>
                      <w:rFonts w:ascii="Times New Roman" w:eastAsia="宋体" w:cs="Times New Roman" w:hAnsi="Times New Roman" w:hint="eastAsia"/>
                      <w:color w:val="auto"/>
                      <w:lang w:eastAsia="zh-CN"/>
                      <w:highlight w:val="none"/>
                    </w:rPr>
                    <w:t>贮存场所满足</w:t>
                  </w:r>
                  <w:r>
                    <w:rPr>
                      <w:rFonts w:ascii="Times New Roman" w:eastAsia="宋体" w:cs="Times New Roman" w:hAnsi="Times New Roman"/>
                      <w:color w:val="auto"/>
                      <w:highlight w:val="none"/>
                    </w:rPr>
                    <w:t>国家安全生产、职业健康、交通运输、消防等法律法规和标准的相关要求</w:t>
                  </w:r>
                  <w:r>
                    <w:rPr>
                      <w:rFonts w:ascii="Times New Roman" w:eastAsia="宋体" w:cs="Times New Roman" w:hAnsi="Times New Roman" w:hint="eastAsia"/>
                      <w:color w:val="auto"/>
                      <w:lang w:eastAsia="zh-CN"/>
                      <w:highlight w:val="none"/>
                    </w:rPr>
                    <w:t>。</w:t>
                  </w:r>
                </w:p>
              </w:tc>
              <w:tc>
                <w:tcPr>
                  <w:tcW w:w="465" w:type="pct"/>
                  <w:vAlign w:val="center"/>
                </w:tcPr>
                <w:p>
                  <w:pPr>
                    <w:adjustRightInd w:val="0"/>
                    <w:snapToGrid w:val="0"/>
                    <w:jc w:val="both"/>
                    <w:rPr>
                      <w:rFonts w:ascii="Times New Roman" w:eastAsia="宋体" w:cs="Times New Roman" w:hAnsi="Times New Roman"/>
                      <w:color w:val="auto"/>
                      <w:highlight w:val="none"/>
                    </w:rPr>
                  </w:pPr>
                  <w:r>
                    <w:rPr>
                      <w:rFonts w:ascii="Times New Roman" w:eastAsia="宋体" w:cs="Times New Roman" w:hAnsi="Times New Roman"/>
                      <w:color w:val="auto"/>
                      <w:highlight w:val="none"/>
                    </w:rPr>
                    <w:t>符合</w:t>
                  </w:r>
                </w:p>
              </w:tc>
            </w:tr>
            <w:tr>
              <w:trPr>
                <w:cantSplit/>
                <w:trHeight w:val="318"/>
                <w:tblHeader/>
              </w:trPr>
              <w:tc>
                <w:tcPr>
                  <w:tcW w:w="510" w:type="pct"/>
                  <w:vAlign w:val="center"/>
                </w:tcPr>
                <w:p>
                  <w:pPr>
                    <w:adjustRightInd w:val="0"/>
                    <w:snapToGrid w:val="0"/>
                    <w:jc w:val="center"/>
                    <w:rPr>
                      <w:rFonts w:ascii="Times New Roman" w:eastAsia="宋体" w:cs="Times New Roman" w:hAnsi="Times New Roman" w:hint="eastAsia"/>
                      <w:color w:val="auto"/>
                      <w:lang w:eastAsia="zh-CN"/>
                      <w:highlight w:val="none"/>
                    </w:rPr>
                  </w:pPr>
                  <w:r>
                    <w:rPr>
                      <w:rFonts w:ascii="Times New Roman" w:eastAsia="宋体" w:cs="Times New Roman" w:hAnsi="Times New Roman" w:hint="eastAsia"/>
                      <w:color w:val="auto"/>
                      <w:lang w:eastAsia="zh-CN"/>
                      <w:highlight w:val="none"/>
                    </w:rPr>
                    <w:t>贮存设施选址要求</w:t>
                  </w:r>
                </w:p>
              </w:tc>
              <w:tc>
                <w:tcPr>
                  <w:tcW w:w="2225" w:type="pct"/>
                </w:tcPr>
                <w:p>
                  <w:pPr>
                    <w:adjustRightInd w:val="0"/>
                    <w:snapToGrid w:val="0"/>
                    <w:jc w:val="both"/>
                    <w:rPr>
                      <w:rFonts w:ascii="Times New Roman" w:eastAsia="宋体" w:cs="Times New Roman" w:hAnsi="Times New Roman"/>
                      <w:color w:val="auto"/>
                      <w:highlight w:val="none"/>
                    </w:rPr>
                  </w:pPr>
                  <w:r>
                    <w:rPr>
                      <w:rFonts w:ascii="Times New Roman" w:eastAsia="宋体" w:cs="Times New Roman" w:hAnsi="Times New Roman"/>
                      <w:color w:val="auto"/>
                      <w:highlight w:val="none"/>
                    </w:rPr>
                    <w:t>5.1 贮存设施选址应满足生态环境保护法律法规、规划和“三线一单”生态环境分区管控的要求，建设项目应依法进行环境影响评价。</w:t>
                  </w:r>
                </w:p>
                <w:p>
                  <w:pPr>
                    <w:adjustRightInd w:val="0"/>
                    <w:snapToGrid w:val="0"/>
                    <w:jc w:val="both"/>
                    <w:rPr>
                      <w:rFonts w:ascii="Times New Roman" w:eastAsia="宋体" w:cs="Times New Roman" w:hAnsi="Times New Roman"/>
                      <w:color w:val="auto"/>
                      <w:highlight w:val="none"/>
                    </w:rPr>
                  </w:pPr>
                  <w:r>
                    <w:rPr>
                      <w:rFonts w:ascii="Times New Roman" w:eastAsia="宋体" w:cs="Times New Roman" w:hAnsi="Times New Roman"/>
                      <w:color w:val="auto"/>
                      <w:highlight w:val="none"/>
                    </w:rPr>
                    <w:t>5.2 集中贮存设施不应选在生态保护红线区域、永久基本农田和其他需要特别保护的区域内，不应建在溶洞区或易遭受洪水、滑坡、泥石流、潮汐等严重自然灾害影响的地区。</w:t>
                  </w:r>
                </w:p>
                <w:p>
                  <w:pPr>
                    <w:adjustRightInd w:val="0"/>
                    <w:snapToGrid w:val="0"/>
                    <w:jc w:val="both"/>
                    <w:rPr>
                      <w:rFonts w:ascii="Times New Roman" w:eastAsia="宋体" w:cs="Times New Roman" w:hAnsi="Times New Roman"/>
                      <w:color w:val="auto"/>
                      <w:highlight w:val="none"/>
                    </w:rPr>
                  </w:pPr>
                  <w:r>
                    <w:rPr>
                      <w:rFonts w:ascii="Times New Roman" w:eastAsia="宋体" w:cs="Times New Roman" w:hAnsi="Times New Roman"/>
                      <w:color w:val="auto"/>
                      <w:highlight w:val="none"/>
                    </w:rPr>
                    <w:t>5.3 贮存设施不应选在江河、湖泊、运河、渠道、水库及其最高水位线以下的滩地和岸坡，以及法律法规规定禁止贮存危险废物的其他地点。</w:t>
                  </w:r>
                </w:p>
                <w:p>
                  <w:pPr>
                    <w:adjustRightInd w:val="0"/>
                    <w:snapToGrid w:val="0"/>
                    <w:jc w:val="both"/>
                    <w:rPr>
                      <w:rFonts w:ascii="Times New Roman" w:eastAsia="宋体" w:cs="Times New Roman" w:hAnsi="Times New Roman" w:hint="eastAsia"/>
                      <w:color w:val="auto"/>
                      <w:lang w:eastAsia="zh-CN"/>
                      <w:highlight w:val="none"/>
                    </w:rPr>
                  </w:pPr>
                  <w:r>
                    <w:rPr>
                      <w:rFonts w:ascii="Times New Roman" w:eastAsia="宋体" w:cs="Times New Roman" w:hAnsi="Times New Roman"/>
                      <w:color w:val="auto"/>
                      <w:highlight w:val="none"/>
                    </w:rPr>
                    <w:t>5.4 贮存设施场址的位置以及其与周围环境敏感目标的距离应依据环境影响评价文件确定</w:t>
                  </w:r>
                  <w:r>
                    <w:rPr>
                      <w:rFonts w:cs="Times New Roman" w:hint="eastAsia"/>
                      <w:color w:val="auto"/>
                      <w:lang w:eastAsia="zh-CN"/>
                      <w:highlight w:val="none"/>
                    </w:rPr>
                    <w:t>。</w:t>
                  </w:r>
                </w:p>
              </w:tc>
              <w:tc>
                <w:tcPr>
                  <w:tcW w:w="1798" w:type="pct"/>
                </w:tcPr>
                <w:p>
                  <w:pPr>
                    <w:adjustRightInd w:val="0"/>
                    <w:snapToGrid w:val="0"/>
                    <w:jc w:val="both"/>
                    <w:rPr>
                      <w:rFonts w:ascii="Times New Roman" w:eastAsia="宋体" w:cs="Times New Roman" w:hAnsi="Times New Roman" w:hint="eastAsia"/>
                      <w:color w:val="auto"/>
                      <w:lang w:eastAsia="zh-CN"/>
                      <w:highlight w:val="none"/>
                    </w:rPr>
                  </w:pPr>
                  <w:r>
                    <w:rPr>
                      <w:rFonts w:cs="Times New Roman" w:hint="eastAsia"/>
                      <w:color w:val="auto"/>
                      <w:lang w:eastAsia="zh-CN"/>
                      <w:highlight w:val="none"/>
                    </w:rPr>
                    <w:t>本项目选址满足</w:t>
                  </w:r>
                  <w:r>
                    <w:rPr>
                      <w:rFonts w:ascii="Times New Roman" w:eastAsia="宋体" w:cs="Times New Roman" w:hAnsi="Times New Roman"/>
                      <w:color w:val="auto"/>
                      <w:highlight w:val="none"/>
                    </w:rPr>
                    <w:t>生态环境保护法律法规、规划和“三线一单”生态环境分区管控的要求</w:t>
                  </w:r>
                  <w:r>
                    <w:rPr>
                      <w:rFonts w:ascii="Times New Roman" w:eastAsia="宋体" w:cs="Times New Roman" w:hAnsi="Times New Roman" w:hint="eastAsia"/>
                      <w:color w:val="auto"/>
                      <w:lang w:eastAsia="zh-CN"/>
                      <w:highlight w:val="none"/>
                    </w:rPr>
                    <w:t>，正在开展环境影响评价工作</w:t>
                  </w:r>
                  <w:r>
                    <w:rPr>
                      <w:rFonts w:cs="Times New Roman" w:hint="eastAsia"/>
                      <w:color w:val="auto"/>
                      <w:lang w:eastAsia="zh-CN"/>
                      <w:highlight w:val="none"/>
                    </w:rPr>
                    <w:t>。本项目位于石家庄市栾城区装备制造基地楼底镇段家营村裕翔街168号103厂房（南），租赁现有闲置厂房，不涉及</w:t>
                  </w:r>
                  <w:r>
                    <w:rPr>
                      <w:rFonts w:ascii="Times New Roman" w:eastAsia="宋体" w:cs="Times New Roman" w:hAnsi="Times New Roman"/>
                      <w:color w:val="auto"/>
                      <w:highlight w:val="none"/>
                    </w:rPr>
                    <w:t>生态保护红线区域、永久基本农田和其他需要特别保护的区域</w:t>
                  </w:r>
                  <w:r>
                    <w:rPr>
                      <w:rFonts w:ascii="Times New Roman" w:eastAsia="宋体" w:cs="Times New Roman" w:hAnsi="Times New Roman" w:hint="eastAsia"/>
                      <w:color w:val="auto"/>
                      <w:lang w:eastAsia="zh-CN"/>
                      <w:highlight w:val="none"/>
                    </w:rPr>
                    <w:t>，不涉及</w:t>
                  </w:r>
                  <w:r>
                    <w:rPr>
                      <w:rFonts w:ascii="Times New Roman" w:eastAsia="宋体" w:cs="Times New Roman" w:hAnsi="Times New Roman"/>
                      <w:color w:val="auto"/>
                      <w:highlight w:val="none"/>
                    </w:rPr>
                    <w:t>溶洞区或易遭受洪水、滑坡、泥石流、潮汐等严重自然灾害影响的地区</w:t>
                  </w:r>
                  <w:r>
                    <w:rPr>
                      <w:rFonts w:ascii="Times New Roman" w:eastAsia="宋体" w:cs="Times New Roman" w:hAnsi="Times New Roman" w:hint="eastAsia"/>
                      <w:color w:val="auto"/>
                      <w:lang w:eastAsia="zh-CN"/>
                      <w:highlight w:val="none"/>
                    </w:rPr>
                    <w:t>，不涉及</w:t>
                  </w:r>
                  <w:r>
                    <w:rPr>
                      <w:rFonts w:ascii="Times New Roman" w:eastAsia="宋体" w:cs="Times New Roman" w:hAnsi="Times New Roman"/>
                      <w:color w:val="auto"/>
                      <w:highlight w:val="none"/>
                    </w:rPr>
                    <w:t>江河、湖泊、运河、渠道、水库及其最高水位线以下的滩地和岸坡，以及法律法规规定禁止贮存危险废物的其他地点</w:t>
                  </w:r>
                  <w:r>
                    <w:rPr>
                      <w:rFonts w:ascii="Times New Roman" w:eastAsia="宋体" w:cs="Times New Roman" w:hAnsi="Times New Roman" w:hint="eastAsia"/>
                      <w:color w:val="auto"/>
                      <w:lang w:eastAsia="zh-CN"/>
                      <w:highlight w:val="none"/>
                    </w:rPr>
                    <w:t>。</w:t>
                  </w:r>
                </w:p>
              </w:tc>
              <w:tc>
                <w:tcPr>
                  <w:tcW w:w="465" w:type="pct"/>
                  <w:vAlign w:val="center"/>
                </w:tcPr>
                <w:p>
                  <w:pPr>
                    <w:adjustRightInd w:val="0"/>
                    <w:snapToGrid w:val="0"/>
                    <w:jc w:val="both"/>
                    <w:rPr>
                      <w:rFonts w:ascii="Times New Roman" w:eastAsia="宋体" w:cs="Times New Roman" w:hAnsi="Times New Roman"/>
                      <w:color w:val="auto"/>
                      <w:highlight w:val="none"/>
                    </w:rPr>
                  </w:pPr>
                  <w:r>
                    <w:rPr>
                      <w:rFonts w:ascii="Times New Roman" w:eastAsia="宋体" w:cs="Times New Roman" w:hAnsi="Times New Roman"/>
                      <w:color w:val="auto"/>
                      <w:highlight w:val="none"/>
                    </w:rPr>
                    <w:t>符合</w:t>
                  </w:r>
                </w:p>
              </w:tc>
            </w:tr>
            <w:tr>
              <w:trPr>
                <w:cantSplit/>
                <w:trHeight w:val="318"/>
                <w:tblHeader/>
              </w:trPr>
              <w:tc>
                <w:tcPr>
                  <w:tcW w:w="510" w:type="pct"/>
                  <w:vMerge w:val="restart"/>
                  <w:vAlign w:val="center"/>
                </w:tcPr>
                <w:p>
                  <w:pPr>
                    <w:adjustRightInd w:val="0"/>
                    <w:snapToGrid w:val="0"/>
                    <w:jc w:val="center"/>
                    <w:rPr>
                      <w:rFonts w:cs="Times New Roman" w:hint="eastAsia"/>
                      <w:color w:val="auto"/>
                      <w:lang w:eastAsia="zh-CN"/>
                      <w:highlight w:val="none"/>
                    </w:rPr>
                  </w:pPr>
                  <w:r>
                    <w:rPr>
                      <w:rFonts w:cs="Times New Roman" w:hint="eastAsia"/>
                      <w:color w:val="auto"/>
                      <w:lang w:eastAsia="zh-CN"/>
                      <w:highlight w:val="none"/>
                    </w:rPr>
                    <w:t>贮存设施污染控制要求</w:t>
                  </w:r>
                </w:p>
              </w:tc>
              <w:tc>
                <w:tcPr>
                  <w:tcW w:w="2225" w:type="pct"/>
                </w:tcPr>
                <w:p>
                  <w:pPr>
                    <w:adjustRightInd w:val="0"/>
                    <w:snapToGrid w:val="0"/>
                    <w:jc w:val="both"/>
                    <w:rPr>
                      <w:rFonts w:ascii="Times New Roman" w:eastAsia="宋体" w:cs="Times New Roman" w:hAnsi="Times New Roman"/>
                      <w:color w:val="auto"/>
                      <w:lang w:val="en-US" w:eastAsia="zh-CN"/>
                      <w:highlight w:val="none"/>
                    </w:rPr>
                  </w:pPr>
                  <w:r>
                    <w:rPr>
                      <w:rFonts w:ascii="Times New Roman" w:eastAsia="宋体" w:cs="Times New Roman" w:hAnsi="Times New Roman"/>
                      <w:color w:val="auto"/>
                      <w:lang w:val="en-US" w:eastAsia="zh-CN"/>
                      <w:highlight w:val="none"/>
                    </w:rPr>
                    <w:t>6.1 一般规定</w:t>
                  </w:r>
                </w:p>
                <w:p>
                  <w:pPr>
                    <w:adjustRightInd w:val="0"/>
                    <w:snapToGrid w:val="0"/>
                    <w:jc w:val="both"/>
                    <w:rPr>
                      <w:rFonts w:cs="Times New Roman" w:hint="eastAsia"/>
                      <w:color w:val="auto"/>
                      <w:lang w:val="en-US" w:eastAsia="zh-CN"/>
                      <w:highlight w:val="none"/>
                    </w:rPr>
                  </w:pPr>
                  <w:r>
                    <w:rPr>
                      <w:rFonts w:ascii="Times New Roman" w:eastAsia="宋体" w:cs="Times New Roman" w:hAnsi="Times New Roman" w:hint="eastAsia"/>
                      <w:color w:val="auto"/>
                      <w:lang w:val="en-US" w:eastAsia="zh-CN"/>
                      <w:highlight w:val="none"/>
                    </w:rPr>
                    <w:t>6.1.1 贮存设施应根据危险废物的形态、物理化学性质、包装形式和污染物迁移途径，采取必要的防风、防晒、防雨、防漏、防渗、防腐以及其他环境污染防治措施，不应露天堆放危险废物</w:t>
                  </w:r>
                  <w:r>
                    <w:rPr>
                      <w:rFonts w:cs="Times New Roman" w:hint="eastAsia"/>
                      <w:color w:val="auto"/>
                      <w:lang w:val="en-US" w:eastAsia="zh-CN"/>
                      <w:highlight w:val="none"/>
                    </w:rPr>
                    <w:t>。</w:t>
                  </w:r>
                </w:p>
                <w:p>
                  <w:pPr>
                    <w:adjustRightInd w:val="0"/>
                    <w:snapToGrid w:val="0"/>
                    <w:jc w:val="both"/>
                    <w:rPr>
                      <w:rFonts w:cs="Times New Roman" w:hint="eastAsia"/>
                      <w:color w:val="auto"/>
                      <w:lang w:val="en-US" w:eastAsia="zh-CN"/>
                      <w:highlight w:val="none"/>
                    </w:rPr>
                  </w:pPr>
                  <w:r>
                    <w:rPr>
                      <w:rFonts w:cs="Times New Roman" w:hint="eastAsia"/>
                      <w:color w:val="auto"/>
                      <w:lang w:val="en-US" w:eastAsia="zh-CN"/>
                      <w:highlight w:val="none"/>
                    </w:rPr>
                    <w:t>6.1.2 贮存设施应根据危险废物的类别、数量、形态、物理化学性质和污染防治等要求设置必要的贮存分区，避免不相容的危险废物接触、混合。</w:t>
                  </w:r>
                </w:p>
                <w:p>
                  <w:pPr>
                    <w:adjustRightInd w:val="0"/>
                    <w:snapToGrid w:val="0"/>
                    <w:jc w:val="both"/>
                    <w:rPr>
                      <w:rFonts w:cs="Times New Roman" w:hint="eastAsia"/>
                      <w:color w:val="auto"/>
                      <w:lang w:val="en-US" w:eastAsia="zh-CN"/>
                      <w:highlight w:val="none"/>
                    </w:rPr>
                  </w:pPr>
                  <w:r>
                    <w:rPr>
                      <w:rFonts w:cs="Times New Roman" w:hint="eastAsia"/>
                      <w:color w:val="auto"/>
                      <w:lang w:val="en-US" w:eastAsia="zh-CN"/>
                      <w:highlight w:val="none"/>
                    </w:rPr>
                    <w:t>6.1.3 贮存设施或贮存分区内地面、墙面裙脚、堵截泄漏的围堰、接触危险废物的隔板和墙体等应采</w:t>
                  </w:r>
                </w:p>
                <w:p>
                  <w:pPr>
                    <w:adjustRightInd w:val="0"/>
                    <w:snapToGrid w:val="0"/>
                    <w:jc w:val="both"/>
                    <w:rPr>
                      <w:rFonts w:cs="Times New Roman" w:hint="eastAsia"/>
                      <w:color w:val="auto"/>
                      <w:lang w:val="en-US" w:eastAsia="zh-CN"/>
                      <w:highlight w:val="none"/>
                    </w:rPr>
                  </w:pPr>
                  <w:r>
                    <w:rPr>
                      <w:rFonts w:cs="Times New Roman" w:hint="eastAsia"/>
                      <w:color w:val="auto"/>
                      <w:lang w:val="en-US" w:eastAsia="zh-CN"/>
                      <w:highlight w:val="none"/>
                    </w:rPr>
                    <w:t>用坚固的材料建造，表面无裂缝。</w:t>
                  </w:r>
                </w:p>
                <w:p>
                  <w:pPr>
                    <w:adjustRightInd w:val="0"/>
                    <w:snapToGrid w:val="0"/>
                    <w:jc w:val="both"/>
                    <w:rPr>
                      <w:rFonts w:cs="Times New Roman" w:hint="eastAsia"/>
                      <w:color w:val="auto"/>
                      <w:lang w:val="en-US" w:eastAsia="zh-CN"/>
                      <w:highlight w:val="none"/>
                    </w:rPr>
                  </w:pPr>
                  <w:r>
                    <w:rPr>
                      <w:rFonts w:cs="Times New Roman" w:hint="eastAsia"/>
                      <w:color w:val="auto"/>
                      <w:lang w:val="en-US" w:eastAsia="zh-CN"/>
                      <w:highlight w:val="none"/>
                    </w:rPr>
                    <w:t>6.1.4 贮存设施地面与裙脚应采取表面防渗措施；表面防渗材料应与所接触的物料或污染物相容，可采用抗渗混凝土、高密度聚乙烯膜、钠基膨润土防水毯或其他防渗性能等效的材料。贮存的危险废物直接接触地面的，还应进行基础防渗，防渗层为至少 1 m 厚黏土层（渗透系数不大于10</w:t>
                  </w:r>
                  <w:r>
                    <w:rPr>
                      <w:rFonts w:cs="Times New Roman" w:hint="eastAsia"/>
                      <w:color w:val="auto"/>
                      <w:vertAlign w:val="superscript"/>
                      <w:lang w:val="en-US" w:eastAsia="zh-CN"/>
                      <w:highlight w:val="none"/>
                    </w:rPr>
                    <w:t>-7</w:t>
                  </w:r>
                  <w:r>
                    <w:rPr>
                      <w:rFonts w:cs="Times New Roman" w:hint="eastAsia"/>
                      <w:color w:val="auto"/>
                      <w:lang w:val="en-US" w:eastAsia="zh-CN"/>
                      <w:highlight w:val="none"/>
                    </w:rPr>
                    <w:t xml:space="preserve"> cm/s），或至少2 mm 厚高密度聚乙烯膜等人工防渗材料（渗透系数不大于10</w:t>
                  </w:r>
                  <w:r>
                    <w:rPr>
                      <w:rFonts w:cs="Times New Roman" w:hint="eastAsia"/>
                      <w:color w:val="auto"/>
                      <w:vertAlign w:val="superscript"/>
                      <w:lang w:val="en-US" w:eastAsia="zh-CN"/>
                      <w:highlight w:val="none"/>
                    </w:rPr>
                    <w:t xml:space="preserve">-10 </w:t>
                  </w:r>
                  <w:r>
                    <w:rPr>
                      <w:rFonts w:cs="Times New Roman" w:hint="eastAsia"/>
                      <w:color w:val="auto"/>
                      <w:lang w:val="en-US" w:eastAsia="zh-CN"/>
                      <w:highlight w:val="none"/>
                    </w:rPr>
                    <w:t>cm/s），或其他防渗性能等效的材料。</w:t>
                  </w:r>
                </w:p>
                <w:p>
                  <w:pPr>
                    <w:adjustRightInd w:val="0"/>
                    <w:snapToGrid w:val="0"/>
                    <w:jc w:val="both"/>
                    <w:rPr>
                      <w:rFonts w:cs="Times New Roman" w:hint="eastAsia"/>
                      <w:color w:val="auto"/>
                      <w:lang w:val="en-US" w:eastAsia="zh-CN"/>
                      <w:highlight w:val="none"/>
                    </w:rPr>
                  </w:pPr>
                  <w:r>
                    <w:rPr>
                      <w:rFonts w:cs="Times New Roman" w:hint="eastAsia"/>
                      <w:color w:val="auto"/>
                      <w:lang w:val="en-US" w:eastAsia="zh-CN"/>
                      <w:highlight w:val="none"/>
                    </w:rPr>
                    <w:t>6.1.5 同一贮存设施宜采用相同的防渗、防腐工艺（包括防渗、防腐结构或材料），防渗、防腐材料应覆盖所有可能与废物及其渗滤液、渗漏液等接触的构筑物表面；采用不同防渗、防腐工艺应分别建设贮存分区。</w:t>
                  </w:r>
                </w:p>
                <w:p>
                  <w:pPr>
                    <w:adjustRightInd w:val="0"/>
                    <w:snapToGrid w:val="0"/>
                    <w:jc w:val="both"/>
                    <w:rPr>
                      <w:rFonts w:eastAsia="宋体" w:cs="Times New Roman" w:hint="eastAsia"/>
                      <w:color w:val="auto"/>
                      <w:lang w:val="en-US" w:eastAsia="zh-CN"/>
                      <w:highlight w:val="none"/>
                    </w:rPr>
                  </w:pPr>
                  <w:r>
                    <w:rPr>
                      <w:rFonts w:cs="Times New Roman" w:hint="eastAsia"/>
                      <w:color w:val="auto"/>
                      <w:lang w:val="en-US" w:eastAsia="zh-CN"/>
                      <w:highlight w:val="none"/>
                    </w:rPr>
                    <w:t>6.1.6 贮存设施应采取技术和管理措施防止无关人员进入。</w:t>
                  </w:r>
                </w:p>
              </w:tc>
              <w:tc>
                <w:tcPr>
                  <w:tcW w:w="1798" w:type="pct"/>
                </w:tcPr>
                <w:p>
                  <w:pPr>
                    <w:adjustRightInd w:val="0"/>
                    <w:snapToGrid w:val="0"/>
                    <w:jc w:val="both"/>
                    <w:rPr>
                      <w:rFonts w:ascii="Times New Roman" w:eastAsia="宋体" w:cs="Times New Roman" w:hAnsi="Times New Roman" w:hint="eastAsia"/>
                      <w:color w:val="auto"/>
                      <w:lang w:eastAsia="zh-CN"/>
                      <w:highlight w:val="none"/>
                    </w:rPr>
                  </w:pPr>
                  <w:r>
                    <w:rPr>
                      <w:rFonts w:cs="Times New Roman" w:hint="eastAsia"/>
                      <w:color w:val="auto"/>
                      <w:lang w:eastAsia="zh-CN"/>
                      <w:highlight w:val="none"/>
                    </w:rPr>
                    <w:t>本项目贮存过程位于库房内，并且对废电池进行分区贮存，地面、墙面裙脚、堵截泄漏的围堰、接触危险废物的隔板和墙体等采用坚固的材料建造，表面无裂缝。本项目对租赁的库房进行改造，能够满足防渗要求。</w:t>
                  </w:r>
                </w:p>
              </w:tc>
              <w:tc>
                <w:tcPr>
                  <w:tcW w:w="465" w:type="pct"/>
                  <w:vAlign w:val="center"/>
                </w:tcPr>
                <w:p>
                  <w:pPr>
                    <w:adjustRightInd w:val="0"/>
                    <w:snapToGrid w:val="0"/>
                    <w:jc w:val="both"/>
                    <w:rPr>
                      <w:rFonts w:ascii="Times New Roman" w:eastAsia="宋体" w:cs="Times New Roman" w:hAnsi="Times New Roman"/>
                      <w:color w:val="auto"/>
                      <w:highlight w:val="none"/>
                    </w:rPr>
                  </w:pPr>
                  <w:r>
                    <w:rPr>
                      <w:rFonts w:ascii="Times New Roman" w:eastAsia="宋体" w:cs="Times New Roman" w:hAnsi="Times New Roman"/>
                      <w:color w:val="auto"/>
                      <w:highlight w:val="none"/>
                    </w:rPr>
                    <w:t>符合</w:t>
                  </w:r>
                </w:p>
              </w:tc>
            </w:tr>
            <w:tr>
              <w:trPr>
                <w:cantSplit/>
                <w:trHeight w:val="318"/>
                <w:tblHeader/>
              </w:trPr>
              <w:tc>
                <w:tcPr>
                  <w:tcW w:w="510" w:type="pct"/>
                  <w:vMerge/>
                  <w:vAlign w:val="center"/>
                </w:tcPr>
                <w:p/>
              </w:tc>
              <w:tc>
                <w:tcPr>
                  <w:tcW w:w="2225" w:type="pct"/>
                </w:tcPr>
                <w:p>
                  <w:pPr>
                    <w:adjustRightInd w:val="0"/>
                    <w:snapToGrid w:val="0"/>
                    <w:jc w:val="both"/>
                    <w:rPr>
                      <w:rFonts w:cs="Times New Roman" w:hint="eastAsia"/>
                      <w:color w:val="auto"/>
                      <w:lang w:val="en-US" w:eastAsia="zh-CN"/>
                      <w:highlight w:val="none"/>
                    </w:rPr>
                  </w:pPr>
                  <w:r>
                    <w:rPr>
                      <w:rFonts w:cs="Times New Roman" w:hint="eastAsia"/>
                      <w:color w:val="auto"/>
                      <w:lang w:val="en-US" w:eastAsia="zh-CN"/>
                      <w:highlight w:val="none"/>
                    </w:rPr>
                    <w:t>6.2 贮存库</w:t>
                  </w:r>
                </w:p>
                <w:p>
                  <w:pPr>
                    <w:adjustRightInd w:val="0"/>
                    <w:snapToGrid w:val="0"/>
                    <w:jc w:val="both"/>
                    <w:rPr>
                      <w:rFonts w:cs="Times New Roman" w:hint="eastAsia"/>
                      <w:color w:val="auto"/>
                      <w:lang w:val="en-US" w:eastAsia="zh-CN"/>
                      <w:highlight w:val="none"/>
                    </w:rPr>
                  </w:pPr>
                  <w:r>
                    <w:rPr>
                      <w:rFonts w:cs="Times New Roman" w:hint="eastAsia"/>
                      <w:color w:val="auto"/>
                      <w:lang w:val="en-US" w:eastAsia="zh-CN"/>
                      <w:highlight w:val="none"/>
                    </w:rPr>
                    <w:t>6.2.1 贮存库内不同贮存分区之间应采取隔离措施。隔离措施可根据危险废物特性采用过道、隔板或隔墙等方式。</w:t>
                  </w:r>
                </w:p>
                <w:p>
                  <w:pPr>
                    <w:adjustRightInd w:val="0"/>
                    <w:snapToGrid w:val="0"/>
                    <w:jc w:val="both"/>
                    <w:rPr>
                      <w:rFonts w:cs="Times New Roman" w:hint="eastAsia"/>
                      <w:color w:val="auto"/>
                      <w:lang w:val="en-US" w:eastAsia="zh-CN"/>
                      <w:highlight w:val="none"/>
                    </w:rPr>
                  </w:pPr>
                  <w:r>
                    <w:rPr>
                      <w:rFonts w:cs="Times New Roman" w:hint="eastAsia"/>
                      <w:color w:val="auto"/>
                      <w:lang w:val="en-US" w:eastAsia="zh-CN"/>
                      <w:highlight w:val="none"/>
                    </w:rPr>
                    <w:t>6.2.2 在贮存库内或通过贮存分区方式贮存液态危险废物的，应具有液体泄漏堵截设施，堵截设施最小容积不应低于对应贮存区域最大液态废物容器容积或液态废物总储量 1/10（二者取较大者）；用于贮存可能产生渗滤液的危险废物的贮存库或贮存分区应设计渗滤液收集设施，收集设施容积应满足渗滤液的收集要求。</w:t>
                  </w:r>
                </w:p>
                <w:p>
                  <w:pPr>
                    <w:adjustRightInd w:val="0"/>
                    <w:snapToGrid w:val="0"/>
                    <w:jc w:val="both"/>
                    <w:rPr>
                      <w:rFonts w:cs="Times New Roman" w:hint="eastAsia"/>
                      <w:color w:val="auto"/>
                      <w:lang w:val="en-US" w:eastAsia="zh-CN"/>
                      <w:highlight w:val="none"/>
                    </w:rPr>
                  </w:pPr>
                  <w:r>
                    <w:rPr>
                      <w:rFonts w:cs="Times New Roman" w:hint="eastAsia"/>
                      <w:color w:val="auto"/>
                      <w:lang w:val="en-US" w:eastAsia="zh-CN"/>
                      <w:highlight w:val="none"/>
                    </w:rPr>
                    <w:t>6.2.3 贮存易产生粉尘、VOCs、酸雾、有毒有害大气污染物和刺激性气味气体的危险废物贮存库，应设置气体收集装置和气体净化设施；气体净化设施的排气筒高度应符合 GB 16297 要求。</w:t>
                  </w:r>
                </w:p>
              </w:tc>
              <w:tc>
                <w:tcPr>
                  <w:tcW w:w="1798" w:type="pct"/>
                </w:tcPr>
                <w:p>
                  <w:pPr>
                    <w:adjustRightInd w:val="0"/>
                    <w:snapToGrid w:val="0"/>
                    <w:jc w:val="both"/>
                    <w:rPr>
                      <w:rFonts w:ascii="Times New Roman" w:eastAsia="宋体" w:cs="Times New Roman" w:hAnsi="Times New Roman" w:hint="eastAsia"/>
                      <w:color w:val="auto"/>
                      <w:lang w:eastAsia="zh-CN"/>
                      <w:highlight w:val="none"/>
                    </w:rPr>
                  </w:pPr>
                  <w:r>
                    <w:rPr>
                      <w:rFonts w:cs="Times New Roman" w:hint="eastAsia"/>
                      <w:color w:val="auto"/>
                      <w:lang w:eastAsia="zh-CN"/>
                      <w:highlight w:val="none"/>
                    </w:rPr>
                    <w:t>本项目租用现有库房并进行改造，改造后</w:t>
                  </w:r>
                  <w:r>
                    <w:rPr>
                      <w:rFonts w:cs="Times New Roman" w:hint="eastAsia"/>
                      <w:color w:val="auto"/>
                      <w:lang w:val="en-US" w:eastAsia="zh-CN"/>
                      <w:highlight w:val="none"/>
                    </w:rPr>
                    <w:t>具有液体泄漏堵截设施、导流渠和废电解液收集池，同时设有碱喷淋装置对废气进行处理。</w:t>
                  </w:r>
                </w:p>
              </w:tc>
              <w:tc>
                <w:tcPr>
                  <w:tcW w:w="465" w:type="pct"/>
                  <w:vAlign w:val="center"/>
                </w:tcPr>
                <w:p>
                  <w:pPr>
                    <w:adjustRightInd w:val="0"/>
                    <w:snapToGrid w:val="0"/>
                    <w:jc w:val="both"/>
                    <w:rPr>
                      <w:rFonts w:ascii="Times New Roman" w:eastAsia="宋体" w:cs="Times New Roman" w:hAnsi="Times New Roman"/>
                      <w:color w:val="auto"/>
                      <w:highlight w:val="none"/>
                    </w:rPr>
                  </w:pPr>
                  <w:r>
                    <w:rPr>
                      <w:rFonts w:ascii="Times New Roman" w:eastAsia="宋体" w:cs="Times New Roman" w:hAnsi="Times New Roman"/>
                      <w:color w:val="auto"/>
                      <w:highlight w:val="none"/>
                    </w:rPr>
                    <w:t>符合</w:t>
                  </w:r>
                </w:p>
              </w:tc>
            </w:tr>
            <w:tr>
              <w:trPr>
                <w:cantSplit/>
                <w:trHeight w:val="318"/>
                <w:tblHeader/>
              </w:trPr>
              <w:tc>
                <w:tcPr>
                  <w:tcW w:w="510" w:type="pct"/>
                  <w:vMerge/>
                  <w:vAlign w:val="center"/>
                </w:tcPr>
                <w:p/>
              </w:tc>
              <w:tc>
                <w:tcPr>
                  <w:tcW w:w="2225" w:type="pct"/>
                </w:tcPr>
                <w:p>
                  <w:pPr>
                    <w:adjustRightInd w:val="0"/>
                    <w:snapToGrid w:val="0"/>
                    <w:jc w:val="both"/>
                    <w:rPr>
                      <w:rFonts w:cs="Times New Roman" w:hint="eastAsia"/>
                      <w:color w:val="auto"/>
                      <w:lang w:val="en-US" w:eastAsia="zh-CN"/>
                      <w:highlight w:val="none"/>
                    </w:rPr>
                  </w:pPr>
                  <w:r>
                    <w:rPr>
                      <w:rFonts w:cs="Times New Roman" w:hint="eastAsia"/>
                      <w:color w:val="auto"/>
                      <w:lang w:val="en-US" w:eastAsia="zh-CN"/>
                      <w:highlight w:val="none"/>
                    </w:rPr>
                    <w:t>6.4 贮存池</w:t>
                  </w:r>
                </w:p>
                <w:p>
                  <w:pPr>
                    <w:adjustRightInd w:val="0"/>
                    <w:snapToGrid w:val="0"/>
                    <w:jc w:val="both"/>
                    <w:rPr>
                      <w:rFonts w:cs="Times New Roman" w:hint="eastAsia"/>
                      <w:color w:val="auto"/>
                      <w:lang w:val="en-US" w:eastAsia="zh-CN"/>
                      <w:highlight w:val="none"/>
                    </w:rPr>
                  </w:pPr>
                  <w:r>
                    <w:rPr>
                      <w:rFonts w:cs="Times New Roman" w:hint="eastAsia"/>
                      <w:color w:val="auto"/>
                      <w:lang w:val="en-US" w:eastAsia="zh-CN"/>
                      <w:highlight w:val="none"/>
                    </w:rPr>
                    <w:t>6.4.1 贮存池防渗层应覆盖整个池体，并应按照 6.1.4 的要求进行基础防渗。</w:t>
                  </w:r>
                </w:p>
                <w:p>
                  <w:pPr>
                    <w:adjustRightInd w:val="0"/>
                    <w:snapToGrid w:val="0"/>
                    <w:jc w:val="both"/>
                    <w:rPr>
                      <w:rFonts w:cs="Times New Roman" w:hint="eastAsia"/>
                      <w:color w:val="auto"/>
                      <w:lang w:val="en-US" w:eastAsia="zh-CN"/>
                      <w:highlight w:val="none"/>
                    </w:rPr>
                  </w:pPr>
                  <w:r>
                    <w:rPr>
                      <w:rFonts w:cs="Times New Roman" w:hint="eastAsia"/>
                      <w:color w:val="auto"/>
                      <w:lang w:val="en-US" w:eastAsia="zh-CN"/>
                      <w:highlight w:val="none"/>
                    </w:rPr>
                    <w:t>6.4.2 贮存池应采取措施防止雨水、地面径流等进入，保证能防止当地重现期不小于25 年的暴雨流入贮存池内。</w:t>
                  </w:r>
                </w:p>
                <w:p>
                  <w:pPr>
                    <w:adjustRightInd w:val="0"/>
                    <w:snapToGrid w:val="0"/>
                    <w:jc w:val="both"/>
                    <w:rPr>
                      <w:rFonts w:cs="Times New Roman" w:hint="eastAsia"/>
                      <w:color w:val="auto"/>
                      <w:lang w:val="en-US" w:eastAsia="zh-CN"/>
                      <w:highlight w:val="none"/>
                    </w:rPr>
                  </w:pPr>
                  <w:r>
                    <w:rPr>
                      <w:rFonts w:cs="Times New Roman" w:hint="eastAsia"/>
                      <w:color w:val="auto"/>
                      <w:lang w:val="en-US" w:eastAsia="zh-CN"/>
                      <w:highlight w:val="none"/>
                    </w:rPr>
                    <w:t>6.4.3 贮存池应采取措施减少大气污染物的无组织排放</w:t>
                  </w:r>
                </w:p>
              </w:tc>
              <w:tc>
                <w:tcPr>
                  <w:tcW w:w="1798" w:type="pct"/>
                </w:tcPr>
                <w:p>
                  <w:pPr>
                    <w:adjustRightInd w:val="0"/>
                    <w:snapToGrid w:val="0"/>
                    <w:jc w:val="both"/>
                    <w:rPr>
                      <w:rFonts w:ascii="Times New Roman" w:eastAsia="宋体" w:cs="Times New Roman" w:hAnsi="Times New Roman" w:hint="eastAsia"/>
                      <w:color w:val="auto"/>
                      <w:lang w:eastAsia="zh-CN"/>
                      <w:highlight w:val="none"/>
                    </w:rPr>
                  </w:pPr>
                  <w:r>
                    <w:rPr>
                      <w:rFonts w:cs="Times New Roman" w:hint="eastAsia"/>
                      <w:color w:val="auto"/>
                      <w:lang w:eastAsia="zh-CN"/>
                      <w:highlight w:val="none"/>
                    </w:rPr>
                    <w:t>废电解液收集池整体采取防渗措施，贮存环节位于室内，不涉及雨水和地面径流汇入，同时废气采取了碱喷淋装置进行处理。</w:t>
                  </w:r>
                </w:p>
              </w:tc>
              <w:tc>
                <w:tcPr>
                  <w:tcW w:w="465" w:type="pct"/>
                  <w:vAlign w:val="center"/>
                </w:tcPr>
                <w:p>
                  <w:pPr>
                    <w:adjustRightInd w:val="0"/>
                    <w:snapToGrid w:val="0"/>
                    <w:jc w:val="both"/>
                    <w:rPr>
                      <w:rFonts w:ascii="Times New Roman" w:eastAsia="宋体" w:cs="Times New Roman" w:hAnsi="Times New Roman"/>
                      <w:color w:val="auto"/>
                      <w:highlight w:val="none"/>
                    </w:rPr>
                  </w:pPr>
                  <w:r>
                    <w:rPr>
                      <w:rFonts w:ascii="Times New Roman" w:eastAsia="宋体" w:cs="Times New Roman" w:hAnsi="Times New Roman"/>
                      <w:color w:val="auto"/>
                      <w:highlight w:val="none"/>
                    </w:rPr>
                    <w:t>符合</w:t>
                  </w:r>
                </w:p>
              </w:tc>
            </w:tr>
            <w:tr>
              <w:trPr>
                <w:cantSplit/>
                <w:trHeight w:val="318"/>
                <w:tblHeader/>
              </w:trPr>
              <w:tc>
                <w:tcPr>
                  <w:tcW w:w="510" w:type="pct"/>
                  <w:vAlign w:val="center"/>
                </w:tcPr>
                <w:p>
                  <w:pPr>
                    <w:adjustRightInd w:val="0"/>
                    <w:snapToGrid w:val="0"/>
                    <w:jc w:val="center"/>
                    <w:rPr>
                      <w:rFonts w:ascii="Times New Roman" w:eastAsia="宋体" w:cs="Times New Roman" w:hAnsi="Times New Roman"/>
                      <w:color w:val="auto"/>
                      <w:highlight w:val="none"/>
                    </w:rPr>
                  </w:pPr>
                  <w:r>
                    <w:rPr>
                      <w:rFonts w:ascii="Times New Roman" w:eastAsia="宋体" w:cs="Times New Roman" w:hAnsi="Times New Roman"/>
                      <w:color w:val="auto"/>
                      <w:highlight w:val="none"/>
                    </w:rPr>
                    <w:t>容器和包装物污染控制要求</w:t>
                  </w:r>
                </w:p>
              </w:tc>
              <w:tc>
                <w:tcPr>
                  <w:tcW w:w="2225" w:type="pct"/>
                </w:tcPr>
                <w:p>
                  <w:pPr>
                    <w:adjustRightInd w:val="0"/>
                    <w:snapToGrid w:val="0"/>
                    <w:jc w:val="both"/>
                    <w:rPr>
                      <w:rFonts w:ascii="Times New Roman" w:eastAsia="宋体" w:cs="Times New Roman" w:hAnsi="Times New Roman"/>
                      <w:color w:val="auto"/>
                      <w:highlight w:val="none"/>
                    </w:rPr>
                  </w:pPr>
                  <w:r>
                    <w:rPr>
                      <w:rFonts w:ascii="Times New Roman" w:eastAsia="宋体" w:cs="Times New Roman" w:hAnsi="Times New Roman"/>
                      <w:color w:val="auto"/>
                      <w:highlight w:val="none"/>
                    </w:rPr>
                    <w:t>7.1 容器和包装物材质、内衬应与盛装的危险废物相容。</w:t>
                  </w:r>
                </w:p>
                <w:p>
                  <w:pPr>
                    <w:adjustRightInd w:val="0"/>
                    <w:snapToGrid w:val="0"/>
                    <w:jc w:val="both"/>
                    <w:rPr>
                      <w:rFonts w:ascii="Times New Roman" w:eastAsia="宋体" w:cs="Times New Roman" w:hAnsi="Times New Roman"/>
                      <w:color w:val="auto"/>
                      <w:highlight w:val="none"/>
                    </w:rPr>
                  </w:pPr>
                  <w:r>
                    <w:rPr>
                      <w:rFonts w:ascii="Times New Roman" w:eastAsia="宋体" w:cs="Times New Roman" w:hAnsi="Times New Roman"/>
                      <w:color w:val="auto"/>
                      <w:highlight w:val="none"/>
                    </w:rPr>
                    <w:t>7.2 针对不同类别、形态、物理化学性质的危险废物，其容器和包装物应满足相应的防渗、防漏、防腐和强度等要求。</w:t>
                  </w:r>
                </w:p>
                <w:p>
                  <w:pPr>
                    <w:adjustRightInd w:val="0"/>
                    <w:snapToGrid w:val="0"/>
                    <w:jc w:val="both"/>
                    <w:rPr>
                      <w:rFonts w:ascii="Times New Roman" w:eastAsia="宋体" w:cs="Times New Roman" w:hAnsi="Times New Roman"/>
                      <w:color w:val="auto"/>
                      <w:highlight w:val="none"/>
                    </w:rPr>
                  </w:pPr>
                  <w:r>
                    <w:rPr>
                      <w:rFonts w:ascii="Times New Roman" w:eastAsia="宋体" w:cs="Times New Roman" w:hAnsi="Times New Roman"/>
                      <w:color w:val="auto"/>
                      <w:highlight w:val="none"/>
                    </w:rPr>
                    <w:t>7.3 硬质容器和包装物及其支护结构堆叠码放时不应有明显变形，无破损泄漏。</w:t>
                  </w:r>
                </w:p>
                <w:p>
                  <w:pPr>
                    <w:adjustRightInd w:val="0"/>
                    <w:snapToGrid w:val="0"/>
                    <w:jc w:val="both"/>
                    <w:rPr>
                      <w:rFonts w:ascii="Times New Roman" w:eastAsia="宋体" w:cs="Times New Roman" w:hAnsi="Times New Roman"/>
                      <w:color w:val="auto"/>
                      <w:highlight w:val="none"/>
                    </w:rPr>
                  </w:pPr>
                  <w:r>
                    <w:rPr>
                      <w:rFonts w:ascii="Times New Roman" w:eastAsia="宋体" w:cs="Times New Roman" w:hAnsi="Times New Roman"/>
                      <w:color w:val="auto"/>
                      <w:highlight w:val="none"/>
                    </w:rPr>
                    <w:t>7.4 柔性容器和包装物堆叠码放时应封口严密，无破损泄漏。</w:t>
                  </w:r>
                </w:p>
                <w:p>
                  <w:pPr>
                    <w:adjustRightInd w:val="0"/>
                    <w:snapToGrid w:val="0"/>
                    <w:jc w:val="both"/>
                    <w:rPr>
                      <w:rFonts w:ascii="Times New Roman" w:eastAsia="宋体" w:cs="Times New Roman" w:hAnsi="Times New Roman"/>
                      <w:color w:val="auto"/>
                      <w:highlight w:val="none"/>
                    </w:rPr>
                  </w:pPr>
                  <w:r>
                    <w:rPr>
                      <w:rFonts w:ascii="Times New Roman" w:eastAsia="宋体" w:cs="Times New Roman" w:hAnsi="Times New Roman"/>
                      <w:color w:val="auto"/>
                      <w:highlight w:val="none"/>
                    </w:rPr>
                    <w:t>7.5 使用容器盛装液态、半固态危险废物时，容器内部应留有适当的空间，以适应因温度变化等可能引发的收缩和膨胀，防止其导致容器渗漏或永久变形。</w:t>
                  </w:r>
                </w:p>
                <w:p>
                  <w:pPr>
                    <w:adjustRightInd w:val="0"/>
                    <w:snapToGrid w:val="0"/>
                    <w:jc w:val="both"/>
                    <w:rPr>
                      <w:rFonts w:ascii="Times New Roman" w:eastAsia="宋体" w:cs="Times New Roman" w:hAnsi="Times New Roman"/>
                      <w:color w:val="auto"/>
                      <w:highlight w:val="none"/>
                    </w:rPr>
                  </w:pPr>
                  <w:r>
                    <w:rPr>
                      <w:rFonts w:ascii="Times New Roman" w:eastAsia="宋体" w:cs="Times New Roman" w:hAnsi="Times New Roman"/>
                      <w:color w:val="auto"/>
                      <w:highlight w:val="none"/>
                    </w:rPr>
                    <w:t>7.6 容器和包装物外表面应保持清洁</w:t>
                  </w:r>
                </w:p>
              </w:tc>
              <w:tc>
                <w:tcPr>
                  <w:tcW w:w="1798" w:type="pct"/>
                </w:tcPr>
                <w:p>
                  <w:pPr>
                    <w:adjustRightInd w:val="0"/>
                    <w:snapToGrid w:val="0"/>
                    <w:jc w:val="both"/>
                    <w:rPr>
                      <w:rFonts w:ascii="Times New Roman" w:eastAsia="宋体" w:cs="Times New Roman" w:hAnsi="Times New Roman"/>
                      <w:color w:val="auto"/>
                      <w:highlight w:val="none"/>
                    </w:rPr>
                  </w:pPr>
                  <w:r>
                    <w:rPr>
                      <w:rFonts w:ascii="Times New Roman" w:eastAsia="宋体" w:cs="Times New Roman" w:hAnsi="Times New Roman"/>
                      <w:color w:val="auto"/>
                      <w:highlight w:val="none"/>
                    </w:rPr>
                    <w:t>电池贮存过程中，经过分拣后，破损电池通过塑料薄膜包覆，放入耐腐蚀PE桶内，加盖盖严，防止有害物质渗出。</w:t>
                  </w:r>
                </w:p>
              </w:tc>
              <w:tc>
                <w:tcPr>
                  <w:tcW w:w="465" w:type="pct"/>
                  <w:vAlign w:val="center"/>
                </w:tcPr>
                <w:p>
                  <w:pPr>
                    <w:adjustRightInd w:val="0"/>
                    <w:snapToGrid w:val="0"/>
                    <w:jc w:val="both"/>
                    <w:rPr>
                      <w:rFonts w:ascii="Times New Roman" w:eastAsia="宋体" w:cs="Times New Roman" w:hAnsi="Times New Roman"/>
                      <w:color w:val="auto"/>
                      <w:highlight w:val="none"/>
                    </w:rPr>
                  </w:pPr>
                  <w:r>
                    <w:rPr>
                      <w:rFonts w:ascii="Times New Roman" w:eastAsia="宋体" w:cs="Times New Roman" w:hAnsi="Times New Roman"/>
                      <w:color w:val="auto"/>
                      <w:highlight w:val="none"/>
                    </w:rPr>
                    <w:t>符合</w:t>
                  </w:r>
                </w:p>
              </w:tc>
            </w:tr>
            <w:tr>
              <w:trPr>
                <w:cantSplit/>
                <w:trHeight w:val="318"/>
                <w:tblHeader/>
              </w:trPr>
              <w:tc>
                <w:tcPr>
                  <w:tcW w:w="510" w:type="pct"/>
                  <w:vMerge w:val="restart"/>
                  <w:vAlign w:val="center"/>
                </w:tcPr>
                <w:p>
                  <w:pPr>
                    <w:adjustRightInd w:val="0"/>
                    <w:snapToGrid w:val="0"/>
                    <w:jc w:val="center"/>
                    <w:rPr>
                      <w:rFonts w:ascii="Times New Roman" w:eastAsia="宋体" w:cs="Times New Roman" w:hAnsi="Times New Roman"/>
                      <w:color w:val="auto"/>
                      <w:highlight w:val="none"/>
                    </w:rPr>
                  </w:pPr>
                  <w:r>
                    <w:rPr>
                      <w:rFonts w:ascii="Times New Roman" w:eastAsia="宋体" w:cs="Times New Roman" w:hAnsi="Times New Roman"/>
                      <w:color w:val="auto"/>
                      <w:highlight w:val="none"/>
                    </w:rPr>
                    <w:t>贮存过程污染控制要求</w:t>
                  </w:r>
                </w:p>
              </w:tc>
              <w:tc>
                <w:tcPr>
                  <w:tcW w:w="2225" w:type="pct"/>
                </w:tcPr>
                <w:p>
                  <w:pPr>
                    <w:adjustRightInd w:val="0"/>
                    <w:snapToGrid w:val="0"/>
                    <w:jc w:val="both"/>
                    <w:rPr>
                      <w:rFonts w:ascii="Times New Roman" w:eastAsia="宋体" w:cs="Times New Roman" w:hAnsi="Times New Roman"/>
                      <w:color w:val="auto"/>
                      <w:highlight w:val="none"/>
                    </w:rPr>
                  </w:pPr>
                  <w:r>
                    <w:rPr>
                      <w:rFonts w:ascii="Times New Roman" w:eastAsia="宋体" w:cs="Times New Roman" w:hAnsi="Times New Roman"/>
                      <w:color w:val="auto"/>
                      <w:highlight w:val="none"/>
                    </w:rPr>
                    <w:t>8.1 一般规定</w:t>
                  </w:r>
                </w:p>
                <w:p>
                  <w:pPr>
                    <w:adjustRightInd w:val="0"/>
                    <w:snapToGrid w:val="0"/>
                    <w:jc w:val="both"/>
                    <w:rPr>
                      <w:rFonts w:ascii="Times New Roman" w:eastAsia="宋体" w:cs="Times New Roman" w:hAnsi="Times New Roman"/>
                      <w:color w:val="auto"/>
                      <w:highlight w:val="none"/>
                    </w:rPr>
                  </w:pPr>
                  <w:r>
                    <w:rPr>
                      <w:rFonts w:ascii="Times New Roman" w:eastAsia="宋体" w:cs="Times New Roman" w:hAnsi="Times New Roman"/>
                      <w:color w:val="auto"/>
                      <w:highlight w:val="none"/>
                    </w:rPr>
                    <w:t>8.1.1 在常温常压下不易水解、不易挥发的固态危险废物可分类堆放贮存，其他固态危险废物应装入容器或包装物内贮存。</w:t>
                  </w:r>
                </w:p>
                <w:p>
                  <w:pPr>
                    <w:adjustRightInd w:val="0"/>
                    <w:snapToGrid w:val="0"/>
                    <w:jc w:val="both"/>
                    <w:rPr>
                      <w:rFonts w:ascii="Times New Roman" w:eastAsia="宋体" w:cs="Times New Roman" w:hAnsi="Times New Roman"/>
                      <w:color w:val="auto"/>
                      <w:highlight w:val="none"/>
                    </w:rPr>
                  </w:pPr>
                  <w:r>
                    <w:rPr>
                      <w:rFonts w:ascii="Times New Roman" w:eastAsia="宋体" w:cs="Times New Roman" w:hAnsi="Times New Roman"/>
                      <w:color w:val="auto"/>
                      <w:highlight w:val="none"/>
                    </w:rPr>
                    <w:t>8.1.2 液态危险废物应装入容器内贮存，或直接采用贮存池、贮存罐区贮存。</w:t>
                  </w:r>
                </w:p>
                <w:p>
                  <w:pPr>
                    <w:adjustRightInd w:val="0"/>
                    <w:snapToGrid w:val="0"/>
                    <w:jc w:val="both"/>
                    <w:rPr>
                      <w:rFonts w:ascii="Times New Roman" w:eastAsia="宋体" w:cs="Times New Roman" w:hAnsi="Times New Roman"/>
                      <w:color w:val="auto"/>
                      <w:highlight w:val="none"/>
                    </w:rPr>
                  </w:pPr>
                  <w:r>
                    <w:rPr>
                      <w:rFonts w:ascii="Times New Roman" w:eastAsia="宋体" w:cs="Times New Roman" w:hAnsi="Times New Roman"/>
                      <w:color w:val="auto"/>
                      <w:highlight w:val="none"/>
                    </w:rPr>
                    <w:t>8.1.3 半固态危险废物应装入容器或包装袋内贮存，或直接采用贮存池贮存。</w:t>
                  </w:r>
                </w:p>
                <w:p>
                  <w:pPr>
                    <w:adjustRightInd w:val="0"/>
                    <w:snapToGrid w:val="0"/>
                    <w:jc w:val="both"/>
                    <w:rPr>
                      <w:rFonts w:ascii="Times New Roman" w:eastAsia="宋体" w:cs="Times New Roman" w:hAnsi="Times New Roman"/>
                      <w:color w:val="auto"/>
                      <w:highlight w:val="none"/>
                    </w:rPr>
                  </w:pPr>
                  <w:r>
                    <w:rPr>
                      <w:rFonts w:ascii="Times New Roman" w:eastAsia="宋体" w:cs="Times New Roman" w:hAnsi="Times New Roman"/>
                      <w:color w:val="auto"/>
                      <w:highlight w:val="none"/>
                    </w:rPr>
                    <w:t>8.1.4 具有热塑性的危险废物应装入容器或包装袋内进行贮存。</w:t>
                  </w:r>
                </w:p>
                <w:p>
                  <w:pPr>
                    <w:adjustRightInd w:val="0"/>
                    <w:snapToGrid w:val="0"/>
                    <w:jc w:val="both"/>
                    <w:rPr>
                      <w:rFonts w:ascii="Times New Roman" w:eastAsia="宋体" w:cs="Times New Roman" w:hAnsi="Times New Roman"/>
                      <w:color w:val="auto"/>
                      <w:highlight w:val="none"/>
                    </w:rPr>
                  </w:pPr>
                  <w:r>
                    <w:rPr>
                      <w:rFonts w:ascii="Times New Roman" w:eastAsia="宋体" w:cs="Times New Roman" w:hAnsi="Times New Roman"/>
                      <w:color w:val="auto"/>
                      <w:highlight w:val="none"/>
                    </w:rPr>
                    <w:t>8.1.5 易产生粉尘、VOCs、酸雾、有毒有害大气污染物和刺激性气味气体的危险废物应装入闭口容器或包装物内贮存。</w:t>
                  </w:r>
                </w:p>
                <w:p>
                  <w:pPr>
                    <w:adjustRightInd w:val="0"/>
                    <w:snapToGrid w:val="0"/>
                    <w:jc w:val="both"/>
                    <w:rPr>
                      <w:rFonts w:ascii="Times New Roman" w:eastAsia="宋体" w:cs="Times New Roman" w:hAnsi="Times New Roman"/>
                      <w:color w:val="auto"/>
                      <w:highlight w:val="none"/>
                    </w:rPr>
                  </w:pPr>
                  <w:r>
                    <w:rPr>
                      <w:rFonts w:ascii="Times New Roman" w:eastAsia="宋体" w:cs="Times New Roman" w:hAnsi="Times New Roman"/>
                      <w:color w:val="auto"/>
                      <w:highlight w:val="none"/>
                    </w:rPr>
                    <w:t>8.1.6 危险废物贮存过程中易产生粉尘等无组织排放的，应采取抑尘等有效措施。</w:t>
                  </w:r>
                </w:p>
              </w:tc>
              <w:tc>
                <w:tcPr>
                  <w:tcW w:w="1798" w:type="pct"/>
                </w:tcPr>
                <w:p>
                  <w:pPr>
                    <w:adjustRightInd w:val="0"/>
                    <w:snapToGrid w:val="0"/>
                    <w:jc w:val="both"/>
                    <w:rPr>
                      <w:rFonts w:ascii="Times New Roman" w:eastAsia="宋体" w:cs="Times New Roman" w:hAnsi="Times New Roman" w:hint="eastAsia"/>
                      <w:color w:val="auto"/>
                      <w:lang w:eastAsia="zh-CN"/>
                      <w:highlight w:val="none"/>
                    </w:rPr>
                  </w:pPr>
                  <w:r>
                    <w:rPr>
                      <w:rFonts w:ascii="Times New Roman" w:eastAsia="宋体" w:cs="Times New Roman" w:hAnsi="Times New Roman"/>
                      <w:color w:val="auto"/>
                      <w:highlight w:val="none"/>
                    </w:rPr>
                    <w:t>电池贮存过程中，经过分拣后，破损电池通过塑料薄膜包覆，放入耐腐蚀PE桶内，加盖盖严，防止有害物质渗出</w:t>
                  </w:r>
                  <w:r>
                    <w:rPr>
                      <w:rFonts w:ascii="Times New Roman" w:eastAsia="宋体" w:cs="Times New Roman" w:hAnsi="Times New Roman" w:hint="eastAsia"/>
                      <w:color w:val="auto"/>
                      <w:lang w:eastAsia="zh-CN"/>
                      <w:highlight w:val="none"/>
                    </w:rPr>
                    <w:t>。库房</w:t>
                  </w:r>
                  <w:r>
                    <w:rPr>
                      <w:rFonts w:cs="Times New Roman" w:hint="eastAsia"/>
                      <w:color w:val="auto"/>
                      <w:lang w:val="en-US" w:eastAsia="zh-CN"/>
                      <w:highlight w:val="none"/>
                    </w:rPr>
                    <w:t>设有碱喷淋装置对废气进行处理。</w:t>
                  </w:r>
                </w:p>
              </w:tc>
              <w:tc>
                <w:tcPr>
                  <w:tcW w:w="465" w:type="pct"/>
                  <w:vAlign w:val="center"/>
                </w:tcPr>
                <w:p>
                  <w:pPr>
                    <w:adjustRightInd w:val="0"/>
                    <w:snapToGrid w:val="0"/>
                    <w:jc w:val="both"/>
                    <w:rPr>
                      <w:rFonts w:ascii="Times New Roman" w:eastAsia="宋体" w:cs="Times New Roman" w:hAnsi="Times New Roman"/>
                      <w:color w:val="auto"/>
                      <w:highlight w:val="none"/>
                    </w:rPr>
                  </w:pPr>
                  <w:r>
                    <w:rPr>
                      <w:rFonts w:ascii="Times New Roman" w:eastAsia="宋体" w:cs="Times New Roman" w:hAnsi="Times New Roman"/>
                      <w:color w:val="auto"/>
                      <w:highlight w:val="none"/>
                    </w:rPr>
                    <w:t>符合</w:t>
                  </w:r>
                </w:p>
              </w:tc>
            </w:tr>
            <w:tr>
              <w:trPr>
                <w:cantSplit/>
                <w:trHeight w:val="318"/>
                <w:tblHeader/>
              </w:trPr>
              <w:tc>
                <w:tcPr>
                  <w:tcW w:w="510" w:type="pct"/>
                  <w:vMerge/>
                  <w:vAlign w:val="center"/>
                </w:tcPr>
                <w:p/>
              </w:tc>
              <w:tc>
                <w:tcPr>
                  <w:tcW w:w="2225" w:type="pct"/>
                </w:tcPr>
                <w:p>
                  <w:pPr>
                    <w:adjustRightInd w:val="0"/>
                    <w:snapToGrid w:val="0"/>
                    <w:jc w:val="both"/>
                    <w:rPr>
                      <w:rFonts w:ascii="Times New Roman" w:eastAsia="宋体" w:cs="Times New Roman" w:hAnsi="Times New Roman"/>
                      <w:color w:val="auto"/>
                      <w:highlight w:val="none"/>
                    </w:rPr>
                  </w:pPr>
                  <w:r>
                    <w:rPr>
                      <w:rFonts w:ascii="Times New Roman" w:eastAsia="宋体" w:cs="Times New Roman" w:hAnsi="Times New Roman"/>
                      <w:color w:val="auto"/>
                      <w:highlight w:val="none"/>
                    </w:rPr>
                    <w:t>8.2.1 危险废物存入贮存设施前应对危险废物类别和特性与危险废物标签等危险废物识别标志的一致性进行核验，不一致的或类别、特性不明的不应存入。</w:t>
                  </w:r>
                </w:p>
                <w:p>
                  <w:pPr>
                    <w:adjustRightInd w:val="0"/>
                    <w:snapToGrid w:val="0"/>
                    <w:jc w:val="both"/>
                    <w:rPr>
                      <w:rFonts w:ascii="Times New Roman" w:eastAsia="宋体" w:cs="Times New Roman" w:hAnsi="Times New Roman"/>
                      <w:color w:val="auto"/>
                      <w:highlight w:val="none"/>
                    </w:rPr>
                  </w:pPr>
                  <w:r>
                    <w:rPr>
                      <w:rFonts w:ascii="Times New Roman" w:eastAsia="宋体" w:cs="Times New Roman" w:hAnsi="Times New Roman"/>
                      <w:color w:val="auto"/>
                      <w:highlight w:val="none"/>
                    </w:rPr>
                    <w:t>8.2.2 应定期检查危险废物的贮存状况，及时清理贮存设施地面，更换破损泄漏的危险废物贮存容器和包装物，保证堆存危险废物的防雨、防风、防扬尘等设施功能完好。</w:t>
                  </w:r>
                </w:p>
                <w:p>
                  <w:pPr>
                    <w:adjustRightInd w:val="0"/>
                    <w:snapToGrid w:val="0"/>
                    <w:jc w:val="both"/>
                    <w:rPr>
                      <w:rFonts w:ascii="Times New Roman" w:eastAsia="宋体" w:cs="Times New Roman" w:hAnsi="Times New Roman"/>
                      <w:color w:val="auto"/>
                      <w:highlight w:val="none"/>
                    </w:rPr>
                  </w:pPr>
                  <w:r>
                    <w:rPr>
                      <w:rFonts w:ascii="Times New Roman" w:eastAsia="宋体" w:cs="Times New Roman" w:hAnsi="Times New Roman"/>
                      <w:color w:val="auto"/>
                      <w:highlight w:val="none"/>
                    </w:rPr>
                    <w:t>8.2.3 作业设备及车辆等结束作业离开贮存设施时，应对其残留的危险废物进行清理，清理的废物或清洗废水应收集处理。</w:t>
                  </w:r>
                </w:p>
                <w:p>
                  <w:pPr>
                    <w:adjustRightInd w:val="0"/>
                    <w:snapToGrid w:val="0"/>
                    <w:jc w:val="both"/>
                    <w:rPr>
                      <w:rFonts w:ascii="Times New Roman" w:eastAsia="宋体" w:cs="Times New Roman" w:hAnsi="Times New Roman"/>
                      <w:color w:val="auto"/>
                      <w:highlight w:val="none"/>
                    </w:rPr>
                  </w:pPr>
                  <w:r>
                    <w:rPr>
                      <w:rFonts w:ascii="Times New Roman" w:eastAsia="宋体" w:cs="Times New Roman" w:hAnsi="Times New Roman"/>
                      <w:color w:val="auto"/>
                      <w:highlight w:val="none"/>
                    </w:rPr>
                    <w:t>8.2.4 贮存设施运行期间，应按国家有关标准和规定建立危险废物管理台账并保存。</w:t>
                  </w:r>
                </w:p>
                <w:p>
                  <w:pPr>
                    <w:adjustRightInd w:val="0"/>
                    <w:snapToGrid w:val="0"/>
                    <w:jc w:val="both"/>
                    <w:rPr>
                      <w:rFonts w:ascii="Times New Roman" w:eastAsia="宋体" w:cs="Times New Roman" w:hAnsi="Times New Roman"/>
                      <w:color w:val="auto"/>
                      <w:highlight w:val="none"/>
                    </w:rPr>
                  </w:pPr>
                  <w:r>
                    <w:rPr>
                      <w:rFonts w:ascii="Times New Roman" w:eastAsia="宋体" w:cs="Times New Roman" w:hAnsi="Times New Roman"/>
                      <w:color w:val="auto"/>
                      <w:highlight w:val="none"/>
                    </w:rPr>
                    <w:t>8.2.5 贮存设施所有者或运营者应建立贮存设施环境管理制度、管理人员岗位职责制度、设施运行操作制度、人员岗位培训制度等。</w:t>
                  </w:r>
                </w:p>
                <w:p>
                  <w:pPr>
                    <w:adjustRightInd w:val="0"/>
                    <w:snapToGrid w:val="0"/>
                    <w:jc w:val="both"/>
                    <w:rPr>
                      <w:rFonts w:ascii="Times New Roman" w:eastAsia="宋体" w:cs="Times New Roman" w:hAnsi="Times New Roman"/>
                      <w:color w:val="auto"/>
                      <w:highlight w:val="none"/>
                    </w:rPr>
                  </w:pPr>
                  <w:r>
                    <w:rPr>
                      <w:rFonts w:ascii="Times New Roman" w:eastAsia="宋体" w:cs="Times New Roman" w:hAnsi="Times New Roman"/>
                      <w:color w:val="auto"/>
                      <w:highlight w:val="none"/>
                    </w:rPr>
                    <w:t>8.2.6 贮存设施所有者或运营者应依据国家土壤和地下水污染防治的有关规定，结合贮存设施特点建立土壤和地下水污染隐患排查制度，并定期开展隐患排查；发现隐患应及时采取措施消除隐患，并建立档案。</w:t>
                  </w:r>
                </w:p>
                <w:p>
                  <w:pPr>
                    <w:adjustRightInd w:val="0"/>
                    <w:snapToGrid w:val="0"/>
                    <w:jc w:val="both"/>
                    <w:rPr>
                      <w:rFonts w:ascii="Times New Roman" w:eastAsia="宋体" w:cs="Times New Roman" w:hAnsi="Times New Roman"/>
                      <w:color w:val="auto"/>
                      <w:highlight w:val="none"/>
                    </w:rPr>
                  </w:pPr>
                  <w:r>
                    <w:rPr>
                      <w:rFonts w:ascii="Times New Roman" w:eastAsia="宋体" w:cs="Times New Roman" w:hAnsi="Times New Roman"/>
                      <w:color w:val="auto"/>
                      <w:highlight w:val="none"/>
                    </w:rPr>
                    <w:t>8.2.7 贮存设施所有者或运营者应建立贮存设施全部档案，包括设计、施工、验收、运行、监测和环境应急等，应按国家有关档案管理的法律法规进行整理和归档。</w:t>
                  </w:r>
                </w:p>
              </w:tc>
              <w:tc>
                <w:tcPr>
                  <w:tcW w:w="1798" w:type="pct"/>
                </w:tcPr>
                <w:p>
                  <w:pPr>
                    <w:adjustRightInd w:val="0"/>
                    <w:snapToGrid w:val="0"/>
                    <w:jc w:val="both"/>
                    <w:rPr>
                      <w:rFonts w:ascii="Times New Roman" w:eastAsia="宋体" w:cs="Times New Roman" w:hAnsi="Times New Roman" w:hint="eastAsia"/>
                      <w:color w:val="auto"/>
                      <w:lang w:eastAsia="zh-CN"/>
                      <w:highlight w:val="none"/>
                    </w:rPr>
                  </w:pPr>
                  <w:r>
                    <w:rPr>
                      <w:rFonts w:cs="Times New Roman" w:hint="eastAsia"/>
                      <w:color w:val="auto"/>
                      <w:lang w:eastAsia="zh-CN"/>
                      <w:highlight w:val="none"/>
                    </w:rPr>
                    <w:t>本项目仅贮存废铅蓄电池，产生的其他危废设有单独的危废暂存间，</w:t>
                  </w:r>
                  <w:r>
                    <w:rPr>
                      <w:rFonts w:ascii="Times New Roman" w:eastAsia="宋体" w:cs="Times New Roman" w:hAnsi="Times New Roman"/>
                      <w:color w:val="auto"/>
                      <w:highlight w:val="none"/>
                    </w:rPr>
                    <w:t>定期检查危险废物的贮存状况，及时清理贮存设施地面，更换破损泄漏的危险废物贮存容器和包装物，保证堆存危险废物的防雨、防风、防扬尘等设施功能完好</w:t>
                  </w:r>
                  <w:r>
                    <w:rPr>
                      <w:rFonts w:ascii="Times New Roman" w:eastAsia="宋体" w:cs="Times New Roman" w:hAnsi="Times New Roman" w:hint="eastAsia"/>
                      <w:color w:val="auto"/>
                      <w:lang w:eastAsia="zh-CN"/>
                      <w:highlight w:val="none"/>
                    </w:rPr>
                    <w:t>。贮存期间按规定建立危险废物管理台账并保存，同时设有管理制度和岗位职责。</w:t>
                  </w:r>
                </w:p>
              </w:tc>
              <w:tc>
                <w:tcPr>
                  <w:tcW w:w="465" w:type="pct"/>
                  <w:vAlign w:val="center"/>
                </w:tcPr>
                <w:p>
                  <w:pPr>
                    <w:adjustRightInd w:val="0"/>
                    <w:snapToGrid w:val="0"/>
                    <w:jc w:val="both"/>
                    <w:rPr>
                      <w:rFonts w:ascii="Times New Roman" w:eastAsia="宋体" w:cs="Times New Roman" w:hAnsi="Times New Roman"/>
                      <w:color w:val="auto"/>
                      <w:highlight w:val="none"/>
                    </w:rPr>
                  </w:pPr>
                  <w:r>
                    <w:rPr>
                      <w:rFonts w:ascii="Times New Roman" w:eastAsia="宋体" w:cs="Times New Roman" w:hAnsi="Times New Roman"/>
                      <w:color w:val="auto"/>
                      <w:highlight w:val="none"/>
                    </w:rPr>
                    <w:t>符合</w:t>
                  </w:r>
                </w:p>
              </w:tc>
            </w:tr>
            <w:tr>
              <w:trPr>
                <w:cantSplit/>
                <w:trHeight w:val="318"/>
                <w:tblHeader/>
              </w:trPr>
              <w:tc>
                <w:tcPr>
                  <w:tcW w:w="510" w:type="pct"/>
                  <w:vAlign w:val="center"/>
                </w:tcPr>
                <w:p>
                  <w:pPr>
                    <w:adjustRightInd w:val="0"/>
                    <w:snapToGrid w:val="0"/>
                    <w:jc w:val="center"/>
                    <w:rPr>
                      <w:rFonts w:ascii="Times New Roman" w:eastAsia="宋体" w:cs="Times New Roman" w:hAnsi="Times New Roman"/>
                      <w:color w:val="auto"/>
                      <w:highlight w:val="none"/>
                    </w:rPr>
                  </w:pPr>
                  <w:r>
                    <w:rPr>
                      <w:rFonts w:ascii="Times New Roman" w:eastAsia="宋体" w:cs="Times New Roman" w:hAnsi="Times New Roman"/>
                      <w:color w:val="auto"/>
                      <w:highlight w:val="none"/>
                    </w:rPr>
                    <w:t>污染物排放控制要求</w:t>
                  </w:r>
                </w:p>
              </w:tc>
              <w:tc>
                <w:tcPr>
                  <w:tcW w:w="2225" w:type="pct"/>
                </w:tcPr>
                <w:p>
                  <w:pPr>
                    <w:adjustRightInd w:val="0"/>
                    <w:snapToGrid w:val="0"/>
                    <w:jc w:val="both"/>
                    <w:rPr>
                      <w:rFonts w:ascii="Times New Roman" w:eastAsia="宋体" w:cs="Times New Roman" w:hAnsi="Times New Roman"/>
                      <w:color w:val="auto"/>
                      <w:highlight w:val="none"/>
                    </w:rPr>
                  </w:pPr>
                  <w:r>
                    <w:rPr>
                      <w:rFonts w:ascii="Times New Roman" w:eastAsia="宋体" w:cs="Times New Roman" w:hAnsi="Times New Roman"/>
                      <w:color w:val="auto"/>
                      <w:highlight w:val="none"/>
                    </w:rPr>
                    <w:t>9.1 贮存设施产生的废水（包括贮存设施、作业设备、车辆等清洗废水，贮存罐区积存雨水，贮存事故废水等）应进行收集处理，废水排放应符合 GB 8978 规定的要求。</w:t>
                  </w:r>
                </w:p>
                <w:p>
                  <w:pPr>
                    <w:adjustRightInd w:val="0"/>
                    <w:snapToGrid w:val="0"/>
                    <w:jc w:val="both"/>
                    <w:rPr>
                      <w:rFonts w:ascii="Times New Roman" w:eastAsia="宋体" w:cs="Times New Roman" w:hAnsi="Times New Roman"/>
                      <w:color w:val="auto"/>
                      <w:highlight w:val="none"/>
                    </w:rPr>
                  </w:pPr>
                  <w:r>
                    <w:rPr>
                      <w:rFonts w:ascii="Times New Roman" w:eastAsia="宋体" w:cs="Times New Roman" w:hAnsi="Times New Roman"/>
                      <w:color w:val="auto"/>
                      <w:highlight w:val="none"/>
                    </w:rPr>
                    <w:t>9.2 贮存设施产生的废气（含无组织废气）的排放应符合 GB 16297 和 GB 37822 规定的要求。</w:t>
                  </w:r>
                </w:p>
                <w:p>
                  <w:pPr>
                    <w:adjustRightInd w:val="0"/>
                    <w:snapToGrid w:val="0"/>
                    <w:jc w:val="both"/>
                    <w:rPr>
                      <w:rFonts w:ascii="Times New Roman" w:eastAsia="宋体" w:cs="Times New Roman" w:hAnsi="Times New Roman"/>
                      <w:color w:val="auto"/>
                      <w:highlight w:val="none"/>
                    </w:rPr>
                  </w:pPr>
                  <w:r>
                    <w:rPr>
                      <w:rFonts w:ascii="Times New Roman" w:eastAsia="宋体" w:cs="Times New Roman" w:hAnsi="Times New Roman"/>
                      <w:color w:val="auto"/>
                      <w:highlight w:val="none"/>
                    </w:rPr>
                    <w:t>9.3 贮存设施产生的恶臭气体的排放应符合 GB 14554 规定的要求。</w:t>
                  </w:r>
                </w:p>
                <w:p>
                  <w:pPr>
                    <w:adjustRightInd w:val="0"/>
                    <w:snapToGrid w:val="0"/>
                    <w:jc w:val="both"/>
                    <w:rPr>
                      <w:rFonts w:ascii="Times New Roman" w:eastAsia="宋体" w:cs="Times New Roman" w:hAnsi="Times New Roman"/>
                      <w:color w:val="auto"/>
                      <w:highlight w:val="none"/>
                    </w:rPr>
                  </w:pPr>
                  <w:r>
                    <w:rPr>
                      <w:rFonts w:ascii="Times New Roman" w:eastAsia="宋体" w:cs="Times New Roman" w:hAnsi="Times New Roman"/>
                      <w:color w:val="auto"/>
                      <w:highlight w:val="none"/>
                    </w:rPr>
                    <w:t>9.4 贮存设施内产生以及清理的固体废物应按固体废物分类管理要求妥善处理。</w:t>
                  </w:r>
                </w:p>
                <w:p>
                  <w:pPr>
                    <w:adjustRightInd w:val="0"/>
                    <w:snapToGrid w:val="0"/>
                    <w:jc w:val="both"/>
                    <w:rPr>
                      <w:rFonts w:ascii="Times New Roman" w:eastAsia="宋体" w:cs="Times New Roman" w:hAnsi="Times New Roman"/>
                      <w:color w:val="auto"/>
                      <w:highlight w:val="none"/>
                    </w:rPr>
                  </w:pPr>
                  <w:r>
                    <w:rPr>
                      <w:rFonts w:ascii="Times New Roman" w:eastAsia="宋体" w:cs="Times New Roman" w:hAnsi="Times New Roman"/>
                      <w:color w:val="auto"/>
                      <w:highlight w:val="none"/>
                    </w:rPr>
                    <w:t>9.5 贮存设施排放的环境噪声应符合 GB 12348 规定的要求</w:t>
                  </w:r>
                </w:p>
              </w:tc>
              <w:tc>
                <w:tcPr>
                  <w:tcW w:w="1798" w:type="pct"/>
                </w:tcPr>
                <w:p>
                  <w:pPr>
                    <w:adjustRightInd w:val="0"/>
                    <w:snapToGrid w:val="0"/>
                    <w:jc w:val="both"/>
                    <w:rPr>
                      <w:rFonts w:ascii="Times New Roman" w:eastAsia="宋体" w:cs="Times New Roman" w:hAnsi="Times New Roman" w:hint="eastAsia"/>
                      <w:color w:val="auto"/>
                      <w:lang w:eastAsia="zh-CN"/>
                      <w:highlight w:val="none"/>
                    </w:rPr>
                  </w:pPr>
                  <w:r>
                    <w:rPr>
                      <w:rFonts w:cs="Times New Roman" w:hint="eastAsia"/>
                      <w:color w:val="auto"/>
                      <w:lang w:eastAsia="zh-CN"/>
                      <w:highlight w:val="none"/>
                    </w:rPr>
                    <w:t>本项目贮存过程中不涉及废水，产生的废气采用碱喷淋装置处理后达标排放。噪声采取措施后也能达标排放。</w:t>
                  </w:r>
                </w:p>
              </w:tc>
              <w:tc>
                <w:tcPr>
                  <w:tcW w:w="465" w:type="pct"/>
                  <w:vAlign w:val="center"/>
                </w:tcPr>
                <w:p>
                  <w:pPr>
                    <w:adjustRightInd w:val="0"/>
                    <w:snapToGrid w:val="0"/>
                    <w:jc w:val="both"/>
                    <w:rPr>
                      <w:rFonts w:ascii="Times New Roman" w:eastAsia="宋体" w:cs="Times New Roman" w:hAnsi="Times New Roman"/>
                      <w:color w:val="auto"/>
                      <w:highlight w:val="none"/>
                    </w:rPr>
                  </w:pPr>
                  <w:r>
                    <w:rPr>
                      <w:rFonts w:ascii="Times New Roman" w:eastAsia="宋体" w:cs="Times New Roman" w:hAnsi="Times New Roman"/>
                      <w:color w:val="auto"/>
                      <w:highlight w:val="none"/>
                    </w:rPr>
                    <w:t>符合</w:t>
                  </w:r>
                </w:p>
              </w:tc>
            </w:tr>
            <w:tr>
              <w:trPr>
                <w:cantSplit/>
                <w:trHeight w:val="318"/>
                <w:tblHeader/>
              </w:trPr>
              <w:tc>
                <w:tcPr>
                  <w:tcW w:w="510" w:type="pct"/>
                  <w:vAlign w:val="center"/>
                </w:tcPr>
                <w:p>
                  <w:pPr>
                    <w:adjustRightInd w:val="0"/>
                    <w:snapToGrid w:val="0"/>
                    <w:jc w:val="center"/>
                    <w:rPr>
                      <w:rFonts w:ascii="Times New Roman" w:eastAsia="宋体" w:cs="Times New Roman" w:hAnsi="Times New Roman"/>
                      <w:color w:val="auto"/>
                      <w:highlight w:val="none"/>
                    </w:rPr>
                  </w:pPr>
                  <w:r>
                    <w:rPr>
                      <w:rFonts w:ascii="Times New Roman" w:eastAsia="宋体" w:cs="Times New Roman" w:hAnsi="Times New Roman"/>
                      <w:color w:val="auto"/>
                      <w:highlight w:val="none"/>
                    </w:rPr>
                    <w:t>环境应急要求</w:t>
                  </w:r>
                </w:p>
              </w:tc>
              <w:tc>
                <w:tcPr>
                  <w:tcW w:w="2225" w:type="pct"/>
                </w:tcPr>
                <w:p>
                  <w:pPr>
                    <w:adjustRightInd w:val="0"/>
                    <w:snapToGrid w:val="0"/>
                    <w:jc w:val="both"/>
                    <w:rPr>
                      <w:rFonts w:ascii="Times New Roman" w:eastAsia="宋体" w:cs="Times New Roman" w:hAnsi="Times New Roman"/>
                      <w:color w:val="auto"/>
                      <w:highlight w:val="none"/>
                    </w:rPr>
                  </w:pPr>
                  <w:r>
                    <w:rPr>
                      <w:rFonts w:ascii="Times New Roman" w:eastAsia="宋体" w:cs="Times New Roman" w:hAnsi="Times New Roman"/>
                      <w:color w:val="auto"/>
                      <w:highlight w:val="none"/>
                    </w:rPr>
                    <w:t>11.1 贮存设施所有者或运营者应按照国家有关规定编制突发环境事件应急预案，定期开展必要的培训和环境应急演练，并做好培训、演练记录。</w:t>
                  </w:r>
                </w:p>
                <w:p>
                  <w:pPr>
                    <w:adjustRightInd w:val="0"/>
                    <w:snapToGrid w:val="0"/>
                    <w:jc w:val="both"/>
                    <w:rPr>
                      <w:rFonts w:ascii="Times New Roman" w:eastAsia="宋体" w:cs="Times New Roman" w:hAnsi="Times New Roman"/>
                      <w:color w:val="auto"/>
                      <w:highlight w:val="none"/>
                    </w:rPr>
                  </w:pPr>
                  <w:r>
                    <w:rPr>
                      <w:rFonts w:ascii="Times New Roman" w:eastAsia="宋体" w:cs="Times New Roman" w:hAnsi="Times New Roman"/>
                      <w:color w:val="auto"/>
                      <w:highlight w:val="none"/>
                    </w:rPr>
                    <w:t>11.2 贮存设施所有者或运营者应配备满足其突发环境事件应急要求的应急人员、装备和物资，并应设置应急照明系统。</w:t>
                  </w:r>
                </w:p>
                <w:p>
                  <w:pPr>
                    <w:adjustRightInd w:val="0"/>
                    <w:snapToGrid w:val="0"/>
                    <w:jc w:val="both"/>
                    <w:rPr>
                      <w:rFonts w:ascii="Times New Roman" w:eastAsia="宋体" w:cs="Times New Roman" w:hAnsi="Times New Roman"/>
                      <w:color w:val="auto"/>
                      <w:highlight w:val="none"/>
                    </w:rPr>
                  </w:pPr>
                  <w:r>
                    <w:rPr>
                      <w:rFonts w:ascii="Times New Roman" w:eastAsia="宋体" w:cs="Times New Roman" w:hAnsi="Times New Roman"/>
                      <w:color w:val="auto"/>
                      <w:highlight w:val="none"/>
                    </w:rPr>
                    <w:t>11.3 相关部门发布自然灾害或恶劣天气预警后，贮存设施所有者或运营者应启动相应防控措施，若有必要可将危险废物转移至其他具有防护条件的地点贮存。</w:t>
                  </w:r>
                </w:p>
              </w:tc>
              <w:tc>
                <w:tcPr>
                  <w:tcW w:w="1798" w:type="pct"/>
                </w:tcPr>
                <w:p>
                  <w:pPr>
                    <w:adjustRightInd w:val="0"/>
                    <w:snapToGrid w:val="0"/>
                    <w:jc w:val="both"/>
                    <w:rPr>
                      <w:rFonts w:ascii="Times New Roman" w:eastAsia="宋体" w:cs="Times New Roman" w:hAnsi="Times New Roman" w:hint="eastAsia"/>
                      <w:color w:val="auto"/>
                      <w:lang w:eastAsia="zh-CN"/>
                      <w:highlight w:val="none"/>
                    </w:rPr>
                  </w:pPr>
                  <w:r>
                    <w:rPr>
                      <w:rFonts w:ascii="Times New Roman" w:eastAsia="宋体" w:cs="Times New Roman" w:hAnsi="Times New Roman" w:hint="eastAsia"/>
                      <w:color w:val="auto"/>
                      <w:lang w:eastAsia="zh-CN"/>
                      <w:highlight w:val="none"/>
                    </w:rPr>
                    <w:t>项目</w:t>
                  </w:r>
                  <w:r>
                    <w:rPr>
                      <w:rFonts w:ascii="Times New Roman" w:eastAsia="宋体" w:cs="Times New Roman" w:hAnsi="Times New Roman"/>
                      <w:color w:val="auto"/>
                      <w:highlight w:val="none"/>
                    </w:rPr>
                    <w:t>按照国家有关规定编制突发环境事件应急预案，定期开展必要的培训和环境应急演练，并做好培训、演练记录</w:t>
                  </w:r>
                  <w:r>
                    <w:rPr>
                      <w:rFonts w:ascii="Times New Roman" w:eastAsia="宋体" w:cs="Times New Roman" w:hAnsi="Times New Roman" w:hint="eastAsia"/>
                      <w:color w:val="auto"/>
                      <w:lang w:eastAsia="zh-CN"/>
                      <w:highlight w:val="none"/>
                    </w:rPr>
                    <w:t>。</w:t>
                  </w:r>
                  <w:r>
                    <w:rPr>
                      <w:rFonts w:ascii="Times New Roman" w:eastAsia="宋体" w:cs="Times New Roman" w:hAnsi="Times New Roman"/>
                      <w:color w:val="auto"/>
                      <w:highlight w:val="none"/>
                    </w:rPr>
                    <w:t>配备满足其突发环境事件应急要求的应急人员、装备和物资，并设置应急照明系统</w:t>
                  </w:r>
                  <w:r>
                    <w:rPr>
                      <w:rFonts w:ascii="Times New Roman" w:eastAsia="宋体" w:cs="Times New Roman" w:hAnsi="Times New Roman" w:hint="eastAsia"/>
                      <w:color w:val="auto"/>
                      <w:lang w:eastAsia="zh-CN"/>
                      <w:highlight w:val="none"/>
                    </w:rPr>
                    <w:t>。</w:t>
                  </w:r>
                </w:p>
              </w:tc>
              <w:tc>
                <w:tcPr>
                  <w:tcW w:w="465" w:type="pct"/>
                  <w:vAlign w:val="center"/>
                </w:tcPr>
                <w:p>
                  <w:pPr>
                    <w:adjustRightInd w:val="0"/>
                    <w:snapToGrid w:val="0"/>
                    <w:jc w:val="both"/>
                    <w:rPr>
                      <w:rFonts w:ascii="Times New Roman" w:eastAsia="宋体" w:cs="Times New Roman" w:hAnsi="Times New Roman"/>
                      <w:color w:val="auto"/>
                      <w:highlight w:val="none"/>
                    </w:rPr>
                  </w:pPr>
                  <w:r>
                    <w:rPr>
                      <w:rFonts w:ascii="Times New Roman" w:eastAsia="宋体" w:cs="Times New Roman" w:hAnsi="Times New Roman"/>
                      <w:color w:val="auto"/>
                      <w:highlight w:val="none"/>
                    </w:rPr>
                    <w:t>符合</w:t>
                  </w:r>
                </w:p>
              </w:tc>
            </w:tr>
          </w:tbl>
          <w:p>
            <w:pPr>
              <w:pStyle w:val="107"/>
              <w:rPr>
                <w:rFonts w:hint="eastAsia"/>
                <w:color w:val="auto"/>
              </w:rPr>
            </w:pPr>
            <w:r>
              <w:rPr>
                <w:rFonts w:hint="eastAsia"/>
                <w:color w:val="auto"/>
              </w:rPr>
              <w:t>（</w:t>
            </w:r>
            <w:r>
              <w:rPr>
                <w:rFonts w:hint="eastAsia"/>
                <w:color w:val="auto"/>
                <w:lang w:val="en-US" w:eastAsia="zh-CN"/>
              </w:rPr>
              <w:t>2</w:t>
            </w:r>
            <w:r>
              <w:rPr>
                <w:rFonts w:hint="eastAsia"/>
                <w:color w:val="auto"/>
              </w:rPr>
              <w:t>）与</w:t>
            </w:r>
            <w:r>
              <w:rPr>
                <w:color w:val="auto"/>
                <w:spacing w:val="-1"/>
              </w:rPr>
              <w:t>《电池废料贮运规范》（</w:t>
            </w:r>
            <w:r>
              <w:rPr>
                <w:rFonts w:ascii="Times New Roman" w:eastAsia="Times New Roman" w:cs="Times New Roman" w:hAnsi="Times New Roman"/>
                <w:color w:val="auto"/>
                <w:spacing w:val="-1"/>
              </w:rPr>
              <w:t>GB/T264</w:t>
            </w:r>
            <w:r>
              <w:rPr>
                <w:rFonts w:ascii="Times New Roman" w:eastAsia="Times New Roman" w:cs="Times New Roman" w:hAnsi="Times New Roman"/>
                <w:color w:val="auto"/>
                <w:spacing w:val="-2"/>
              </w:rPr>
              <w:t>93-2011</w:t>
            </w:r>
            <w:r>
              <w:rPr>
                <w:color w:val="auto"/>
                <w:spacing w:val="-2"/>
              </w:rPr>
              <w:t>）及其修改单的</w:t>
            </w:r>
            <w:r>
              <w:rPr>
                <w:color w:val="auto"/>
                <w:spacing w:val="-3"/>
              </w:rPr>
              <w:t>符合性分析</w:t>
            </w:r>
          </w:p>
          <w:p>
            <w:pPr>
              <w:ind w:firstLineChars="200" w:firstLine="480"/>
              <w:jc w:val="center"/>
              <w:rPr>
                <w:rFonts w:ascii="Times New Roman" w:eastAsia="宋体" w:cs="Times New Roman" w:hAnsi="Times New Roman" w:hint="eastAsia"/>
                <w:b/>
                <w:bCs/>
                <w:color w:val="auto"/>
                <w:sz w:val="24"/>
                <w:highlight w:val="none"/>
              </w:rPr>
            </w:pPr>
            <w:r>
              <w:rPr>
                <w:rFonts w:ascii="Times New Roman" w:eastAsia="宋体" w:cs="Times New Roman" w:hAnsi="Times New Roman" w:hint="eastAsia"/>
                <w:b/>
                <w:bCs/>
                <w:color w:val="auto"/>
                <w:sz w:val="24"/>
                <w:highlight w:val="none"/>
              </w:rPr>
              <w:t>表1-</w:t>
            </w:r>
            <w:r>
              <w:rPr>
                <w:rFonts w:ascii="Times New Roman" w:eastAsia="宋体" w:cs="Times New Roman" w:hAnsi="Times New Roman" w:hint="eastAsia"/>
                <w:b/>
                <w:bCs/>
                <w:color w:val="auto"/>
                <w:sz w:val="24"/>
                <w:lang w:val="en-US" w:eastAsia="zh-CN"/>
                <w:highlight w:val="none"/>
              </w:rPr>
              <w:t>1</w:t>
            </w:r>
            <w:r>
              <w:rPr>
                <w:rFonts w:cs="Times New Roman" w:hint="eastAsia"/>
                <w:b/>
                <w:bCs/>
                <w:color w:val="auto"/>
                <w:sz w:val="24"/>
                <w:lang w:val="en-US" w:eastAsia="zh-CN"/>
                <w:highlight w:val="none"/>
              </w:rPr>
              <w:t>5</w:t>
            </w:r>
            <w:r>
              <w:rPr>
                <w:rFonts w:ascii="Times New Roman" w:eastAsia="宋体" w:cs="Times New Roman" w:hAnsi="Times New Roman" w:hint="eastAsia"/>
                <w:b/>
                <w:bCs/>
                <w:color w:val="auto"/>
                <w:sz w:val="24"/>
                <w:highlight w:val="none"/>
              </w:rPr>
              <w:t xml:space="preserve">  项目与废电池污染防治技术政策的符合性分析</w:t>
            </w:r>
          </w:p>
          <w:tbl>
            <w:tblPr>
              <w:jc w:val="center"/>
              <w:tblW w:w="4998" w:type="pct"/>
              <w:tblBorders>
                <w:top w:val="single" w:sz="12" w:space="0" w:color="auto"/>
                <w:left w:val="none" w:sz="0" w:space="0" w:color="auto"/>
                <w:bottom w:val="single" w:sz="12" w:space="0" w:color="auto"/>
                <w:right w:val="none" w:sz="0" w:space="0" w:color="auto"/>
                <w:insideH w:val="single" w:sz="4" w:space="0" w:color="auto"/>
                <w:insideV w:val="single" w:sz="4" w:space="0" w:color="auto"/>
              </w:tblBorders>
              <w:tblCellMar>
                <w:top w:w="0" w:type="dxa"/>
                <w:left w:w="108" w:type="dxa"/>
                <w:bottom w:w="0" w:type="dxa"/>
                <w:right w:w="108" w:type="dxa"/>
              </w:tblCellMar>
              <w:tblLook w:val="0600" w:firstRow="0" w:lastRow="0" w:firstColumn="0" w:lastColumn="0" w:noHBand="1" w:noVBand="1"/>
            </w:tblPr>
            <w:tblGrid>
              <w:gridCol w:w="482"/>
              <w:gridCol w:w="3237"/>
              <w:gridCol w:w="3126"/>
              <w:gridCol w:w="751"/>
            </w:tblGrid>
            <w:tr>
              <w:trPr>
                <w:cantSplit/>
                <w:trHeight w:val="318"/>
                <w:tblHeader/>
              </w:trPr>
              <w:tc>
                <w:tcPr>
                  <w:tcW w:w="317" w:type="pct"/>
                  <w:vAlign w:val="center"/>
                </w:tcPr>
                <w:p>
                  <w:pPr>
                    <w:snapToGrid w:val="0"/>
                    <w:jc w:val="center"/>
                    <w:rPr>
                      <w:rFonts w:hint="eastAsia"/>
                      <w:b/>
                      <w:color w:val="auto"/>
                      <w:szCs w:val="21"/>
                    </w:rPr>
                  </w:pPr>
                  <w:r>
                    <w:rPr>
                      <w:rFonts w:hint="eastAsia"/>
                      <w:b/>
                      <w:color w:val="auto"/>
                      <w:szCs w:val="21"/>
                    </w:rPr>
                    <w:t>项目</w:t>
                  </w:r>
                </w:p>
              </w:tc>
              <w:tc>
                <w:tcPr>
                  <w:tcW w:w="2130" w:type="pct"/>
                  <w:vAlign w:val="center"/>
                </w:tcPr>
                <w:p>
                  <w:pPr>
                    <w:snapToGrid w:val="0"/>
                    <w:jc w:val="center"/>
                    <w:rPr>
                      <w:rFonts w:hint="eastAsia"/>
                      <w:b/>
                      <w:color w:val="auto"/>
                      <w:szCs w:val="21"/>
                    </w:rPr>
                  </w:pPr>
                  <w:r>
                    <w:rPr>
                      <w:rFonts w:hint="eastAsia"/>
                      <w:b/>
                      <w:color w:val="auto"/>
                      <w:szCs w:val="21"/>
                    </w:rPr>
                    <w:t>规范要求</w:t>
                  </w:r>
                </w:p>
              </w:tc>
              <w:tc>
                <w:tcPr>
                  <w:tcW w:w="2057" w:type="pct"/>
                  <w:vAlign w:val="center"/>
                </w:tcPr>
                <w:p>
                  <w:pPr>
                    <w:snapToGrid w:val="0"/>
                    <w:jc w:val="center"/>
                    <w:rPr>
                      <w:rFonts w:hint="eastAsia"/>
                      <w:b/>
                      <w:color w:val="auto"/>
                      <w:szCs w:val="21"/>
                    </w:rPr>
                  </w:pPr>
                  <w:r>
                    <w:rPr>
                      <w:rFonts w:hint="eastAsia"/>
                      <w:b/>
                      <w:color w:val="auto"/>
                      <w:szCs w:val="21"/>
                    </w:rPr>
                    <w:t>项目建设条件</w:t>
                  </w:r>
                </w:p>
              </w:tc>
              <w:tc>
                <w:tcPr>
                  <w:tcW w:w="494" w:type="pct"/>
                  <w:vAlign w:val="center"/>
                </w:tcPr>
                <w:p>
                  <w:pPr>
                    <w:snapToGrid w:val="0"/>
                    <w:jc w:val="center"/>
                    <w:rPr>
                      <w:rFonts w:hint="eastAsia"/>
                      <w:b/>
                      <w:color w:val="auto"/>
                      <w:szCs w:val="21"/>
                    </w:rPr>
                  </w:pPr>
                  <w:r>
                    <w:rPr>
                      <w:rFonts w:hint="eastAsia"/>
                      <w:b/>
                      <w:color w:val="auto"/>
                      <w:szCs w:val="21"/>
                    </w:rPr>
                    <w:t>相符性</w:t>
                  </w:r>
                </w:p>
              </w:tc>
            </w:tr>
            <w:tr>
              <w:trPr>
                <w:cantSplit/>
                <w:trHeight w:val="318"/>
              </w:trPr>
              <w:tc>
                <w:tcPr>
                  <w:tcW w:w="317" w:type="pct"/>
                  <w:vMerge w:val="restart"/>
                  <w:vAlign w:val="center"/>
                </w:tcPr>
                <w:p>
                  <w:pPr>
                    <w:snapToGrid w:val="0"/>
                    <w:jc w:val="center"/>
                    <w:rPr>
                      <w:rFonts w:eastAsia="宋体" w:hint="eastAsia"/>
                      <w:bCs/>
                      <w:color w:val="auto"/>
                      <w:szCs w:val="21"/>
                      <w:lang w:eastAsia="zh-CN"/>
                    </w:rPr>
                  </w:pPr>
                  <w:r>
                    <w:rPr>
                      <w:rFonts w:hint="eastAsia"/>
                      <w:bCs/>
                      <w:color w:val="auto"/>
                      <w:szCs w:val="21"/>
                      <w:lang w:eastAsia="zh-CN"/>
                    </w:rPr>
                    <w:t>一般要求</w:t>
                  </w:r>
                </w:p>
              </w:tc>
              <w:tc>
                <w:tcPr>
                  <w:tcW w:w="2130" w:type="pct"/>
                  <w:vAlign w:val="center"/>
                </w:tcPr>
                <w:p>
                  <w:pPr>
                    <w:adjustRightInd w:val="0"/>
                    <w:snapToGrid w:val="0"/>
                    <w:jc w:val="both"/>
                    <w:rPr>
                      <w:rFonts w:ascii="Times New Roman" w:eastAsia="宋体" w:cs="Times New Roman" w:hAnsi="Times New Roman" w:hint="eastAsia"/>
                      <w:color w:val="auto"/>
                      <w:highlight w:val="none"/>
                    </w:rPr>
                  </w:pPr>
                  <w:r>
                    <w:rPr>
                      <w:rFonts w:ascii="Times New Roman" w:eastAsia="宋体" w:cs="Times New Roman" w:hAnsi="Times New Roman"/>
                      <w:color w:val="auto"/>
                      <w:highlight w:val="none"/>
                    </w:rPr>
                    <w:t>电池废料贮存应遵照《中华人民共和国固体废物污染环境防治法》</w:t>
                  </w:r>
                  <w:r>
                    <w:rPr>
                      <w:rFonts w:cs="Times New Roman" w:hint="eastAsia"/>
                      <w:color w:val="auto"/>
                      <w:lang w:eastAsia="zh-CN"/>
                      <w:highlight w:val="none"/>
                    </w:rPr>
                    <w:t>（</w:t>
                  </w:r>
                  <w:r>
                    <w:rPr>
                      <w:rFonts w:ascii="Times New Roman" w:eastAsia="宋体" w:cs="Times New Roman" w:hAnsi="Times New Roman"/>
                      <w:color w:val="auto"/>
                      <w:highlight w:val="none"/>
                    </w:rPr>
                    <w:t>中华人民共和国主席令第31号</w:t>
                  </w:r>
                  <w:r>
                    <w:rPr>
                      <w:rFonts w:cs="Times New Roman" w:hint="eastAsia"/>
                      <w:color w:val="auto"/>
                      <w:lang w:eastAsia="zh-CN"/>
                      <w:highlight w:val="none"/>
                    </w:rPr>
                    <w:t>）</w:t>
                  </w:r>
                  <w:r>
                    <w:rPr>
                      <w:rFonts w:ascii="Times New Roman" w:eastAsia="宋体" w:cs="Times New Roman" w:hAnsi="Times New Roman"/>
                      <w:color w:val="auto"/>
                      <w:highlight w:val="none"/>
                    </w:rPr>
                    <w:t>、《废电池污染防治技术政策》</w:t>
                  </w:r>
                  <w:r>
                    <w:rPr>
                      <w:rFonts w:cs="Times New Roman" w:hint="eastAsia"/>
                      <w:color w:val="auto"/>
                      <w:lang w:eastAsia="zh-CN"/>
                      <w:highlight w:val="none"/>
                    </w:rPr>
                    <w:t>（</w:t>
                  </w:r>
                  <w:r>
                    <w:rPr>
                      <w:rFonts w:ascii="Times New Roman" w:eastAsia="宋体" w:cs="Times New Roman" w:hAnsi="Times New Roman"/>
                      <w:color w:val="auto"/>
                      <w:highlight w:val="none"/>
                    </w:rPr>
                    <w:t>环发E20031163号</w:t>
                  </w:r>
                  <w:r>
                    <w:rPr>
                      <w:rFonts w:cs="Times New Roman" w:hint="eastAsia"/>
                      <w:color w:val="auto"/>
                      <w:lang w:eastAsia="zh-CN"/>
                      <w:highlight w:val="none"/>
                    </w:rPr>
                    <w:t>）</w:t>
                  </w:r>
                  <w:r>
                    <w:rPr>
                      <w:rFonts w:ascii="Times New Roman" w:eastAsia="宋体" w:cs="Times New Roman" w:hAnsi="Times New Roman"/>
                      <w:color w:val="auto"/>
                      <w:highlight w:val="none"/>
                    </w:rPr>
                    <w:t>的有关规定</w:t>
                  </w:r>
                </w:p>
              </w:tc>
              <w:tc>
                <w:tcPr>
                  <w:tcW w:w="2057" w:type="pct"/>
                  <w:vAlign w:val="center"/>
                </w:tcPr>
                <w:p>
                  <w:pPr>
                    <w:adjustRightInd w:val="0"/>
                    <w:snapToGrid w:val="0"/>
                    <w:jc w:val="both"/>
                    <w:rPr>
                      <w:rFonts w:ascii="Times New Roman" w:eastAsia="宋体" w:cs="Times New Roman" w:hAnsi="Times New Roman" w:hint="eastAsia"/>
                      <w:color w:val="auto"/>
                      <w:highlight w:val="none"/>
                    </w:rPr>
                  </w:pPr>
                  <w:r>
                    <w:rPr>
                      <w:rFonts w:ascii="Times New Roman" w:eastAsia="宋体" w:cs="Times New Roman" w:hAnsi="Times New Roman"/>
                      <w:color w:val="auto"/>
                      <w:highlight w:val="none"/>
                    </w:rPr>
                    <w:t>本项目仓库地面采取重点防渗处理，并设置导流沟和</w:t>
                  </w:r>
                  <w:r>
                    <w:rPr>
                      <w:rFonts w:ascii="Times New Roman" w:eastAsia="宋体" w:cs="Times New Roman" w:hAnsi="Times New Roman" w:hint="eastAsia"/>
                      <w:color w:val="auto"/>
                      <w:lang w:eastAsia="zh-CN"/>
                      <w:highlight w:val="none"/>
                    </w:rPr>
                    <w:t>废液收集池</w:t>
                  </w:r>
                  <w:r>
                    <w:rPr>
                      <w:rFonts w:ascii="Times New Roman" w:eastAsia="宋体" w:cs="Times New Roman" w:hAnsi="Times New Roman"/>
                      <w:color w:val="auto"/>
                      <w:highlight w:val="none"/>
                    </w:rPr>
                    <w:t>，</w:t>
                  </w:r>
                  <w:r>
                    <w:rPr>
                      <w:rFonts w:ascii="Times New Roman" w:eastAsia="宋体" w:cs="Times New Roman" w:hAnsi="Times New Roman" w:hint="eastAsia"/>
                      <w:color w:val="auto"/>
                      <w:lang w:eastAsia="zh-CN"/>
                      <w:highlight w:val="none"/>
                    </w:rPr>
                    <w:t>破损电池贮存间</w:t>
                  </w:r>
                  <w:r>
                    <w:rPr>
                      <w:rFonts w:ascii="Times New Roman" w:eastAsia="宋体" w:cs="Times New Roman" w:hAnsi="Times New Roman"/>
                      <w:color w:val="auto"/>
                      <w:highlight w:val="none"/>
                    </w:rPr>
                    <w:t>采用负压收集系统，废气通过碱液喷淋系统处理后通过</w:t>
                  </w:r>
                  <w:r>
                    <w:rPr>
                      <w:rFonts w:ascii="Times New Roman" w:eastAsia="宋体" w:cs="Times New Roman" w:hAnsi="Times New Roman" w:hint="eastAsia"/>
                      <w:color w:val="auto"/>
                      <w:lang w:val="en-US" w:eastAsia="zh-CN"/>
                      <w:highlight w:val="none"/>
                    </w:rPr>
                    <w:t>15</w:t>
                  </w:r>
                  <w:r>
                    <w:rPr>
                      <w:rFonts w:ascii="Times New Roman" w:eastAsia="宋体" w:cs="Times New Roman" w:hAnsi="Times New Roman"/>
                      <w:color w:val="auto"/>
                      <w:highlight w:val="none"/>
                    </w:rPr>
                    <w:t>m高排气筒有组织排放。满足《中华人民共和国固体废物污染环境防治法》</w:t>
                  </w:r>
                  <w:r>
                    <w:rPr>
                      <w:rFonts w:cs="Times New Roman" w:hint="eastAsia"/>
                      <w:color w:val="auto"/>
                      <w:lang w:eastAsia="zh-CN"/>
                      <w:highlight w:val="none"/>
                    </w:rPr>
                    <w:t>（</w:t>
                  </w:r>
                  <w:r>
                    <w:rPr>
                      <w:rFonts w:ascii="Times New Roman" w:eastAsia="宋体" w:cs="Times New Roman" w:hAnsi="Times New Roman"/>
                      <w:color w:val="auto"/>
                      <w:highlight w:val="none"/>
                    </w:rPr>
                    <w:t>中华人民共和国主席令第31号</w:t>
                  </w:r>
                  <w:r>
                    <w:rPr>
                      <w:rFonts w:cs="Times New Roman" w:hint="eastAsia"/>
                      <w:color w:val="auto"/>
                      <w:lang w:eastAsia="zh-CN"/>
                      <w:highlight w:val="none"/>
                    </w:rPr>
                    <w:t>）</w:t>
                  </w:r>
                  <w:r>
                    <w:rPr>
                      <w:rFonts w:ascii="Times New Roman" w:eastAsia="宋体" w:cs="Times New Roman" w:hAnsi="Times New Roman"/>
                      <w:color w:val="auto"/>
                      <w:highlight w:val="none"/>
                    </w:rPr>
                    <w:t>、《废电池污染防治技术政策》</w:t>
                  </w:r>
                  <w:r>
                    <w:rPr>
                      <w:rFonts w:cs="Times New Roman" w:hint="eastAsia"/>
                      <w:color w:val="auto"/>
                      <w:lang w:eastAsia="zh-CN"/>
                      <w:highlight w:val="none"/>
                    </w:rPr>
                    <w:t>（</w:t>
                  </w:r>
                  <w:r>
                    <w:rPr>
                      <w:rFonts w:ascii="Times New Roman" w:eastAsia="宋体" w:cs="Times New Roman" w:hAnsi="Times New Roman"/>
                      <w:color w:val="auto"/>
                      <w:highlight w:val="none"/>
                    </w:rPr>
                    <w:t>环发E20031163号</w:t>
                  </w:r>
                  <w:r>
                    <w:rPr>
                      <w:rFonts w:cs="Times New Roman" w:hint="eastAsia"/>
                      <w:color w:val="auto"/>
                      <w:lang w:eastAsia="zh-CN"/>
                      <w:highlight w:val="none"/>
                    </w:rPr>
                    <w:t>）</w:t>
                  </w:r>
                  <w:r>
                    <w:rPr>
                      <w:rFonts w:ascii="Times New Roman" w:eastAsia="宋体" w:cs="Times New Roman" w:hAnsi="Times New Roman"/>
                      <w:color w:val="auto"/>
                      <w:highlight w:val="none"/>
                    </w:rPr>
                    <w:t>的有关规定。</w:t>
                  </w:r>
                </w:p>
              </w:tc>
              <w:tc>
                <w:tcPr>
                  <w:tcW w:w="494" w:type="pct"/>
                  <w:vAlign w:val="center"/>
                </w:tcPr>
                <w:p>
                  <w:pPr>
                    <w:adjustRightInd w:val="0"/>
                    <w:snapToGrid w:val="0"/>
                    <w:jc w:val="center"/>
                    <w:rPr>
                      <w:rFonts w:ascii="Times New Roman" w:eastAsia="宋体" w:cs="Times New Roman" w:hAnsi="Times New Roman" w:hint="eastAsia"/>
                      <w:color w:val="auto"/>
                      <w:highlight w:val="none"/>
                    </w:rPr>
                  </w:pPr>
                  <w:r>
                    <w:rPr>
                      <w:rFonts w:ascii="Times New Roman" w:eastAsia="宋体" w:cs="Times New Roman" w:hAnsi="Times New Roman" w:hint="eastAsia"/>
                      <w:color w:val="auto"/>
                      <w:highlight w:val="none"/>
                    </w:rPr>
                    <w:t>符合</w:t>
                  </w:r>
                </w:p>
              </w:tc>
            </w:tr>
            <w:tr>
              <w:trPr>
                <w:cantSplit/>
                <w:trHeight w:val="318"/>
              </w:trPr>
              <w:tc>
                <w:tcPr>
                  <w:tcW w:w="317" w:type="pct"/>
                  <w:vMerge/>
                  <w:vAlign w:val="center"/>
                </w:tcPr>
                <w:p/>
              </w:tc>
              <w:tc>
                <w:tcPr>
                  <w:tcW w:w="2130" w:type="pct"/>
                  <w:vAlign w:val="center"/>
                </w:tcPr>
                <w:p>
                  <w:pPr>
                    <w:adjustRightInd w:val="0"/>
                    <w:snapToGrid w:val="0"/>
                    <w:jc w:val="both"/>
                    <w:rPr>
                      <w:rFonts w:ascii="Times New Roman" w:eastAsia="宋体" w:cs="Times New Roman" w:hAnsi="Times New Roman"/>
                      <w:color w:val="auto"/>
                      <w:highlight w:val="none"/>
                    </w:rPr>
                  </w:pPr>
                  <w:r>
                    <w:rPr>
                      <w:rFonts w:ascii="Times New Roman" w:eastAsia="宋体" w:cs="Times New Roman" w:hAnsi="Times New Roman"/>
                      <w:color w:val="auto"/>
                      <w:highlight w:val="none"/>
                    </w:rPr>
                    <w:t>电池废料应堆放在阴凉干爽的</w:t>
                  </w:r>
                  <w:r>
                    <w:rPr>
                      <w:rFonts w:cs="Times New Roman" w:hint="eastAsia"/>
                      <w:color w:val="auto"/>
                      <w:lang w:eastAsia="zh-CN"/>
                      <w:highlight w:val="none"/>
                    </w:rPr>
                    <w:t>地</w:t>
                  </w:r>
                  <w:r>
                    <w:rPr>
                      <w:rFonts w:ascii="Times New Roman" w:eastAsia="宋体" w:cs="Times New Roman" w:hAnsi="Times New Roman"/>
                      <w:color w:val="auto"/>
                      <w:highlight w:val="none"/>
                    </w:rPr>
                    <w:t>方，不得堆放在露天场地，不得存放在阳光直接照射、高温及潮湿的地方。</w:t>
                  </w:r>
                </w:p>
              </w:tc>
              <w:tc>
                <w:tcPr>
                  <w:tcW w:w="2057" w:type="pct"/>
                  <w:vAlign w:val="center"/>
                </w:tcPr>
                <w:p>
                  <w:pPr>
                    <w:adjustRightInd w:val="0"/>
                    <w:snapToGrid w:val="0"/>
                    <w:jc w:val="both"/>
                    <w:rPr>
                      <w:rFonts w:ascii="Times New Roman" w:eastAsia="宋体" w:cs="Times New Roman" w:hAnsi="Times New Roman"/>
                      <w:color w:val="auto"/>
                      <w:highlight w:val="none"/>
                    </w:rPr>
                  </w:pPr>
                  <w:r>
                    <w:rPr>
                      <w:rFonts w:ascii="Times New Roman" w:eastAsia="宋体" w:cs="Times New Roman" w:hAnsi="Times New Roman"/>
                      <w:color w:val="auto"/>
                      <w:highlight w:val="none"/>
                    </w:rPr>
                    <w:t>电池收集贮存于仓库中。避免露天贮存。</w:t>
                  </w:r>
                </w:p>
              </w:tc>
              <w:tc>
                <w:tcPr>
                  <w:tcW w:w="494" w:type="pct"/>
                  <w:vAlign w:val="center"/>
                </w:tcPr>
                <w:p>
                  <w:pPr>
                    <w:adjustRightInd w:val="0"/>
                    <w:snapToGrid w:val="0"/>
                    <w:jc w:val="center"/>
                    <w:rPr>
                      <w:rFonts w:ascii="Times New Roman" w:eastAsia="宋体" w:cs="Times New Roman" w:hAnsi="Times New Roman"/>
                      <w:color w:val="auto"/>
                      <w:highlight w:val="none"/>
                    </w:rPr>
                  </w:pPr>
                  <w:r>
                    <w:rPr>
                      <w:rFonts w:ascii="Times New Roman" w:eastAsia="宋体" w:cs="Times New Roman" w:hAnsi="Times New Roman" w:hint="eastAsia"/>
                      <w:color w:val="auto"/>
                      <w:highlight w:val="none"/>
                    </w:rPr>
                    <w:t>符合</w:t>
                  </w:r>
                </w:p>
              </w:tc>
            </w:tr>
            <w:tr>
              <w:trPr>
                <w:cantSplit/>
                <w:trHeight w:val="318"/>
              </w:trPr>
              <w:tc>
                <w:tcPr>
                  <w:tcW w:w="317" w:type="pct"/>
                  <w:vMerge/>
                  <w:vAlign w:val="center"/>
                </w:tcPr>
                <w:p/>
              </w:tc>
              <w:tc>
                <w:tcPr>
                  <w:tcW w:w="2130" w:type="pct"/>
                  <w:vAlign w:val="center"/>
                </w:tcPr>
                <w:p>
                  <w:pPr>
                    <w:adjustRightInd w:val="0"/>
                    <w:snapToGrid w:val="0"/>
                    <w:jc w:val="both"/>
                    <w:rPr>
                      <w:rFonts w:ascii="Times New Roman" w:eastAsia="宋体" w:cs="Times New Roman" w:hAnsi="Times New Roman"/>
                      <w:color w:val="auto"/>
                      <w:highlight w:val="none"/>
                    </w:rPr>
                  </w:pPr>
                  <w:r>
                    <w:rPr>
                      <w:rFonts w:ascii="Times New Roman" w:eastAsia="宋体" w:cs="Times New Roman" w:hAnsi="Times New Roman"/>
                      <w:color w:val="auto"/>
                      <w:highlight w:val="none"/>
                    </w:rPr>
                    <w:t>电池废料的贮存、运输单位应获得当地环保部门的批准，取得相应的经营资质，属于危险废物的</w:t>
                  </w:r>
                </w:p>
                <w:p>
                  <w:pPr>
                    <w:adjustRightInd w:val="0"/>
                    <w:snapToGrid w:val="0"/>
                    <w:jc w:val="both"/>
                    <w:rPr>
                      <w:rFonts w:ascii="Times New Roman" w:eastAsia="宋体" w:cs="Times New Roman" w:hAnsi="Times New Roman"/>
                      <w:color w:val="auto"/>
                      <w:highlight w:val="none"/>
                    </w:rPr>
                  </w:pPr>
                  <w:r>
                    <w:rPr>
                      <w:rFonts w:ascii="Times New Roman" w:eastAsia="宋体" w:cs="Times New Roman" w:hAnsi="Times New Roman"/>
                      <w:color w:val="auto"/>
                      <w:highlight w:val="none"/>
                    </w:rPr>
                    <w:t>应取得危险废物经营许可证。</w:t>
                  </w:r>
                </w:p>
              </w:tc>
              <w:tc>
                <w:tcPr>
                  <w:tcW w:w="2057" w:type="pct"/>
                  <w:vAlign w:val="center"/>
                </w:tcPr>
                <w:p>
                  <w:pPr>
                    <w:adjustRightInd w:val="0"/>
                    <w:snapToGrid w:val="0"/>
                    <w:jc w:val="both"/>
                    <w:rPr>
                      <w:rFonts w:ascii="Times New Roman" w:eastAsia="宋体" w:cs="Times New Roman" w:hAnsi="Times New Roman"/>
                      <w:color w:val="auto"/>
                      <w:highlight w:val="none"/>
                    </w:rPr>
                  </w:pPr>
                  <w:r>
                    <w:rPr>
                      <w:rFonts w:cs="Times New Roman" w:hint="eastAsia"/>
                      <w:color w:val="auto"/>
                      <w:lang w:eastAsia="zh-CN"/>
                      <w:highlight w:val="none"/>
                    </w:rPr>
                    <w:t>本项目</w:t>
                  </w:r>
                  <w:r>
                    <w:rPr>
                      <w:rFonts w:ascii="Times New Roman" w:eastAsia="宋体" w:cs="Times New Roman" w:hAnsi="Times New Roman"/>
                      <w:color w:val="auto"/>
                      <w:highlight w:val="none"/>
                    </w:rPr>
                    <w:t>委托有资质单位进行运输</w:t>
                  </w:r>
                  <w:r>
                    <w:rPr>
                      <w:rFonts w:cs="Times New Roman" w:hint="eastAsia"/>
                      <w:color w:val="auto"/>
                      <w:lang w:eastAsia="zh-CN"/>
                      <w:highlight w:val="none"/>
                    </w:rPr>
                    <w:t>，本项目取得环评批复后办理</w:t>
                  </w:r>
                  <w:r>
                    <w:rPr>
                      <w:rFonts w:ascii="Times New Roman" w:eastAsia="宋体" w:cs="Times New Roman" w:hAnsi="Times New Roman"/>
                      <w:color w:val="auto"/>
                      <w:highlight w:val="none"/>
                    </w:rPr>
                    <w:t>危险废物经营许可证。</w:t>
                  </w:r>
                </w:p>
              </w:tc>
              <w:tc>
                <w:tcPr>
                  <w:tcW w:w="494" w:type="pct"/>
                  <w:vAlign w:val="center"/>
                </w:tcPr>
                <w:p>
                  <w:pPr>
                    <w:adjustRightInd w:val="0"/>
                    <w:snapToGrid w:val="0"/>
                    <w:jc w:val="center"/>
                    <w:rPr>
                      <w:rFonts w:ascii="Times New Roman" w:eastAsia="宋体" w:cs="Times New Roman" w:hAnsi="Times New Roman"/>
                      <w:color w:val="auto"/>
                      <w:highlight w:val="none"/>
                    </w:rPr>
                  </w:pPr>
                  <w:r>
                    <w:rPr>
                      <w:rFonts w:ascii="Times New Roman" w:eastAsia="宋体" w:cs="Times New Roman" w:hAnsi="Times New Roman" w:hint="eastAsia"/>
                      <w:color w:val="auto"/>
                      <w:highlight w:val="none"/>
                    </w:rPr>
                    <w:t>符合</w:t>
                  </w:r>
                </w:p>
              </w:tc>
            </w:tr>
            <w:tr>
              <w:trPr>
                <w:cantSplit/>
                <w:trHeight w:val="318"/>
              </w:trPr>
              <w:tc>
                <w:tcPr>
                  <w:tcW w:w="317" w:type="pct"/>
                  <w:vMerge/>
                  <w:vAlign w:val="center"/>
                </w:tcPr>
                <w:p/>
              </w:tc>
              <w:tc>
                <w:tcPr>
                  <w:tcW w:w="2130" w:type="pct"/>
                  <w:vAlign w:val="center"/>
                </w:tcPr>
                <w:p>
                  <w:pPr>
                    <w:adjustRightInd w:val="0"/>
                    <w:snapToGrid w:val="0"/>
                    <w:jc w:val="both"/>
                    <w:rPr>
                      <w:rFonts w:ascii="Times New Roman" w:eastAsia="宋体" w:cs="Times New Roman" w:hAnsi="Times New Roman"/>
                      <w:color w:val="auto"/>
                      <w:highlight w:val="none"/>
                    </w:rPr>
                  </w:pPr>
                  <w:r>
                    <w:rPr>
                      <w:rFonts w:ascii="Times New Roman" w:eastAsia="宋体" w:cs="Times New Roman" w:hAnsi="Times New Roman"/>
                      <w:color w:val="auto"/>
                      <w:highlight w:val="none"/>
                    </w:rPr>
                    <w:t>电池废料在贮存、运输过程中，应保证废电池的外壳完整，减少并防止有害物质的渗出。</w:t>
                  </w:r>
                </w:p>
              </w:tc>
              <w:tc>
                <w:tcPr>
                  <w:tcW w:w="2057" w:type="pct"/>
                  <w:vAlign w:val="center"/>
                </w:tcPr>
                <w:p>
                  <w:pPr>
                    <w:adjustRightInd w:val="0"/>
                    <w:snapToGrid w:val="0"/>
                    <w:jc w:val="both"/>
                    <w:rPr>
                      <w:rFonts w:ascii="Times New Roman" w:eastAsia="宋体" w:cs="Times New Roman" w:hAnsi="Times New Roman"/>
                      <w:color w:val="auto"/>
                      <w:highlight w:val="none"/>
                    </w:rPr>
                  </w:pPr>
                  <w:r>
                    <w:rPr>
                      <w:rFonts w:ascii="Times New Roman" w:eastAsia="宋体" w:cs="Times New Roman" w:hAnsi="Times New Roman"/>
                      <w:color w:val="auto"/>
                      <w:highlight w:val="none"/>
                    </w:rPr>
                    <w:t>电池贮存过程中，经过分拣后，破损电池通过塑料薄膜包覆，放入耐腐蚀PE桶内，加盖盖严，防止有害物质渗出。</w:t>
                  </w:r>
                </w:p>
              </w:tc>
              <w:tc>
                <w:tcPr>
                  <w:tcW w:w="494" w:type="pct"/>
                  <w:vAlign w:val="center"/>
                </w:tcPr>
                <w:p>
                  <w:pPr>
                    <w:adjustRightInd w:val="0"/>
                    <w:snapToGrid w:val="0"/>
                    <w:jc w:val="center"/>
                    <w:rPr>
                      <w:rFonts w:ascii="Times New Roman" w:eastAsia="宋体" w:cs="Times New Roman" w:hAnsi="Times New Roman"/>
                      <w:color w:val="auto"/>
                      <w:highlight w:val="none"/>
                    </w:rPr>
                  </w:pPr>
                  <w:r>
                    <w:rPr>
                      <w:rFonts w:ascii="Times New Roman" w:eastAsia="宋体" w:cs="Times New Roman" w:hAnsi="Times New Roman" w:hint="eastAsia"/>
                      <w:color w:val="auto"/>
                      <w:highlight w:val="none"/>
                    </w:rPr>
                    <w:t>符合</w:t>
                  </w:r>
                </w:p>
              </w:tc>
            </w:tr>
            <w:tr>
              <w:trPr>
                <w:cantSplit/>
                <w:trHeight w:val="873"/>
              </w:trPr>
              <w:tc>
                <w:tcPr>
                  <w:tcW w:w="317" w:type="pct"/>
                  <w:vMerge/>
                  <w:vAlign w:val="center"/>
                </w:tcPr>
                <w:p/>
              </w:tc>
              <w:tc>
                <w:tcPr>
                  <w:tcW w:w="2130" w:type="pct"/>
                  <w:vAlign w:val="center"/>
                </w:tcPr>
                <w:p>
                  <w:pPr>
                    <w:adjustRightInd w:val="0"/>
                    <w:snapToGrid w:val="0"/>
                    <w:jc w:val="both"/>
                    <w:rPr>
                      <w:rFonts w:ascii="Times New Roman" w:eastAsia="宋体" w:cs="Times New Roman" w:hAnsi="Times New Roman"/>
                      <w:color w:val="auto"/>
                      <w:highlight w:val="none"/>
                    </w:rPr>
                  </w:pPr>
                  <w:r>
                    <w:rPr>
                      <w:rFonts w:ascii="Times New Roman" w:eastAsia="宋体" w:cs="Times New Roman" w:hAnsi="Times New Roman"/>
                      <w:color w:val="auto"/>
                      <w:highlight w:val="none"/>
                    </w:rPr>
                    <w:t>电池废料的贮存仓库及场所应设专人管理，管理人员须具备电池方面的相关知识。</w:t>
                  </w:r>
                </w:p>
              </w:tc>
              <w:tc>
                <w:tcPr>
                  <w:tcW w:w="2057" w:type="pct"/>
                  <w:vAlign w:val="center"/>
                </w:tcPr>
                <w:p>
                  <w:pPr>
                    <w:adjustRightInd w:val="0"/>
                    <w:snapToGrid w:val="0"/>
                    <w:jc w:val="both"/>
                    <w:rPr>
                      <w:rFonts w:ascii="Times New Roman" w:eastAsia="宋体" w:cs="Times New Roman" w:hAnsi="Times New Roman"/>
                      <w:color w:val="auto"/>
                      <w:highlight w:val="none"/>
                    </w:rPr>
                  </w:pPr>
                  <w:r>
                    <w:rPr>
                      <w:rFonts w:ascii="Times New Roman" w:eastAsia="宋体" w:cs="Times New Roman" w:hAnsi="Times New Roman"/>
                      <w:color w:val="auto"/>
                      <w:highlight w:val="none"/>
                    </w:rPr>
                    <w:t>设置专人管理，进出废电池做好台账登记等措施。</w:t>
                  </w:r>
                </w:p>
              </w:tc>
              <w:tc>
                <w:tcPr>
                  <w:tcW w:w="494" w:type="pct"/>
                  <w:vAlign w:val="center"/>
                </w:tcPr>
                <w:p>
                  <w:pPr>
                    <w:adjustRightInd w:val="0"/>
                    <w:snapToGrid w:val="0"/>
                    <w:jc w:val="center"/>
                    <w:rPr>
                      <w:rFonts w:ascii="Times New Roman" w:eastAsia="宋体" w:cs="Times New Roman" w:hAnsi="Times New Roman"/>
                      <w:color w:val="auto"/>
                      <w:highlight w:val="none"/>
                    </w:rPr>
                  </w:pPr>
                  <w:r>
                    <w:rPr>
                      <w:rFonts w:ascii="Times New Roman" w:eastAsia="宋体" w:cs="Times New Roman" w:hAnsi="Times New Roman" w:hint="eastAsia"/>
                      <w:color w:val="auto"/>
                      <w:highlight w:val="none"/>
                    </w:rPr>
                    <w:t>符合</w:t>
                  </w:r>
                </w:p>
              </w:tc>
            </w:tr>
            <w:tr>
              <w:trPr>
                <w:trHeight w:val="614"/>
              </w:trPr>
              <w:tc>
                <w:tcPr>
                  <w:tcW w:w="317" w:type="pct"/>
                  <w:vMerge w:val="restart"/>
                  <w:vAlign w:val="center"/>
                </w:tcPr>
                <w:p>
                  <w:pPr>
                    <w:snapToGrid w:val="0"/>
                    <w:jc w:val="center"/>
                    <w:rPr>
                      <w:rFonts w:eastAsia="宋体" w:hint="eastAsia"/>
                      <w:bCs/>
                      <w:color w:val="auto"/>
                      <w:szCs w:val="21"/>
                      <w:lang w:eastAsia="zh-CN"/>
                    </w:rPr>
                  </w:pPr>
                  <w:r>
                    <w:rPr>
                      <w:rFonts w:hint="eastAsia"/>
                      <w:bCs/>
                      <w:color w:val="auto"/>
                      <w:szCs w:val="21"/>
                      <w:lang w:eastAsia="zh-CN"/>
                    </w:rPr>
                    <w:t>贮存</w:t>
                  </w:r>
                </w:p>
              </w:tc>
              <w:tc>
                <w:tcPr>
                  <w:tcW w:w="2130" w:type="pct"/>
                  <w:vAlign w:val="center"/>
                </w:tcPr>
                <w:p>
                  <w:pPr>
                    <w:adjustRightInd w:val="0"/>
                    <w:snapToGrid w:val="0"/>
                    <w:jc w:val="both"/>
                    <w:rPr>
                      <w:rFonts w:ascii="Times New Roman" w:eastAsia="宋体" w:cs="Times New Roman" w:hAnsi="Times New Roman" w:hint="eastAsia"/>
                      <w:color w:val="auto"/>
                      <w:lang w:eastAsia="zh-CN"/>
                      <w:highlight w:val="none"/>
                    </w:rPr>
                  </w:pPr>
                  <w:r>
                    <w:rPr>
                      <w:rFonts w:ascii="Times New Roman" w:eastAsia="宋体" w:cs="Times New Roman" w:hAnsi="Times New Roman"/>
                      <w:color w:val="auto"/>
                      <w:highlight w:val="none"/>
                    </w:rPr>
                    <w:t>根据贮存要求和是否属于危险废弃物，对电池废料进行分类</w:t>
                  </w:r>
                  <w:r>
                    <w:rPr>
                      <w:rFonts w:cs="Times New Roman" w:hint="eastAsia"/>
                      <w:color w:val="auto"/>
                      <w:lang w:eastAsia="zh-CN"/>
                      <w:highlight w:val="none"/>
                    </w:rPr>
                    <w:t>。列入国家危险废物名录的电池废料，对于不同组别采用分离贮存，周一组别采用隔离贮存。贮存仓库及列入国家危险废物名录的电池废料场所应贴有危险废物的警告标志，参照GB 15562</w:t>
                  </w:r>
                  <w:r>
                    <w:rPr>
                      <w:rFonts w:cs="Times New Roman" w:hint="eastAsia"/>
                      <w:color w:val="auto"/>
                      <w:lang w:val="en-US" w:eastAsia="zh-CN"/>
                      <w:highlight w:val="none"/>
                    </w:rPr>
                    <w:t>.</w:t>
                  </w:r>
                  <w:r>
                    <w:rPr>
                      <w:rFonts w:cs="Times New Roman" w:hint="eastAsia"/>
                      <w:color w:val="auto"/>
                      <w:lang w:eastAsia="zh-CN"/>
                      <w:highlight w:val="none"/>
                    </w:rPr>
                    <w:t>2的有关规定进行。</w:t>
                  </w:r>
                </w:p>
              </w:tc>
              <w:tc>
                <w:tcPr>
                  <w:tcW w:w="2057" w:type="pct"/>
                  <w:vAlign w:val="center"/>
                </w:tcPr>
                <w:p>
                  <w:pPr>
                    <w:adjustRightInd w:val="0"/>
                    <w:snapToGrid w:val="0"/>
                    <w:jc w:val="both"/>
                    <w:rPr>
                      <w:rFonts w:ascii="Times New Roman" w:eastAsia="宋体" w:cs="Times New Roman" w:hAnsi="Times New Roman" w:hint="eastAsia"/>
                      <w:color w:val="auto"/>
                      <w:lang w:eastAsia="zh-CN"/>
                      <w:highlight w:val="none"/>
                    </w:rPr>
                  </w:pPr>
                  <w:r>
                    <w:rPr>
                      <w:rFonts w:ascii="Times New Roman" w:eastAsia="宋体" w:cs="Times New Roman" w:hAnsi="Times New Roman"/>
                      <w:color w:val="auto"/>
                      <w:highlight w:val="none"/>
                    </w:rPr>
                    <w:t>本项目收集贮存的废电池主要为废铅蓄电池，为危险废物。</w:t>
                  </w:r>
                  <w:r>
                    <w:rPr>
                      <w:rFonts w:cs="Times New Roman" w:hint="eastAsia"/>
                      <w:color w:val="auto"/>
                      <w:lang w:eastAsia="zh-CN"/>
                      <w:highlight w:val="none"/>
                    </w:rPr>
                    <w:t>本次评价要求库房及废旧电池贮存区粘贴危险废物的警告标志。</w:t>
                  </w:r>
                </w:p>
              </w:tc>
              <w:tc>
                <w:tcPr>
                  <w:tcW w:w="494" w:type="pct"/>
                  <w:vAlign w:val="center"/>
                </w:tcPr>
                <w:p>
                  <w:pPr>
                    <w:adjustRightInd w:val="0"/>
                    <w:snapToGrid w:val="0"/>
                    <w:jc w:val="center"/>
                    <w:rPr>
                      <w:rFonts w:ascii="Times New Roman" w:eastAsia="宋体" w:cs="Times New Roman" w:hAnsi="Times New Roman" w:hint="eastAsia"/>
                      <w:color w:val="auto"/>
                      <w:highlight w:val="none"/>
                    </w:rPr>
                  </w:pPr>
                  <w:r>
                    <w:rPr>
                      <w:rFonts w:ascii="Times New Roman" w:eastAsia="宋体" w:cs="Times New Roman" w:hAnsi="Times New Roman" w:hint="eastAsia"/>
                      <w:color w:val="auto"/>
                      <w:highlight w:val="none"/>
                    </w:rPr>
                    <w:t>符合</w:t>
                  </w:r>
                </w:p>
              </w:tc>
            </w:tr>
            <w:tr>
              <w:trPr>
                <w:cantSplit/>
                <w:trHeight w:val="318"/>
              </w:trPr>
              <w:tc>
                <w:tcPr>
                  <w:tcW w:w="317" w:type="pct"/>
                  <w:vMerge/>
                  <w:vAlign w:val="center"/>
                </w:tcPr>
                <w:p/>
              </w:tc>
              <w:tc>
                <w:tcPr>
                  <w:tcW w:w="2130" w:type="pct"/>
                  <w:vAlign w:val="center"/>
                </w:tcPr>
                <w:p>
                  <w:pPr>
                    <w:adjustRightInd w:val="0"/>
                    <w:snapToGrid w:val="0"/>
                    <w:jc w:val="both"/>
                    <w:rPr>
                      <w:rFonts w:ascii="Times New Roman" w:eastAsia="宋体" w:cs="Times New Roman" w:hAnsi="Times New Roman" w:hint="eastAsia"/>
                      <w:color w:val="auto"/>
                      <w:highlight w:val="none"/>
                    </w:rPr>
                  </w:pPr>
                  <w:r>
                    <w:rPr>
                      <w:rFonts w:ascii="Times New Roman" w:eastAsia="宋体" w:cs="Times New Roman" w:hAnsi="Times New Roman"/>
                      <w:color w:val="auto"/>
                      <w:highlight w:val="none"/>
                    </w:rPr>
                    <w:t>电池废料的贮存方式分为三种a</w:t>
                  </w:r>
                  <w:r>
                    <w:rPr>
                      <w:rFonts w:cs="Times New Roman" w:hint="eastAsia"/>
                      <w:color w:val="auto"/>
                      <w:lang w:eastAsia="zh-CN"/>
                      <w:highlight w:val="none"/>
                    </w:rPr>
                    <w:t>）</w:t>
                  </w:r>
                  <w:r>
                    <w:rPr>
                      <w:rFonts w:ascii="Times New Roman" w:eastAsia="宋体" w:cs="Times New Roman" w:hAnsi="Times New Roman"/>
                      <w:color w:val="auto"/>
                      <w:highlight w:val="none"/>
                    </w:rPr>
                    <w:t>隔开贮存</w:t>
                  </w:r>
                  <w:r>
                    <w:rPr>
                      <w:rFonts w:ascii="Times New Roman" w:eastAsia="宋体" w:cs="Times New Roman" w:hAnsi="Times New Roman" w:hint="eastAsia"/>
                      <w:color w:val="auto"/>
                      <w:lang w:eastAsia="zh-CN"/>
                      <w:highlight w:val="none"/>
                    </w:rPr>
                    <w:t>；</w:t>
                  </w:r>
                  <w:r>
                    <w:rPr>
                      <w:rFonts w:ascii="Times New Roman" w:eastAsia="宋体" w:cs="Times New Roman" w:hAnsi="Times New Roman"/>
                      <w:color w:val="auto"/>
                      <w:highlight w:val="none"/>
                    </w:rPr>
                    <w:t>b</w:t>
                  </w:r>
                  <w:r>
                    <w:rPr>
                      <w:rFonts w:cs="Times New Roman" w:hint="eastAsia"/>
                      <w:color w:val="auto"/>
                      <w:lang w:eastAsia="zh-CN"/>
                      <w:highlight w:val="none"/>
                    </w:rPr>
                    <w:t>）</w:t>
                  </w:r>
                  <w:r>
                    <w:rPr>
                      <w:rFonts w:ascii="Times New Roman" w:eastAsia="宋体" w:cs="Times New Roman" w:hAnsi="Times New Roman"/>
                      <w:color w:val="auto"/>
                      <w:highlight w:val="none"/>
                    </w:rPr>
                    <w:t>隔离贮存</w:t>
                  </w:r>
                  <w:r>
                    <w:rPr>
                      <w:rFonts w:ascii="Times New Roman" w:eastAsia="宋体" w:cs="Times New Roman" w:hAnsi="Times New Roman" w:hint="eastAsia"/>
                      <w:color w:val="auto"/>
                      <w:lang w:eastAsia="zh-CN"/>
                      <w:highlight w:val="none"/>
                    </w:rPr>
                    <w:t>；</w:t>
                  </w:r>
                  <w:r>
                    <w:rPr>
                      <w:rFonts w:ascii="Times New Roman" w:eastAsia="宋体" w:cs="Times New Roman" w:hAnsi="Times New Roman"/>
                      <w:color w:val="auto"/>
                      <w:highlight w:val="none"/>
                    </w:rPr>
                    <w:t>c</w:t>
                  </w:r>
                  <w:r>
                    <w:rPr>
                      <w:rFonts w:cs="Times New Roman" w:hint="eastAsia"/>
                      <w:color w:val="auto"/>
                      <w:lang w:eastAsia="zh-CN"/>
                      <w:highlight w:val="none"/>
                    </w:rPr>
                    <w:t>）</w:t>
                  </w:r>
                  <w:r>
                    <w:rPr>
                      <w:rFonts w:ascii="Times New Roman" w:eastAsia="宋体" w:cs="Times New Roman" w:hAnsi="Times New Roman"/>
                      <w:color w:val="auto"/>
                      <w:highlight w:val="none"/>
                    </w:rPr>
                    <w:t>分离贮存</w:t>
                  </w:r>
                </w:p>
              </w:tc>
              <w:tc>
                <w:tcPr>
                  <w:tcW w:w="2057" w:type="pct"/>
                  <w:vAlign w:val="center"/>
                </w:tcPr>
                <w:p>
                  <w:pPr>
                    <w:adjustRightInd w:val="0"/>
                    <w:snapToGrid w:val="0"/>
                    <w:jc w:val="both"/>
                    <w:rPr>
                      <w:rFonts w:ascii="Times New Roman" w:eastAsia="宋体" w:cs="Times New Roman" w:hAnsi="Times New Roman" w:hint="eastAsia"/>
                      <w:color w:val="auto"/>
                      <w:highlight w:val="none"/>
                    </w:rPr>
                  </w:pPr>
                  <w:r>
                    <w:rPr>
                      <w:rFonts w:ascii="Times New Roman" w:eastAsia="宋体" w:cs="Times New Roman" w:hAnsi="Times New Roman"/>
                      <w:color w:val="auto"/>
                      <w:highlight w:val="none"/>
                    </w:rPr>
                    <w:t>本项目收集贮存的废电池主要为废铅蓄电池。本项目采用专用托盘盛装完整废电池、耐腐蚀PE桶盛装破损电池，满足相应的防渗、防漏、防腐和强度等要求。</w:t>
                  </w:r>
                </w:p>
              </w:tc>
              <w:tc>
                <w:tcPr>
                  <w:tcW w:w="494" w:type="pct"/>
                  <w:vAlign w:val="center"/>
                </w:tcPr>
                <w:p>
                  <w:pPr>
                    <w:adjustRightInd w:val="0"/>
                    <w:snapToGrid w:val="0"/>
                    <w:jc w:val="center"/>
                    <w:rPr>
                      <w:rFonts w:ascii="Times New Roman" w:eastAsia="宋体" w:cs="Times New Roman" w:hAnsi="Times New Roman" w:hint="eastAsia"/>
                      <w:color w:val="auto"/>
                      <w:highlight w:val="none"/>
                    </w:rPr>
                  </w:pPr>
                  <w:r>
                    <w:rPr>
                      <w:rFonts w:ascii="Times New Roman" w:eastAsia="宋体" w:cs="Times New Roman" w:hAnsi="Times New Roman" w:hint="eastAsia"/>
                      <w:color w:val="auto"/>
                      <w:highlight w:val="none"/>
                    </w:rPr>
                    <w:t>符合</w:t>
                  </w:r>
                </w:p>
              </w:tc>
            </w:tr>
            <w:tr>
              <w:trPr>
                <w:cantSplit/>
                <w:trHeight w:val="318"/>
              </w:trPr>
              <w:tc>
                <w:tcPr>
                  <w:tcW w:w="317" w:type="pct"/>
                  <w:vMerge/>
                  <w:vAlign w:val="center"/>
                </w:tcPr>
                <w:p/>
              </w:tc>
              <w:tc>
                <w:tcPr>
                  <w:tcW w:w="2130" w:type="pct"/>
                  <w:vAlign w:val="center"/>
                </w:tcPr>
                <w:p>
                  <w:pPr>
                    <w:adjustRightInd w:val="0"/>
                    <w:snapToGrid w:val="0"/>
                    <w:jc w:val="both"/>
                    <w:rPr>
                      <w:rFonts w:ascii="Times New Roman" w:eastAsia="宋体" w:cs="Times New Roman" w:hAnsi="Times New Roman" w:hint="eastAsia"/>
                      <w:color w:val="auto"/>
                      <w:highlight w:val="none"/>
                    </w:rPr>
                  </w:pPr>
                  <w:r>
                    <w:rPr>
                      <w:rFonts w:ascii="Times New Roman" w:eastAsia="宋体" w:cs="Times New Roman" w:hAnsi="Times New Roman"/>
                      <w:color w:val="auto"/>
                      <w:highlight w:val="none"/>
                    </w:rPr>
                    <w:t>锌锰电池、碱性锌锰电池等一次电池废料，</w:t>
                  </w:r>
                  <w:r>
                    <w:rPr>
                      <w:rFonts w:cs="Times New Roman" w:hint="eastAsia"/>
                      <w:color w:val="auto"/>
                      <w:lang w:eastAsia="zh-CN"/>
                      <w:highlight w:val="none"/>
                    </w:rPr>
                    <w:t>锂</w:t>
                  </w:r>
                  <w:r>
                    <w:rPr>
                      <w:rFonts w:ascii="Times New Roman" w:eastAsia="宋体" w:cs="Times New Roman" w:hAnsi="Times New Roman"/>
                      <w:color w:val="auto"/>
                      <w:highlight w:val="none"/>
                    </w:rPr>
                    <w:t>离子二次电池废料用塑料槽或铁桶贮存；钾一次电池、镍氢电池用铁桶贮存</w:t>
                  </w:r>
                </w:p>
              </w:tc>
              <w:tc>
                <w:tcPr>
                  <w:tcW w:w="2057" w:type="pct"/>
                  <w:vAlign w:val="center"/>
                </w:tcPr>
                <w:p>
                  <w:pPr>
                    <w:adjustRightInd w:val="0"/>
                    <w:snapToGrid w:val="0"/>
                    <w:jc w:val="both"/>
                    <w:rPr>
                      <w:rFonts w:ascii="Times New Roman" w:eastAsia="宋体" w:cs="Times New Roman" w:hAnsi="Times New Roman" w:hint="eastAsia"/>
                      <w:color w:val="auto"/>
                      <w:lang w:eastAsia="zh-CN"/>
                      <w:highlight w:val="none"/>
                    </w:rPr>
                  </w:pPr>
                  <w:r>
                    <w:rPr>
                      <w:rFonts w:ascii="Times New Roman" w:eastAsia="宋体" w:cs="Times New Roman" w:hAnsi="Times New Roman"/>
                      <w:color w:val="auto"/>
                      <w:highlight w:val="none"/>
                    </w:rPr>
                    <w:t>本项目不涉及</w:t>
                  </w:r>
                  <w:r>
                    <w:rPr>
                      <w:rFonts w:ascii="Times New Roman" w:eastAsia="宋体" w:cs="Times New Roman" w:hAnsi="Times New Roman" w:hint="eastAsia"/>
                      <w:color w:val="auto"/>
                      <w:lang w:eastAsia="zh-CN"/>
                      <w:highlight w:val="none"/>
                    </w:rPr>
                    <w:t>。</w:t>
                  </w:r>
                </w:p>
              </w:tc>
              <w:tc>
                <w:tcPr>
                  <w:tcW w:w="494" w:type="pct"/>
                  <w:vAlign w:val="center"/>
                </w:tcPr>
                <w:p>
                  <w:pPr>
                    <w:adjustRightInd w:val="0"/>
                    <w:snapToGrid w:val="0"/>
                    <w:jc w:val="center"/>
                    <w:rPr>
                      <w:rFonts w:ascii="Times New Roman" w:eastAsia="宋体" w:cs="Times New Roman" w:hAnsi="Times New Roman" w:hint="eastAsia"/>
                      <w:color w:val="auto"/>
                      <w:highlight w:val="none"/>
                    </w:rPr>
                  </w:pPr>
                  <w:r>
                    <w:rPr>
                      <w:rFonts w:ascii="Times New Roman" w:eastAsia="宋体" w:cs="Times New Roman" w:hAnsi="Times New Roman" w:hint="eastAsia"/>
                      <w:color w:val="auto"/>
                      <w:highlight w:val="none"/>
                    </w:rPr>
                    <w:t>符合</w:t>
                  </w:r>
                </w:p>
              </w:tc>
            </w:tr>
            <w:tr>
              <w:trPr>
                <w:cantSplit/>
                <w:trHeight w:val="318"/>
              </w:trPr>
              <w:tc>
                <w:tcPr>
                  <w:tcW w:w="317" w:type="pct"/>
                  <w:vMerge/>
                  <w:vAlign w:val="center"/>
                </w:tcPr>
                <w:p/>
              </w:tc>
              <w:tc>
                <w:tcPr>
                  <w:tcW w:w="2130" w:type="pct"/>
                  <w:vAlign w:val="center"/>
                </w:tcPr>
                <w:p>
                  <w:pPr>
                    <w:adjustRightInd w:val="0"/>
                    <w:snapToGrid w:val="0"/>
                    <w:jc w:val="both"/>
                    <w:rPr>
                      <w:rFonts w:ascii="Times New Roman" w:eastAsia="宋体" w:cs="Times New Roman" w:hAnsi="Times New Roman" w:hint="eastAsia"/>
                      <w:color w:val="auto"/>
                      <w:lang w:eastAsia="zh-CN"/>
                      <w:highlight w:val="none"/>
                    </w:rPr>
                  </w:pPr>
                  <w:r>
                    <w:rPr>
                      <w:rFonts w:ascii="Times New Roman" w:eastAsia="宋体" w:cs="Times New Roman" w:hAnsi="Times New Roman"/>
                      <w:color w:val="auto"/>
                      <w:highlight w:val="none"/>
                    </w:rPr>
                    <w:t>凡漏液的电池必须放置在耐酸的容器内</w:t>
                  </w:r>
                  <w:r>
                    <w:rPr>
                      <w:rFonts w:cs="Times New Roman" w:hint="eastAsia"/>
                      <w:color w:val="auto"/>
                      <w:lang w:eastAsia="zh-CN"/>
                      <w:highlight w:val="none"/>
                    </w:rPr>
                    <w:t>。</w:t>
                  </w:r>
                  <w:r>
                    <w:rPr>
                      <w:rFonts w:ascii="Times New Roman" w:eastAsia="宋体" w:cs="Times New Roman" w:hAnsi="Times New Roman"/>
                      <w:color w:val="auto"/>
                      <w:highlight w:val="none"/>
                    </w:rPr>
                    <w:t>电池废料贮存容器的尺寸不</w:t>
                  </w:r>
                  <w:r>
                    <w:rPr>
                      <w:rFonts w:cs="Times New Roman" w:hint="eastAsia"/>
                      <w:color w:val="auto"/>
                      <w:lang w:eastAsia="zh-CN"/>
                      <w:highlight w:val="none"/>
                    </w:rPr>
                    <w:t>作</w:t>
                  </w:r>
                  <w:r>
                    <w:rPr>
                      <w:rFonts w:ascii="Times New Roman" w:eastAsia="宋体" w:cs="Times New Roman" w:hAnsi="Times New Roman"/>
                      <w:color w:val="auto"/>
                      <w:highlight w:val="none"/>
                    </w:rPr>
                    <w:t>统一要求但应满足不同贮存方式的贮存量要求</w:t>
                  </w:r>
                  <w:r>
                    <w:rPr>
                      <w:rFonts w:cs="Times New Roman" w:hint="eastAsia"/>
                      <w:color w:val="auto"/>
                      <w:lang w:eastAsia="zh-CN"/>
                      <w:highlight w:val="none"/>
                    </w:rPr>
                    <w:t>。</w:t>
                  </w:r>
                </w:p>
              </w:tc>
              <w:tc>
                <w:tcPr>
                  <w:tcW w:w="2057" w:type="pct"/>
                  <w:vAlign w:val="center"/>
                </w:tcPr>
                <w:p>
                  <w:pPr>
                    <w:adjustRightInd w:val="0"/>
                    <w:snapToGrid w:val="0"/>
                    <w:jc w:val="both"/>
                    <w:rPr>
                      <w:rFonts w:ascii="Times New Roman" w:eastAsia="宋体" w:cs="Times New Roman" w:hAnsi="Times New Roman" w:hint="eastAsia"/>
                      <w:color w:val="auto"/>
                      <w:lang w:eastAsia="zh-CN"/>
                      <w:highlight w:val="none"/>
                    </w:rPr>
                  </w:pPr>
                  <w:r>
                    <w:rPr>
                      <w:rFonts w:ascii="Times New Roman" w:eastAsia="宋体" w:cs="Times New Roman" w:hAnsi="Times New Roman"/>
                      <w:color w:val="auto"/>
                      <w:highlight w:val="none"/>
                    </w:rPr>
                    <w:t>破损电池通过塑料薄膜包覆，放入耐腐蚀PE桶内，加盖盖严，保证电解液不渗漏</w:t>
                  </w:r>
                  <w:r>
                    <w:rPr>
                      <w:rFonts w:cs="Times New Roman" w:hint="eastAsia"/>
                      <w:color w:val="auto"/>
                      <w:lang w:eastAsia="zh-CN"/>
                      <w:highlight w:val="none"/>
                    </w:rPr>
                    <w:t>。</w:t>
                  </w:r>
                </w:p>
              </w:tc>
              <w:tc>
                <w:tcPr>
                  <w:tcW w:w="494" w:type="pct"/>
                  <w:vAlign w:val="center"/>
                </w:tcPr>
                <w:p>
                  <w:pPr>
                    <w:adjustRightInd w:val="0"/>
                    <w:snapToGrid w:val="0"/>
                    <w:jc w:val="center"/>
                    <w:rPr>
                      <w:rFonts w:ascii="Times New Roman" w:eastAsia="宋体" w:cs="Times New Roman" w:hAnsi="Times New Roman" w:hint="eastAsia"/>
                      <w:color w:val="auto"/>
                      <w:highlight w:val="none"/>
                    </w:rPr>
                  </w:pPr>
                  <w:r>
                    <w:rPr>
                      <w:rFonts w:ascii="Times New Roman" w:eastAsia="宋体" w:cs="Times New Roman" w:hAnsi="Times New Roman" w:hint="eastAsia"/>
                      <w:color w:val="auto"/>
                      <w:highlight w:val="none"/>
                    </w:rPr>
                    <w:t>符合</w:t>
                  </w:r>
                </w:p>
              </w:tc>
            </w:tr>
            <w:tr>
              <w:trPr>
                <w:cantSplit/>
                <w:trHeight w:val="318"/>
              </w:trPr>
              <w:tc>
                <w:tcPr>
                  <w:tcW w:w="317" w:type="pct"/>
                  <w:vMerge/>
                  <w:vAlign w:val="center"/>
                </w:tcPr>
                <w:p/>
              </w:tc>
              <w:tc>
                <w:tcPr>
                  <w:tcW w:w="2130" w:type="pct"/>
                  <w:vAlign w:val="center"/>
                </w:tcPr>
                <w:p>
                  <w:pPr>
                    <w:adjustRightInd w:val="0"/>
                    <w:snapToGrid w:val="0"/>
                    <w:jc w:val="both"/>
                    <w:rPr>
                      <w:rFonts w:ascii="Times New Roman" w:eastAsia="宋体" w:cs="Times New Roman" w:hAnsi="Times New Roman" w:hint="eastAsia"/>
                      <w:color w:val="auto"/>
                      <w:highlight w:val="none"/>
                    </w:rPr>
                  </w:pPr>
                  <w:r>
                    <w:rPr>
                      <w:rFonts w:ascii="Times New Roman" w:eastAsia="宋体" w:cs="Times New Roman" w:hAnsi="Times New Roman"/>
                      <w:color w:val="auto"/>
                      <w:highlight w:val="none"/>
                    </w:rPr>
                    <w:t>电池废料的贮存设施按GB18597、GB18599的有关规定进行建设和管理。</w:t>
                  </w:r>
                </w:p>
              </w:tc>
              <w:tc>
                <w:tcPr>
                  <w:tcW w:w="2057" w:type="pct"/>
                  <w:vAlign w:val="center"/>
                </w:tcPr>
                <w:p>
                  <w:pPr>
                    <w:adjustRightInd w:val="0"/>
                    <w:snapToGrid w:val="0"/>
                    <w:jc w:val="both"/>
                    <w:rPr>
                      <w:rFonts w:ascii="Times New Roman" w:eastAsia="宋体" w:cs="Times New Roman" w:hAnsi="Times New Roman" w:hint="eastAsia"/>
                      <w:color w:val="auto"/>
                      <w:highlight w:val="none"/>
                    </w:rPr>
                  </w:pPr>
                  <w:r>
                    <w:rPr>
                      <w:rFonts w:ascii="Times New Roman" w:eastAsia="宋体" w:cs="Times New Roman" w:hAnsi="Times New Roman"/>
                      <w:color w:val="auto"/>
                      <w:highlight w:val="none"/>
                    </w:rPr>
                    <w:t>电池废料的贮存设施满足GB18597、GB18599的有关规定进行建设和管理，包括全厂防渗及负压收集处理等措施。</w:t>
                  </w:r>
                </w:p>
              </w:tc>
              <w:tc>
                <w:tcPr>
                  <w:tcW w:w="494" w:type="pct"/>
                  <w:vAlign w:val="center"/>
                </w:tcPr>
                <w:p>
                  <w:pPr>
                    <w:adjustRightInd w:val="0"/>
                    <w:snapToGrid w:val="0"/>
                    <w:jc w:val="center"/>
                    <w:rPr>
                      <w:rFonts w:ascii="Times New Roman" w:eastAsia="宋体" w:cs="Times New Roman" w:hAnsi="Times New Roman" w:hint="eastAsia"/>
                      <w:color w:val="auto"/>
                      <w:highlight w:val="none"/>
                    </w:rPr>
                  </w:pPr>
                  <w:r>
                    <w:rPr>
                      <w:rFonts w:ascii="Times New Roman" w:eastAsia="宋体" w:cs="Times New Roman" w:hAnsi="Times New Roman" w:hint="eastAsia"/>
                      <w:color w:val="auto"/>
                      <w:highlight w:val="none"/>
                    </w:rPr>
                    <w:t>符合</w:t>
                  </w:r>
                </w:p>
              </w:tc>
            </w:tr>
            <w:tr>
              <w:trPr>
                <w:cantSplit/>
                <w:trHeight w:val="318"/>
              </w:trPr>
              <w:tc>
                <w:tcPr>
                  <w:tcW w:w="317" w:type="pct"/>
                  <w:vMerge/>
                  <w:vAlign w:val="center"/>
                </w:tcPr>
                <w:p/>
              </w:tc>
              <w:tc>
                <w:tcPr>
                  <w:tcW w:w="2130" w:type="pct"/>
                  <w:vAlign w:val="center"/>
                </w:tcPr>
                <w:p>
                  <w:pPr>
                    <w:adjustRightInd w:val="0"/>
                    <w:snapToGrid w:val="0"/>
                    <w:jc w:val="both"/>
                    <w:rPr>
                      <w:rFonts w:ascii="Times New Roman" w:eastAsia="宋体" w:cs="Times New Roman" w:hAnsi="Times New Roman" w:hint="eastAsia"/>
                      <w:color w:val="auto"/>
                      <w:highlight w:val="none"/>
                    </w:rPr>
                  </w:pPr>
                  <w:r>
                    <w:rPr>
                      <w:rFonts w:ascii="Times New Roman" w:eastAsia="宋体" w:cs="Times New Roman" w:hAnsi="Times New Roman"/>
                      <w:color w:val="auto"/>
                      <w:highlight w:val="none"/>
                    </w:rPr>
                    <w:t>废铅酸电池的贮存设施还应符合以下要求:a</w:t>
                  </w:r>
                  <w:r>
                    <w:rPr>
                      <w:rFonts w:cs="Times New Roman" w:hint="eastAsia"/>
                      <w:color w:val="auto"/>
                      <w:lang w:eastAsia="zh-CN"/>
                      <w:highlight w:val="none"/>
                    </w:rPr>
                    <w:t>）</w:t>
                  </w:r>
                  <w:r>
                    <w:rPr>
                      <w:rFonts w:ascii="Times New Roman" w:eastAsia="宋体" w:cs="Times New Roman" w:hAnsi="Times New Roman"/>
                      <w:color w:val="auto"/>
                      <w:highlight w:val="none"/>
                    </w:rPr>
                    <w:t>购存点必须有耐酸地面隔离层，以便于截留和收集任何泄漏液体:b</w:t>
                  </w:r>
                  <w:r>
                    <w:rPr>
                      <w:rFonts w:cs="Times New Roman" w:hint="eastAsia"/>
                      <w:color w:val="auto"/>
                      <w:lang w:eastAsia="zh-CN"/>
                      <w:highlight w:val="none"/>
                    </w:rPr>
                    <w:t>）</w:t>
                  </w:r>
                  <w:r>
                    <w:rPr>
                      <w:rFonts w:ascii="Times New Roman" w:eastAsia="宋体" w:cs="Times New Roman" w:hAnsi="Times New Roman"/>
                      <w:color w:val="auto"/>
                      <w:highlight w:val="none"/>
                    </w:rPr>
                    <w:t>应有足够的废水收集系统，以便收集溢出的溶液:c</w:t>
                  </w:r>
                  <w:r>
                    <w:rPr>
                      <w:rFonts w:cs="Times New Roman" w:hint="eastAsia"/>
                      <w:color w:val="auto"/>
                      <w:lang w:eastAsia="zh-CN"/>
                      <w:highlight w:val="none"/>
                    </w:rPr>
                    <w:t>）</w:t>
                  </w:r>
                  <w:r>
                    <w:rPr>
                      <w:rFonts w:ascii="Times New Roman" w:eastAsia="宋体" w:cs="Times New Roman" w:hAnsi="Times New Roman"/>
                      <w:color w:val="auto"/>
                      <w:highlight w:val="none"/>
                    </w:rPr>
                    <w:t>应设有适当的防火装置。</w:t>
                  </w:r>
                </w:p>
              </w:tc>
              <w:tc>
                <w:tcPr>
                  <w:tcW w:w="2057" w:type="pct"/>
                  <w:vAlign w:val="center"/>
                </w:tcPr>
                <w:p>
                  <w:pPr>
                    <w:adjustRightInd w:val="0"/>
                    <w:snapToGrid w:val="0"/>
                    <w:jc w:val="both"/>
                    <w:rPr>
                      <w:rFonts w:ascii="Times New Roman" w:eastAsia="宋体" w:cs="Times New Roman" w:hAnsi="Times New Roman" w:hint="eastAsia"/>
                      <w:color w:val="auto"/>
                      <w:highlight w:val="none"/>
                    </w:rPr>
                  </w:pPr>
                  <w:r>
                    <w:rPr>
                      <w:rFonts w:ascii="Times New Roman" w:eastAsia="宋体" w:cs="Times New Roman" w:hAnsi="Times New Roman"/>
                      <w:color w:val="auto"/>
                      <w:highlight w:val="none"/>
                    </w:rPr>
                    <w:t>本项目采用环氧树脂进行地面防渗处理，设置导流沟和</w:t>
                  </w:r>
                  <w:r>
                    <w:rPr>
                      <w:rFonts w:ascii="Times New Roman" w:eastAsia="宋体" w:cs="Times New Roman" w:hAnsi="Times New Roman" w:hint="eastAsia"/>
                      <w:color w:val="auto"/>
                      <w:lang w:eastAsia="zh-CN"/>
                      <w:highlight w:val="none"/>
                    </w:rPr>
                    <w:t>废液收集池</w:t>
                  </w:r>
                  <w:r>
                    <w:rPr>
                      <w:rFonts w:ascii="Times New Roman" w:eastAsia="宋体" w:cs="Times New Roman" w:hAnsi="Times New Roman"/>
                      <w:color w:val="auto"/>
                      <w:highlight w:val="none"/>
                    </w:rPr>
                    <w:t>，收集破损电池渗漏液，厂区按照消防要求，设置消防器材。</w:t>
                  </w:r>
                </w:p>
              </w:tc>
              <w:tc>
                <w:tcPr>
                  <w:tcW w:w="494" w:type="pct"/>
                  <w:vAlign w:val="center"/>
                </w:tcPr>
                <w:p>
                  <w:pPr>
                    <w:adjustRightInd w:val="0"/>
                    <w:snapToGrid w:val="0"/>
                    <w:jc w:val="center"/>
                    <w:rPr>
                      <w:rFonts w:ascii="Times New Roman" w:eastAsia="宋体" w:cs="Times New Roman" w:hAnsi="Times New Roman" w:hint="eastAsia"/>
                      <w:color w:val="auto"/>
                      <w:highlight w:val="none"/>
                    </w:rPr>
                  </w:pPr>
                  <w:r>
                    <w:rPr>
                      <w:rFonts w:ascii="Times New Roman" w:eastAsia="宋体" w:cs="Times New Roman" w:hAnsi="Times New Roman" w:hint="eastAsia"/>
                      <w:color w:val="auto"/>
                      <w:highlight w:val="none"/>
                    </w:rPr>
                    <w:t>符合</w:t>
                  </w:r>
                </w:p>
              </w:tc>
            </w:tr>
            <w:tr>
              <w:trPr>
                <w:cantSplit/>
                <w:trHeight w:val="318"/>
              </w:trPr>
              <w:tc>
                <w:tcPr>
                  <w:tcW w:w="317" w:type="pct"/>
                  <w:vMerge/>
                  <w:vAlign w:val="center"/>
                </w:tcPr>
                <w:p/>
              </w:tc>
              <w:tc>
                <w:tcPr>
                  <w:tcW w:w="2130" w:type="pct"/>
                  <w:vAlign w:val="center"/>
                </w:tcPr>
                <w:p>
                  <w:pPr>
                    <w:adjustRightInd w:val="0"/>
                    <w:snapToGrid w:val="0"/>
                    <w:jc w:val="both"/>
                    <w:rPr>
                      <w:rFonts w:ascii="Times New Roman" w:eastAsia="宋体" w:cs="Times New Roman" w:hAnsi="Times New Roman"/>
                      <w:color w:val="auto"/>
                      <w:highlight w:val="none"/>
                    </w:rPr>
                  </w:pPr>
                  <w:r>
                    <w:rPr>
                      <w:rFonts w:ascii="Times New Roman" w:eastAsia="宋体" w:cs="Times New Roman" w:hAnsi="Times New Roman"/>
                      <w:color w:val="auto"/>
                      <w:highlight w:val="none"/>
                    </w:rPr>
                    <w:t>电池废料的贮存容器上必须贴有标识，其上注明</w:t>
                  </w:r>
                  <w:r>
                    <w:rPr>
                      <w:rFonts w:ascii="Times New Roman" w:eastAsia="宋体" w:cs="Times New Roman" w:hAnsi="Times New Roman" w:hint="eastAsia"/>
                      <w:color w:val="auto"/>
                      <w:lang w:eastAsia="zh-CN"/>
                      <w:highlight w:val="none"/>
                    </w:rPr>
                    <w:t>：</w:t>
                  </w:r>
                  <w:r>
                    <w:rPr>
                      <w:rFonts w:ascii="Times New Roman" w:eastAsia="宋体" w:cs="Times New Roman" w:hAnsi="Times New Roman"/>
                      <w:color w:val="auto"/>
                      <w:highlight w:val="none"/>
                    </w:rPr>
                    <w:t>a电池废料类别、组别、名称</w:t>
                  </w:r>
                  <w:r>
                    <w:rPr>
                      <w:rFonts w:ascii="Times New Roman" w:eastAsia="宋体" w:cs="Times New Roman" w:hAnsi="Times New Roman" w:hint="eastAsia"/>
                      <w:color w:val="auto"/>
                      <w:lang w:eastAsia="zh-CN"/>
                      <w:highlight w:val="none"/>
                    </w:rPr>
                    <w:t>；</w:t>
                  </w:r>
                  <w:r>
                    <w:rPr>
                      <w:rFonts w:ascii="Times New Roman" w:eastAsia="宋体" w:cs="Times New Roman" w:hAnsi="Times New Roman"/>
                      <w:color w:val="auto"/>
                      <w:highlight w:val="none"/>
                    </w:rPr>
                    <w:t>b数量</w:t>
                  </w:r>
                  <w:r>
                    <w:rPr>
                      <w:rFonts w:ascii="Times New Roman" w:eastAsia="宋体" w:cs="Times New Roman" w:hAnsi="Times New Roman" w:hint="eastAsia"/>
                      <w:color w:val="auto"/>
                      <w:lang w:eastAsia="zh-CN"/>
                      <w:highlight w:val="none"/>
                    </w:rPr>
                    <w:t>；</w:t>
                  </w:r>
                  <w:r>
                    <w:rPr>
                      <w:rFonts w:ascii="Times New Roman" w:eastAsia="宋体" w:cs="Times New Roman" w:hAnsi="Times New Roman"/>
                      <w:color w:val="auto"/>
                      <w:highlight w:val="none"/>
                    </w:rPr>
                    <w:t>c危险废物标签</w:t>
                  </w:r>
                  <w:r>
                    <w:rPr>
                      <w:rFonts w:cs="Times New Roman" w:hint="eastAsia"/>
                      <w:color w:val="auto"/>
                      <w:lang w:eastAsia="zh-CN"/>
                      <w:highlight w:val="none"/>
                    </w:rPr>
                    <w:t>（</w:t>
                  </w:r>
                  <w:r>
                    <w:rPr>
                      <w:rFonts w:ascii="Times New Roman" w:eastAsia="宋体" w:cs="Times New Roman" w:hAnsi="Times New Roman"/>
                      <w:color w:val="auto"/>
                      <w:highlight w:val="none"/>
                    </w:rPr>
                    <w:t>仅限含有毒有害物</w:t>
                  </w:r>
                </w:p>
                <w:p>
                  <w:pPr>
                    <w:adjustRightInd w:val="0"/>
                    <w:snapToGrid w:val="0"/>
                    <w:jc w:val="both"/>
                    <w:rPr>
                      <w:rFonts w:ascii="Times New Roman" w:eastAsia="宋体" w:cs="Times New Roman" w:hAnsi="Times New Roman" w:hint="eastAsia"/>
                      <w:color w:val="auto"/>
                      <w:highlight w:val="none"/>
                    </w:rPr>
                  </w:pPr>
                  <w:r>
                    <w:rPr>
                      <w:rFonts w:ascii="Times New Roman" w:eastAsia="宋体" w:cs="Times New Roman" w:hAnsi="Times New Roman"/>
                      <w:color w:val="auto"/>
                      <w:highlight w:val="none"/>
                    </w:rPr>
                    <w:t>质电池废料</w:t>
                  </w:r>
                  <w:r>
                    <w:rPr>
                      <w:rFonts w:cs="Times New Roman" w:hint="eastAsia"/>
                      <w:color w:val="auto"/>
                      <w:lang w:eastAsia="zh-CN"/>
                      <w:highlight w:val="none"/>
                    </w:rPr>
                    <w:t>）</w:t>
                  </w:r>
                  <w:r>
                    <w:rPr>
                      <w:rFonts w:ascii="Times New Roman" w:eastAsia="宋体" w:cs="Times New Roman" w:hAnsi="Times New Roman"/>
                      <w:color w:val="auto"/>
                      <w:highlight w:val="none"/>
                    </w:rPr>
                    <w:t>。</w:t>
                  </w:r>
                </w:p>
              </w:tc>
              <w:tc>
                <w:tcPr>
                  <w:tcW w:w="2057" w:type="pct"/>
                  <w:vAlign w:val="center"/>
                </w:tcPr>
                <w:p>
                  <w:pPr>
                    <w:adjustRightInd w:val="0"/>
                    <w:snapToGrid w:val="0"/>
                    <w:jc w:val="both"/>
                    <w:rPr>
                      <w:rFonts w:ascii="Times New Roman" w:eastAsia="宋体" w:cs="Times New Roman" w:hAnsi="Times New Roman" w:hint="eastAsia"/>
                      <w:color w:val="auto"/>
                      <w:highlight w:val="none"/>
                    </w:rPr>
                  </w:pPr>
                  <w:r>
                    <w:rPr>
                      <w:rFonts w:ascii="Times New Roman" w:eastAsia="宋体" w:cs="Times New Roman" w:hAnsi="Times New Roman"/>
                      <w:color w:val="auto"/>
                      <w:highlight w:val="none"/>
                    </w:rPr>
                    <w:t>电池废料的贮存容器上必须贴有标识，其上注明</w:t>
                  </w:r>
                  <w:r>
                    <w:rPr>
                      <w:rFonts w:ascii="Times New Roman" w:eastAsia="宋体" w:cs="Times New Roman" w:hAnsi="Times New Roman" w:hint="eastAsia"/>
                      <w:color w:val="auto"/>
                      <w:lang w:eastAsia="zh-CN"/>
                      <w:highlight w:val="none"/>
                    </w:rPr>
                    <w:t>：</w:t>
                  </w:r>
                  <w:r>
                    <w:rPr>
                      <w:rFonts w:ascii="Times New Roman" w:eastAsia="宋体" w:cs="Times New Roman" w:hAnsi="Times New Roman"/>
                      <w:color w:val="auto"/>
                      <w:highlight w:val="none"/>
                    </w:rPr>
                    <w:t>a电池废料类别、组别、名称</w:t>
                  </w:r>
                  <w:r>
                    <w:rPr>
                      <w:rFonts w:ascii="Times New Roman" w:eastAsia="宋体" w:cs="Times New Roman" w:hAnsi="Times New Roman" w:hint="eastAsia"/>
                      <w:color w:val="auto"/>
                      <w:lang w:eastAsia="zh-CN"/>
                      <w:highlight w:val="none"/>
                    </w:rPr>
                    <w:t>：</w:t>
                  </w:r>
                  <w:r>
                    <w:rPr>
                      <w:rFonts w:ascii="Times New Roman" w:eastAsia="宋体" w:cs="Times New Roman" w:hAnsi="Times New Roman"/>
                      <w:color w:val="auto"/>
                      <w:highlight w:val="none"/>
                    </w:rPr>
                    <w:t>b数量；c危险废物标签</w:t>
                  </w:r>
                  <w:r>
                    <w:rPr>
                      <w:rFonts w:cs="Times New Roman" w:hint="eastAsia"/>
                      <w:color w:val="auto"/>
                      <w:lang w:eastAsia="zh-CN"/>
                      <w:highlight w:val="none"/>
                    </w:rPr>
                    <w:t>（</w:t>
                  </w:r>
                  <w:r>
                    <w:rPr>
                      <w:rFonts w:ascii="Times New Roman" w:eastAsia="宋体" w:cs="Times New Roman" w:hAnsi="Times New Roman"/>
                      <w:color w:val="auto"/>
                      <w:highlight w:val="none"/>
                    </w:rPr>
                    <w:t>仅限含有毒有害物质电池废料</w:t>
                  </w:r>
                  <w:r>
                    <w:rPr>
                      <w:rFonts w:cs="Times New Roman" w:hint="eastAsia"/>
                      <w:color w:val="auto"/>
                      <w:lang w:eastAsia="zh-CN"/>
                      <w:highlight w:val="none"/>
                    </w:rPr>
                    <w:t>）</w:t>
                  </w:r>
                  <w:r>
                    <w:rPr>
                      <w:rFonts w:ascii="Times New Roman" w:eastAsia="宋体" w:cs="Times New Roman" w:hAnsi="Times New Roman"/>
                      <w:color w:val="auto"/>
                      <w:highlight w:val="none"/>
                    </w:rPr>
                    <w:t>。</w:t>
                  </w:r>
                </w:p>
              </w:tc>
              <w:tc>
                <w:tcPr>
                  <w:tcW w:w="494" w:type="pct"/>
                  <w:vAlign w:val="center"/>
                </w:tcPr>
                <w:p>
                  <w:pPr>
                    <w:adjustRightInd w:val="0"/>
                    <w:snapToGrid w:val="0"/>
                    <w:jc w:val="center"/>
                    <w:rPr>
                      <w:rFonts w:ascii="Times New Roman" w:eastAsia="宋体" w:cs="Times New Roman" w:hAnsi="Times New Roman" w:hint="eastAsia"/>
                      <w:color w:val="auto"/>
                      <w:highlight w:val="none"/>
                    </w:rPr>
                  </w:pPr>
                  <w:r>
                    <w:rPr>
                      <w:rFonts w:ascii="Times New Roman" w:eastAsia="宋体" w:cs="Times New Roman" w:hAnsi="Times New Roman" w:hint="eastAsia"/>
                      <w:color w:val="auto"/>
                      <w:highlight w:val="none"/>
                    </w:rPr>
                    <w:t>符合</w:t>
                  </w:r>
                </w:p>
              </w:tc>
            </w:tr>
            <w:tr>
              <w:trPr>
                <w:cantSplit/>
                <w:trHeight w:val="318"/>
              </w:trPr>
              <w:tc>
                <w:tcPr>
                  <w:tcW w:w="317" w:type="pct"/>
                  <w:vMerge/>
                  <w:vAlign w:val="center"/>
                </w:tcPr>
                <w:p/>
              </w:tc>
              <w:tc>
                <w:tcPr>
                  <w:tcW w:w="2130" w:type="pct"/>
                  <w:vAlign w:val="center"/>
                </w:tcPr>
                <w:p>
                  <w:pPr>
                    <w:adjustRightInd w:val="0"/>
                    <w:snapToGrid w:val="0"/>
                    <w:jc w:val="both"/>
                    <w:rPr>
                      <w:rFonts w:ascii="Times New Roman" w:eastAsia="宋体" w:cs="Times New Roman" w:hAnsi="Times New Roman"/>
                      <w:color w:val="auto"/>
                      <w:highlight w:val="none"/>
                    </w:rPr>
                  </w:pPr>
                  <w:r>
                    <w:rPr>
                      <w:rFonts w:ascii="Times New Roman" w:eastAsia="宋体" w:cs="Times New Roman" w:hAnsi="Times New Roman"/>
                      <w:color w:val="auto"/>
                      <w:highlight w:val="none"/>
                    </w:rPr>
                    <w:t>电池废料的贮存仓库及场所的管理人员应做好电池废料进出的记录，记录上需注明电池废料类别、组别、名称、来源、数量、</w:t>
                  </w:r>
                </w:p>
                <w:p>
                  <w:pPr>
                    <w:adjustRightInd w:val="0"/>
                    <w:snapToGrid w:val="0"/>
                    <w:jc w:val="both"/>
                    <w:rPr>
                      <w:rFonts w:ascii="Times New Roman" w:eastAsia="宋体" w:cs="Times New Roman" w:hAnsi="Times New Roman" w:hint="eastAsia"/>
                      <w:color w:val="auto"/>
                      <w:lang w:eastAsia="zh-CN"/>
                      <w:highlight w:val="none"/>
                    </w:rPr>
                  </w:pPr>
                  <w:r>
                    <w:rPr>
                      <w:rFonts w:ascii="Times New Roman" w:eastAsia="宋体" w:cs="Times New Roman" w:hAnsi="Times New Roman"/>
                      <w:color w:val="auto"/>
                      <w:highlight w:val="none"/>
                    </w:rPr>
                    <w:t>特性、</w:t>
                  </w:r>
                  <w:r>
                    <w:rPr>
                      <w:rFonts w:cs="Times New Roman" w:hint="eastAsia"/>
                      <w:color w:val="auto"/>
                      <w:lang w:eastAsia="zh-CN"/>
                      <w:highlight w:val="none"/>
                    </w:rPr>
                    <w:t>入</w:t>
                  </w:r>
                  <w:r>
                    <w:rPr>
                      <w:rFonts w:ascii="Times New Roman" w:eastAsia="宋体" w:cs="Times New Roman" w:hAnsi="Times New Roman"/>
                      <w:color w:val="auto"/>
                      <w:highlight w:val="none"/>
                    </w:rPr>
                    <w:t>库日期、存放位置、电池废料出库日期及接收单位名称</w:t>
                  </w:r>
                  <w:r>
                    <w:rPr>
                      <w:rFonts w:ascii="Times New Roman" w:eastAsia="宋体" w:cs="Times New Roman" w:hAnsi="Times New Roman" w:hint="eastAsia"/>
                      <w:color w:val="auto"/>
                      <w:lang w:eastAsia="zh-CN"/>
                      <w:highlight w:val="none"/>
                    </w:rPr>
                    <w:t>。</w:t>
                  </w:r>
                </w:p>
              </w:tc>
              <w:tc>
                <w:tcPr>
                  <w:tcW w:w="2057" w:type="pct"/>
                  <w:vAlign w:val="center"/>
                </w:tcPr>
                <w:p>
                  <w:pPr>
                    <w:adjustRightInd w:val="0"/>
                    <w:snapToGrid w:val="0"/>
                    <w:jc w:val="both"/>
                    <w:rPr>
                      <w:rFonts w:ascii="Times New Roman" w:eastAsia="宋体" w:cs="Times New Roman" w:hAnsi="Times New Roman"/>
                      <w:color w:val="auto"/>
                      <w:highlight w:val="none"/>
                    </w:rPr>
                  </w:pPr>
                  <w:r>
                    <w:rPr>
                      <w:rFonts w:ascii="Times New Roman" w:eastAsia="宋体" w:cs="Times New Roman" w:hAnsi="Times New Roman"/>
                      <w:color w:val="auto"/>
                      <w:highlight w:val="none"/>
                    </w:rPr>
                    <w:t>电池废料的贮存仓库及场所的管理人员应做好电池废料进出的记录，记录上需注明电池废料类别、组别、名称、来源、数量、特性、</w:t>
                  </w:r>
                  <w:r>
                    <w:rPr>
                      <w:rFonts w:cs="Times New Roman" w:hint="eastAsia"/>
                      <w:color w:val="auto"/>
                      <w:lang w:eastAsia="zh-CN"/>
                      <w:highlight w:val="none"/>
                    </w:rPr>
                    <w:t>入</w:t>
                  </w:r>
                  <w:r>
                    <w:rPr>
                      <w:rFonts w:ascii="Times New Roman" w:eastAsia="宋体" w:cs="Times New Roman" w:hAnsi="Times New Roman"/>
                      <w:color w:val="auto"/>
                      <w:highlight w:val="none"/>
                    </w:rPr>
                    <w:t>库日期、存放位置、电池废料出库日期及接收单位名称。</w:t>
                  </w:r>
                </w:p>
              </w:tc>
              <w:tc>
                <w:tcPr>
                  <w:tcW w:w="494" w:type="pct"/>
                  <w:vAlign w:val="center"/>
                </w:tcPr>
                <w:p>
                  <w:pPr>
                    <w:adjustRightInd w:val="0"/>
                    <w:snapToGrid w:val="0"/>
                    <w:jc w:val="center"/>
                    <w:rPr>
                      <w:rFonts w:ascii="Times New Roman" w:eastAsia="宋体" w:cs="Times New Roman" w:hAnsi="Times New Roman" w:hint="eastAsia"/>
                      <w:color w:val="auto"/>
                      <w:highlight w:val="none"/>
                    </w:rPr>
                  </w:pPr>
                  <w:r>
                    <w:rPr>
                      <w:rFonts w:ascii="Times New Roman" w:eastAsia="宋体" w:cs="Times New Roman" w:hAnsi="Times New Roman" w:hint="eastAsia"/>
                      <w:color w:val="auto"/>
                      <w:highlight w:val="none"/>
                    </w:rPr>
                    <w:t>符合</w:t>
                  </w:r>
                </w:p>
              </w:tc>
            </w:tr>
            <w:tr>
              <w:trPr>
                <w:cantSplit/>
                <w:trHeight w:val="318"/>
              </w:trPr>
              <w:tc>
                <w:tcPr>
                  <w:tcW w:w="317" w:type="pct"/>
                  <w:vMerge/>
                  <w:vAlign w:val="center"/>
                </w:tcPr>
                <w:p/>
              </w:tc>
              <w:tc>
                <w:tcPr>
                  <w:tcW w:w="2130" w:type="pct"/>
                  <w:vAlign w:val="center"/>
                </w:tcPr>
                <w:p>
                  <w:pPr>
                    <w:adjustRightInd w:val="0"/>
                    <w:snapToGrid w:val="0"/>
                    <w:jc w:val="both"/>
                    <w:rPr>
                      <w:rFonts w:ascii="Times New Roman" w:eastAsia="宋体" w:cs="Times New Roman" w:hAnsi="Times New Roman" w:hint="eastAsia"/>
                      <w:color w:val="auto"/>
                      <w:lang w:eastAsia="zh-CN"/>
                      <w:highlight w:val="none"/>
                    </w:rPr>
                  </w:pPr>
                  <w:r>
                    <w:rPr>
                      <w:rFonts w:ascii="Times New Roman" w:eastAsia="宋体" w:cs="Times New Roman" w:hAnsi="Times New Roman"/>
                      <w:color w:val="auto"/>
                      <w:highlight w:val="none"/>
                    </w:rPr>
                    <w:t>电池废料的贮存设施应定期进行检查，发现破损，应及时采取措施清理更换。电池废料的贮存场地应配备通讯设备、照明设施、安全防护服装及工具，并设有应急防护设施。应对电池废料的贮存仓库及场所的温度、湿度进行监测，如发现异常及时处理</w:t>
                  </w:r>
                  <w:r>
                    <w:rPr>
                      <w:rFonts w:cs="Times New Roman" w:hint="eastAsia"/>
                      <w:color w:val="auto"/>
                      <w:lang w:eastAsia="zh-CN"/>
                      <w:highlight w:val="none"/>
                    </w:rPr>
                    <w:t>。应避免贮存大量的废铅酸电池或贮存太长时间，贮存点必须有足够的空间满足特殊管理要求。</w:t>
                  </w:r>
                </w:p>
              </w:tc>
              <w:tc>
                <w:tcPr>
                  <w:tcW w:w="2057" w:type="pct"/>
                  <w:vAlign w:val="center"/>
                </w:tcPr>
                <w:p>
                  <w:pPr>
                    <w:adjustRightInd w:val="0"/>
                    <w:snapToGrid w:val="0"/>
                    <w:jc w:val="both"/>
                    <w:rPr>
                      <w:rFonts w:ascii="Times New Roman" w:eastAsia="宋体" w:cs="Times New Roman" w:hAnsi="Times New Roman"/>
                      <w:color w:val="auto"/>
                      <w:lang w:val="en-US" w:eastAsia="zh-CN"/>
                      <w:highlight w:val="none"/>
                    </w:rPr>
                  </w:pPr>
                  <w:r>
                    <w:rPr>
                      <w:rFonts w:ascii="Times New Roman" w:eastAsia="宋体" w:cs="Times New Roman" w:hAnsi="Times New Roman"/>
                      <w:color w:val="auto"/>
                      <w:highlight w:val="none"/>
                    </w:rPr>
                    <w:t>电池废料的贮存设施定期进行检查，发现破损及时采取措施清理更换。电池废料的贮存场地配备通讯设备、照明设施、安全防护服装及工具，并设有应急防护设施</w:t>
                  </w:r>
                  <w:r>
                    <w:rPr>
                      <w:rFonts w:cs="Times New Roman" w:hint="eastAsia"/>
                      <w:color w:val="auto"/>
                      <w:lang w:eastAsia="zh-CN"/>
                      <w:highlight w:val="none"/>
                    </w:rPr>
                    <w:t>。</w:t>
                  </w:r>
                  <w:r>
                    <w:rPr>
                      <w:rFonts w:ascii="Times New Roman" w:eastAsia="宋体" w:cs="Times New Roman" w:hAnsi="Times New Roman"/>
                      <w:color w:val="auto"/>
                      <w:highlight w:val="none"/>
                    </w:rPr>
                    <w:t>对电池废料的贮存仓库及场所的温度、湿度进行监测，如发现异常及时处理</w:t>
                  </w:r>
                  <w:r>
                    <w:rPr>
                      <w:rFonts w:cs="Times New Roman" w:hint="eastAsia"/>
                      <w:color w:val="auto"/>
                      <w:lang w:eastAsia="zh-CN"/>
                      <w:highlight w:val="none"/>
                    </w:rPr>
                    <w:t>。本项目废铅蓄电池最大贮存量为</w:t>
                  </w:r>
                  <w:r>
                    <w:rPr>
                      <w:rFonts w:cs="Times New Roman" w:hint="eastAsia"/>
                      <w:color w:val="auto"/>
                      <w:lang w:val="en-US" w:eastAsia="zh-CN"/>
                      <w:highlight w:val="none"/>
                    </w:rPr>
                    <w:t>100t，贮存周期为5天，贮存点有足够空间满足特殊管理要求。</w:t>
                  </w:r>
                </w:p>
              </w:tc>
              <w:tc>
                <w:tcPr>
                  <w:tcW w:w="494" w:type="pct"/>
                  <w:vAlign w:val="center"/>
                </w:tcPr>
                <w:p>
                  <w:pPr>
                    <w:adjustRightInd w:val="0"/>
                    <w:snapToGrid w:val="0"/>
                    <w:jc w:val="center"/>
                    <w:rPr>
                      <w:rFonts w:ascii="Times New Roman" w:eastAsia="宋体" w:cs="Times New Roman" w:hAnsi="Times New Roman" w:hint="eastAsia"/>
                      <w:color w:val="auto"/>
                      <w:highlight w:val="none"/>
                    </w:rPr>
                  </w:pPr>
                  <w:r>
                    <w:rPr>
                      <w:rFonts w:ascii="Times New Roman" w:eastAsia="宋体" w:cs="Times New Roman" w:hAnsi="Times New Roman" w:hint="eastAsia"/>
                      <w:color w:val="auto"/>
                      <w:highlight w:val="none"/>
                    </w:rPr>
                    <w:t>符合</w:t>
                  </w:r>
                </w:p>
              </w:tc>
            </w:tr>
          </w:tbl>
          <w:p>
            <w:pPr>
              <w:pStyle w:val="107"/>
              <w:rPr>
                <w:rFonts w:hint="eastAsia"/>
                <w:color w:val="auto"/>
              </w:rPr>
            </w:pPr>
            <w:r>
              <w:rPr>
                <w:rFonts w:hint="eastAsia"/>
                <w:color w:val="auto"/>
              </w:rPr>
              <w:t>（</w:t>
            </w:r>
            <w:r>
              <w:rPr>
                <w:rFonts w:hint="eastAsia"/>
                <w:color w:val="auto"/>
                <w:lang w:val="en-US" w:eastAsia="zh-CN"/>
              </w:rPr>
              <w:t>3</w:t>
            </w:r>
            <w:r>
              <w:rPr>
                <w:rFonts w:hint="eastAsia"/>
                <w:color w:val="auto"/>
              </w:rPr>
              <w:t>）与《废电池污染防治技术政策》（环境保护部公告，2016年第82号）相符性分析</w:t>
            </w:r>
          </w:p>
          <w:p>
            <w:pPr>
              <w:ind w:firstLineChars="200" w:firstLine="480"/>
              <w:jc w:val="center"/>
              <w:rPr>
                <w:rFonts w:ascii="Times New Roman" w:eastAsia="宋体" w:cs="Times New Roman" w:hAnsi="Times New Roman" w:hint="eastAsia"/>
                <w:b/>
                <w:bCs/>
                <w:color w:val="auto"/>
                <w:sz w:val="24"/>
                <w:highlight w:val="none"/>
              </w:rPr>
            </w:pPr>
            <w:r>
              <w:rPr>
                <w:rFonts w:ascii="Times New Roman" w:eastAsia="宋体" w:cs="Times New Roman" w:hAnsi="Times New Roman" w:hint="eastAsia"/>
                <w:b/>
                <w:bCs/>
                <w:color w:val="auto"/>
                <w:sz w:val="24"/>
                <w:highlight w:val="none"/>
              </w:rPr>
              <w:t>表1-</w:t>
            </w:r>
            <w:r>
              <w:rPr>
                <w:rFonts w:ascii="Times New Roman" w:eastAsia="宋体" w:cs="Times New Roman" w:hAnsi="Times New Roman" w:hint="eastAsia"/>
                <w:b/>
                <w:bCs/>
                <w:color w:val="auto"/>
                <w:sz w:val="24"/>
                <w:lang w:val="en-US" w:eastAsia="zh-CN"/>
                <w:highlight w:val="none"/>
              </w:rPr>
              <w:t>1</w:t>
            </w:r>
            <w:r>
              <w:rPr>
                <w:rFonts w:cs="Times New Roman" w:hint="eastAsia"/>
                <w:b/>
                <w:bCs/>
                <w:color w:val="auto"/>
                <w:sz w:val="24"/>
                <w:lang w:val="en-US" w:eastAsia="zh-CN"/>
                <w:highlight w:val="none"/>
              </w:rPr>
              <w:t>6</w:t>
            </w:r>
            <w:r>
              <w:rPr>
                <w:rFonts w:ascii="Times New Roman" w:eastAsia="宋体" w:cs="Times New Roman" w:hAnsi="Times New Roman" w:hint="eastAsia"/>
                <w:b/>
                <w:bCs/>
                <w:color w:val="auto"/>
                <w:sz w:val="24"/>
                <w:highlight w:val="none"/>
              </w:rPr>
              <w:t xml:space="preserve">  项目与废电池污染防治技术政策的符合性分析</w:t>
            </w:r>
          </w:p>
          <w:tbl>
            <w:tblPr>
              <w:jc w:val="center"/>
              <w:tblW w:w="4998" w:type="pct"/>
              <w:tblBorders>
                <w:top w:val="single" w:sz="12" w:space="0" w:color="auto"/>
                <w:left w:val="none" w:sz="0" w:space="0" w:color="auto"/>
                <w:bottom w:val="single" w:sz="12" w:space="0" w:color="auto"/>
                <w:right w:val="none" w:sz="0" w:space="0" w:color="auto"/>
                <w:insideH w:val="single" w:sz="4" w:space="0" w:color="auto"/>
                <w:insideV w:val="single" w:sz="4" w:space="0" w:color="auto"/>
              </w:tblBorders>
              <w:tblCellMar>
                <w:top w:w="0" w:type="dxa"/>
                <w:left w:w="108" w:type="dxa"/>
                <w:bottom w:w="0" w:type="dxa"/>
                <w:right w:w="108" w:type="dxa"/>
              </w:tblCellMar>
              <w:tblLook w:val="0600" w:firstRow="0" w:lastRow="0" w:firstColumn="0" w:lastColumn="0" w:noHBand="1" w:noVBand="1"/>
            </w:tblPr>
            <w:tblGrid>
              <w:gridCol w:w="619"/>
              <w:gridCol w:w="3100"/>
              <w:gridCol w:w="3126"/>
              <w:gridCol w:w="751"/>
            </w:tblGrid>
            <w:tr>
              <w:trPr>
                <w:cantSplit/>
                <w:trHeight w:val="318"/>
                <w:tblHeader/>
              </w:trPr>
              <w:tc>
                <w:tcPr>
                  <w:tcW w:w="407" w:type="pct"/>
                  <w:vAlign w:val="center"/>
                </w:tcPr>
                <w:p>
                  <w:pPr>
                    <w:snapToGrid w:val="0"/>
                    <w:jc w:val="center"/>
                    <w:rPr>
                      <w:rFonts w:hint="eastAsia"/>
                      <w:b/>
                      <w:color w:val="auto"/>
                      <w:szCs w:val="21"/>
                    </w:rPr>
                  </w:pPr>
                  <w:r>
                    <w:rPr>
                      <w:rFonts w:hint="eastAsia"/>
                      <w:b/>
                      <w:color w:val="auto"/>
                      <w:szCs w:val="21"/>
                    </w:rPr>
                    <w:t>项目</w:t>
                  </w:r>
                </w:p>
              </w:tc>
              <w:tc>
                <w:tcPr>
                  <w:tcW w:w="2040" w:type="pct"/>
                  <w:vAlign w:val="center"/>
                </w:tcPr>
                <w:p>
                  <w:pPr>
                    <w:snapToGrid w:val="0"/>
                    <w:jc w:val="center"/>
                    <w:rPr>
                      <w:rFonts w:hint="eastAsia"/>
                      <w:b/>
                      <w:color w:val="auto"/>
                      <w:szCs w:val="21"/>
                    </w:rPr>
                  </w:pPr>
                  <w:r>
                    <w:rPr>
                      <w:rFonts w:hint="eastAsia"/>
                      <w:b/>
                      <w:color w:val="auto"/>
                      <w:szCs w:val="21"/>
                    </w:rPr>
                    <w:t>规范要求</w:t>
                  </w:r>
                </w:p>
              </w:tc>
              <w:tc>
                <w:tcPr>
                  <w:tcW w:w="2057" w:type="pct"/>
                  <w:vAlign w:val="center"/>
                </w:tcPr>
                <w:p>
                  <w:pPr>
                    <w:snapToGrid w:val="0"/>
                    <w:jc w:val="center"/>
                    <w:rPr>
                      <w:rFonts w:hint="eastAsia"/>
                      <w:b/>
                      <w:color w:val="auto"/>
                      <w:szCs w:val="21"/>
                    </w:rPr>
                  </w:pPr>
                  <w:r>
                    <w:rPr>
                      <w:rFonts w:hint="eastAsia"/>
                      <w:b/>
                      <w:color w:val="auto"/>
                      <w:szCs w:val="21"/>
                    </w:rPr>
                    <w:t>项目建设条件</w:t>
                  </w:r>
                </w:p>
              </w:tc>
              <w:tc>
                <w:tcPr>
                  <w:tcW w:w="494" w:type="pct"/>
                  <w:vAlign w:val="center"/>
                </w:tcPr>
                <w:p>
                  <w:pPr>
                    <w:snapToGrid w:val="0"/>
                    <w:jc w:val="center"/>
                    <w:rPr>
                      <w:rFonts w:hint="eastAsia"/>
                      <w:b/>
                      <w:color w:val="auto"/>
                      <w:szCs w:val="21"/>
                    </w:rPr>
                  </w:pPr>
                  <w:r>
                    <w:rPr>
                      <w:rFonts w:hint="eastAsia"/>
                      <w:b/>
                      <w:color w:val="auto"/>
                      <w:szCs w:val="21"/>
                    </w:rPr>
                    <w:t>相符性</w:t>
                  </w:r>
                </w:p>
              </w:tc>
            </w:tr>
            <w:tr>
              <w:trPr>
                <w:cantSplit/>
                <w:trHeight w:val="1139"/>
              </w:trPr>
              <w:tc>
                <w:tcPr>
                  <w:tcW w:w="407" w:type="pct"/>
                  <w:vAlign w:val="center"/>
                </w:tcPr>
                <w:p>
                  <w:pPr>
                    <w:snapToGrid w:val="0"/>
                    <w:jc w:val="center"/>
                    <w:rPr>
                      <w:rFonts w:hint="eastAsia"/>
                      <w:bCs/>
                      <w:color w:val="auto"/>
                      <w:szCs w:val="21"/>
                    </w:rPr>
                  </w:pPr>
                  <w:r>
                    <w:rPr>
                      <w:rFonts w:hint="eastAsia"/>
                      <w:bCs/>
                      <w:color w:val="auto"/>
                      <w:szCs w:val="21"/>
                    </w:rPr>
                    <w:t>收集</w:t>
                  </w:r>
                </w:p>
              </w:tc>
              <w:tc>
                <w:tcPr>
                  <w:tcW w:w="2040" w:type="pct"/>
                  <w:vAlign w:val="center"/>
                </w:tcPr>
                <w:p>
                  <w:pPr>
                    <w:snapToGrid w:val="0"/>
                    <w:jc w:val="both"/>
                    <w:rPr>
                      <w:rFonts w:hint="eastAsia"/>
                      <w:bCs/>
                      <w:color w:val="auto"/>
                      <w:szCs w:val="21"/>
                    </w:rPr>
                  </w:pPr>
                  <w:r>
                    <w:rPr>
                      <w:rFonts w:hint="eastAsia"/>
                      <w:bCs/>
                      <w:color w:val="auto"/>
                      <w:szCs w:val="21"/>
                    </w:rPr>
                    <w:t>收集过程中应保持废电池的结构和外形完整，严禁私自破损废电池，已破损的废电池应单独存放</w:t>
                  </w:r>
                </w:p>
              </w:tc>
              <w:tc>
                <w:tcPr>
                  <w:tcW w:w="2057" w:type="pct"/>
                  <w:vAlign w:val="center"/>
                </w:tcPr>
                <w:p>
                  <w:pPr>
                    <w:snapToGrid w:val="0"/>
                    <w:jc w:val="both"/>
                    <w:rPr>
                      <w:rFonts w:hint="eastAsia"/>
                      <w:bCs/>
                      <w:color w:val="auto"/>
                      <w:szCs w:val="21"/>
                    </w:rPr>
                  </w:pPr>
                  <w:r>
                    <w:rPr>
                      <w:rFonts w:hint="eastAsia"/>
                      <w:bCs/>
                      <w:color w:val="auto"/>
                      <w:szCs w:val="21"/>
                    </w:rPr>
                    <w:t>项目将收集的废铅酸蓄电池按完整和破损分类贮存，已破损的废电池单独存放</w:t>
                  </w:r>
                </w:p>
              </w:tc>
              <w:tc>
                <w:tcPr>
                  <w:tcW w:w="494" w:type="pct"/>
                  <w:vAlign w:val="center"/>
                </w:tcPr>
                <w:p>
                  <w:pPr>
                    <w:pStyle w:val="17"/>
                    <w:jc w:val="center"/>
                    <w:rPr>
                      <w:rFonts w:ascii="Times New Roman" w:hAnsi="Times New Roman" w:hint="eastAsia"/>
                      <w:bCs/>
                      <w:color w:val="auto"/>
                      <w:szCs w:val="21"/>
                    </w:rPr>
                  </w:pPr>
                  <w:r>
                    <w:rPr>
                      <w:rFonts w:ascii="Times New Roman" w:hAnsi="Times New Roman" w:hint="eastAsia"/>
                      <w:bCs/>
                      <w:color w:val="auto"/>
                      <w:szCs w:val="21"/>
                    </w:rPr>
                    <w:t>符合</w:t>
                  </w:r>
                </w:p>
              </w:tc>
            </w:tr>
            <w:tr>
              <w:trPr>
                <w:cantSplit/>
                <w:trHeight w:val="318"/>
              </w:trPr>
              <w:tc>
                <w:tcPr>
                  <w:tcW w:w="407" w:type="pct"/>
                  <w:vMerge w:val="restart"/>
                  <w:vAlign w:val="center"/>
                </w:tcPr>
                <w:p>
                  <w:pPr>
                    <w:snapToGrid w:val="0"/>
                    <w:jc w:val="center"/>
                    <w:rPr>
                      <w:rFonts w:hint="eastAsia"/>
                      <w:bCs/>
                      <w:color w:val="auto"/>
                      <w:szCs w:val="21"/>
                    </w:rPr>
                  </w:pPr>
                  <w:r>
                    <w:rPr>
                      <w:rFonts w:hint="eastAsia"/>
                      <w:bCs/>
                      <w:color w:val="auto"/>
                      <w:szCs w:val="21"/>
                    </w:rPr>
                    <w:t>运输</w:t>
                  </w:r>
                </w:p>
              </w:tc>
              <w:tc>
                <w:tcPr>
                  <w:tcW w:w="2040" w:type="pct"/>
                  <w:vAlign w:val="center"/>
                </w:tcPr>
                <w:p>
                  <w:pPr>
                    <w:snapToGrid w:val="0"/>
                    <w:jc w:val="both"/>
                    <w:rPr>
                      <w:bCs/>
                      <w:color w:val="auto"/>
                      <w:szCs w:val="21"/>
                    </w:rPr>
                  </w:pPr>
                  <w:r>
                    <w:rPr>
                      <w:rFonts w:hint="eastAsia"/>
                      <w:bCs/>
                      <w:color w:val="auto"/>
                      <w:szCs w:val="21"/>
                    </w:rPr>
                    <w:t>废电池应采取有效的包装措施，防止运输过程中有毒有害物质泄漏造成污染</w:t>
                  </w:r>
                </w:p>
              </w:tc>
              <w:tc>
                <w:tcPr>
                  <w:tcW w:w="2057" w:type="pct"/>
                  <w:vMerge w:val="restart"/>
                  <w:vAlign w:val="center"/>
                </w:tcPr>
                <w:p>
                  <w:pPr>
                    <w:snapToGrid w:val="0"/>
                    <w:jc w:val="both"/>
                    <w:rPr>
                      <w:bCs/>
                      <w:color w:val="auto"/>
                      <w:szCs w:val="21"/>
                    </w:rPr>
                  </w:pPr>
                  <w:r>
                    <w:rPr>
                      <w:rFonts w:hint="eastAsia"/>
                      <w:bCs/>
                      <w:color w:val="auto"/>
                      <w:szCs w:val="21"/>
                    </w:rPr>
                    <w:t>项目运输委托有资质单位进行，并监督运输机构按规范进行</w:t>
                  </w:r>
                </w:p>
              </w:tc>
              <w:tc>
                <w:tcPr>
                  <w:tcW w:w="494" w:type="pct"/>
                  <w:vAlign w:val="center"/>
                </w:tcPr>
                <w:p>
                  <w:pPr>
                    <w:jc w:val="center"/>
                    <w:rPr>
                      <w:bCs/>
                      <w:color w:val="auto"/>
                      <w:szCs w:val="21"/>
                    </w:rPr>
                  </w:pPr>
                  <w:r>
                    <w:rPr>
                      <w:rFonts w:hint="eastAsia"/>
                      <w:bCs/>
                      <w:color w:val="auto"/>
                      <w:szCs w:val="21"/>
                    </w:rPr>
                    <w:t>符合</w:t>
                  </w:r>
                </w:p>
              </w:tc>
            </w:tr>
            <w:tr>
              <w:trPr>
                <w:cantSplit/>
                <w:trHeight w:val="630"/>
              </w:trPr>
              <w:tc>
                <w:tcPr>
                  <w:tcW w:w="407" w:type="pct"/>
                  <w:vMerge/>
                  <w:vAlign w:val="center"/>
                </w:tcPr>
                <w:p/>
              </w:tc>
              <w:tc>
                <w:tcPr>
                  <w:tcW w:w="2040" w:type="pct"/>
                  <w:vAlign w:val="center"/>
                </w:tcPr>
                <w:p>
                  <w:pPr>
                    <w:snapToGrid w:val="0"/>
                    <w:jc w:val="both"/>
                    <w:rPr>
                      <w:bCs/>
                      <w:color w:val="auto"/>
                      <w:szCs w:val="21"/>
                    </w:rPr>
                  </w:pPr>
                  <w:r>
                    <w:rPr>
                      <w:rFonts w:hint="eastAsia"/>
                      <w:bCs/>
                      <w:color w:val="auto"/>
                      <w:szCs w:val="21"/>
                    </w:rPr>
                    <w:t>禁止在运输过程中擅自倾倒和丢弃废电池</w:t>
                  </w:r>
                </w:p>
              </w:tc>
              <w:tc>
                <w:tcPr>
                  <w:tcW w:w="2057" w:type="pct"/>
                  <w:vMerge/>
                  <w:vAlign w:val="center"/>
                </w:tcPr>
                <w:p/>
              </w:tc>
              <w:tc>
                <w:tcPr>
                  <w:tcW w:w="494" w:type="pct"/>
                  <w:vAlign w:val="center"/>
                </w:tcPr>
                <w:p>
                  <w:pPr>
                    <w:jc w:val="center"/>
                    <w:rPr>
                      <w:bCs/>
                      <w:color w:val="auto"/>
                      <w:szCs w:val="21"/>
                    </w:rPr>
                  </w:pPr>
                  <w:r>
                    <w:rPr>
                      <w:rFonts w:hint="eastAsia"/>
                      <w:bCs/>
                      <w:color w:val="auto"/>
                      <w:szCs w:val="21"/>
                    </w:rPr>
                    <w:t>符合</w:t>
                  </w:r>
                </w:p>
              </w:tc>
            </w:tr>
            <w:tr>
              <w:trPr>
                <w:cantSplit/>
                <w:trHeight w:val="318"/>
              </w:trPr>
              <w:tc>
                <w:tcPr>
                  <w:tcW w:w="407" w:type="pct"/>
                  <w:vMerge w:val="restart"/>
                  <w:vAlign w:val="center"/>
                </w:tcPr>
                <w:p>
                  <w:pPr>
                    <w:snapToGrid w:val="0"/>
                    <w:jc w:val="center"/>
                    <w:rPr>
                      <w:rFonts w:hint="eastAsia"/>
                      <w:bCs/>
                      <w:color w:val="auto"/>
                      <w:szCs w:val="21"/>
                    </w:rPr>
                  </w:pPr>
                  <w:r>
                    <w:rPr>
                      <w:rFonts w:hint="eastAsia"/>
                      <w:bCs/>
                      <w:color w:val="auto"/>
                      <w:szCs w:val="21"/>
                    </w:rPr>
                    <w:t>贮存</w:t>
                  </w:r>
                </w:p>
              </w:tc>
              <w:tc>
                <w:tcPr>
                  <w:tcW w:w="2040" w:type="pct"/>
                  <w:vAlign w:val="center"/>
                </w:tcPr>
                <w:p>
                  <w:pPr>
                    <w:snapToGrid w:val="0"/>
                    <w:jc w:val="both"/>
                    <w:rPr>
                      <w:bCs/>
                      <w:color w:val="auto"/>
                      <w:szCs w:val="21"/>
                    </w:rPr>
                  </w:pPr>
                  <w:r>
                    <w:rPr>
                      <w:rFonts w:hint="eastAsia"/>
                      <w:bCs/>
                      <w:color w:val="auto"/>
                      <w:szCs w:val="21"/>
                    </w:rPr>
                    <w:t>废电池应分类贮存，禁止露天堆放。破损的废电池应单独贮存。贮存场所应定期清理、清运</w:t>
                  </w:r>
                </w:p>
              </w:tc>
              <w:tc>
                <w:tcPr>
                  <w:tcW w:w="2057" w:type="pct"/>
                  <w:vAlign w:val="center"/>
                </w:tcPr>
                <w:p>
                  <w:pPr>
                    <w:snapToGrid w:val="0"/>
                    <w:jc w:val="both"/>
                    <w:rPr>
                      <w:bCs/>
                      <w:color w:val="auto"/>
                      <w:szCs w:val="21"/>
                    </w:rPr>
                  </w:pPr>
                  <w:r>
                    <w:rPr>
                      <w:rFonts w:hint="eastAsia"/>
                      <w:bCs/>
                      <w:color w:val="auto"/>
                      <w:szCs w:val="21"/>
                    </w:rPr>
                    <w:t>本项目废旧蓄电池在仓库分类分区贮存，破损的蓄电池单独储存。贮存场所定期清理、清运</w:t>
                  </w:r>
                </w:p>
              </w:tc>
              <w:tc>
                <w:tcPr>
                  <w:tcW w:w="494" w:type="pct"/>
                  <w:vAlign w:val="center"/>
                </w:tcPr>
                <w:p>
                  <w:pPr>
                    <w:jc w:val="center"/>
                    <w:rPr>
                      <w:bCs/>
                      <w:color w:val="auto"/>
                      <w:szCs w:val="21"/>
                    </w:rPr>
                  </w:pPr>
                  <w:r>
                    <w:rPr>
                      <w:rFonts w:hint="eastAsia"/>
                      <w:bCs/>
                      <w:color w:val="auto"/>
                      <w:szCs w:val="21"/>
                    </w:rPr>
                    <w:t>符合</w:t>
                  </w:r>
                </w:p>
              </w:tc>
            </w:tr>
            <w:tr>
              <w:trPr>
                <w:cantSplit/>
                <w:trHeight w:val="318"/>
              </w:trPr>
              <w:tc>
                <w:tcPr>
                  <w:tcW w:w="407" w:type="pct"/>
                  <w:vMerge/>
                  <w:vAlign w:val="center"/>
                </w:tcPr>
                <w:p/>
              </w:tc>
              <w:tc>
                <w:tcPr>
                  <w:tcW w:w="2040" w:type="pct"/>
                  <w:vAlign w:val="center"/>
                </w:tcPr>
                <w:p>
                  <w:pPr>
                    <w:snapToGrid w:val="0"/>
                    <w:jc w:val="both"/>
                    <w:rPr>
                      <w:bCs/>
                      <w:color w:val="auto"/>
                      <w:szCs w:val="21"/>
                    </w:rPr>
                  </w:pPr>
                  <w:r>
                    <w:rPr>
                      <w:rFonts w:hint="eastAsia"/>
                      <w:bCs/>
                      <w:color w:val="auto"/>
                      <w:szCs w:val="21"/>
                    </w:rPr>
                    <w:t>废铅蓄电池的贮存场所应防止电解液泄漏。废铅蓄电池的贮存应避免遭受雨淋水浸</w:t>
                  </w:r>
                </w:p>
              </w:tc>
              <w:tc>
                <w:tcPr>
                  <w:tcW w:w="2057" w:type="pct"/>
                  <w:vAlign w:val="center"/>
                </w:tcPr>
                <w:p>
                  <w:pPr>
                    <w:snapToGrid w:val="0"/>
                    <w:jc w:val="both"/>
                    <w:rPr>
                      <w:bCs/>
                      <w:color w:val="auto"/>
                      <w:szCs w:val="21"/>
                    </w:rPr>
                  </w:pPr>
                  <w:r>
                    <w:rPr>
                      <w:rFonts w:hint="eastAsia"/>
                      <w:bCs/>
                      <w:color w:val="auto"/>
                      <w:szCs w:val="21"/>
                    </w:rPr>
                    <w:t>仓库按规范要求进行设计，设有导流沟</w:t>
                  </w:r>
                  <w:r>
                    <w:rPr>
                      <w:rFonts w:hint="eastAsia"/>
                      <w:bCs/>
                      <w:color w:val="auto"/>
                      <w:szCs w:val="21"/>
                      <w:lang w:eastAsia="zh-CN"/>
                    </w:rPr>
                    <w:t>和废液收集池</w:t>
                  </w:r>
                  <w:r>
                    <w:rPr>
                      <w:rFonts w:hint="eastAsia"/>
                      <w:bCs/>
                      <w:color w:val="auto"/>
                      <w:szCs w:val="21"/>
                    </w:rPr>
                    <w:t>，仓库地面拟采取防腐蚀防渗漏措施，可有效防止电解液泄漏</w:t>
                  </w:r>
                </w:p>
              </w:tc>
              <w:tc>
                <w:tcPr>
                  <w:tcW w:w="494" w:type="pct"/>
                  <w:vAlign w:val="center"/>
                </w:tcPr>
                <w:p>
                  <w:pPr>
                    <w:jc w:val="center"/>
                    <w:rPr>
                      <w:bCs/>
                      <w:color w:val="auto"/>
                      <w:szCs w:val="21"/>
                    </w:rPr>
                  </w:pPr>
                  <w:r>
                    <w:rPr>
                      <w:rFonts w:hint="eastAsia"/>
                      <w:bCs/>
                      <w:color w:val="auto"/>
                      <w:szCs w:val="21"/>
                    </w:rPr>
                    <w:t>符合</w:t>
                  </w:r>
                </w:p>
              </w:tc>
            </w:tr>
          </w:tbl>
          <w:p>
            <w:pPr>
              <w:pStyle w:val="69"/>
              <w:spacing w:line="360" w:lineRule="auto"/>
              <w:ind w:left="122" w:firstLine="473"/>
              <w:rPr>
                <w:rFonts w:ascii="Times New Roman" w:eastAsia="宋体" w:cs="Times New Roman" w:hAnsi="Times New Roman"/>
                <w:color w:val="auto"/>
                <w:kern w:val="2"/>
                <w:sz w:val="24"/>
                <w:szCs w:val="24"/>
                <w:lang w:val="en-US" w:eastAsia="zh-CN" w:bidi="ar-SA"/>
                <w:highlight w:val="none"/>
              </w:rPr>
            </w:pPr>
            <w:r>
              <w:rPr>
                <w:rFonts w:ascii="Times New Roman" w:eastAsia="宋体" w:cs="Times New Roman" w:hAnsi="Times New Roman" w:hint="eastAsia"/>
                <w:color w:val="auto"/>
                <w:kern w:val="2"/>
                <w:sz w:val="24"/>
                <w:szCs w:val="24"/>
                <w:lang w:val="en-US" w:eastAsia="zh-CN" w:bidi="ar-SA"/>
                <w:highlight w:val="none"/>
              </w:rPr>
              <w:t>（</w:t>
            </w:r>
            <w:r>
              <w:rPr>
                <w:rFonts w:ascii="Times New Roman" w:cs="Times New Roman" w:hAnsi="Times New Roman" w:hint="eastAsia"/>
                <w:color w:val="auto"/>
                <w:kern w:val="2"/>
                <w:sz w:val="24"/>
                <w:szCs w:val="24"/>
                <w:lang w:val="en-US" w:eastAsia="zh-CN" w:bidi="ar-SA"/>
                <w:highlight w:val="none"/>
              </w:rPr>
              <w:t>4</w:t>
            </w:r>
            <w:r>
              <w:rPr>
                <w:rFonts w:ascii="Times New Roman" w:eastAsia="宋体" w:cs="Times New Roman" w:hAnsi="Times New Roman" w:hint="eastAsia"/>
                <w:color w:val="auto"/>
                <w:kern w:val="2"/>
                <w:sz w:val="24"/>
                <w:szCs w:val="24"/>
                <w:lang w:val="en-US" w:eastAsia="zh-CN" w:bidi="ar-SA"/>
                <w:highlight w:val="none"/>
              </w:rPr>
              <w:t>）</w:t>
            </w:r>
            <w:r>
              <w:rPr>
                <w:rFonts w:ascii="Times New Roman" w:eastAsia="宋体" w:cs="Times New Roman" w:hAnsi="Times New Roman"/>
                <w:color w:val="auto"/>
                <w:kern w:val="2"/>
                <w:sz w:val="24"/>
                <w:szCs w:val="24"/>
                <w:lang w:val="en-US" w:eastAsia="zh-CN" w:bidi="ar-SA"/>
                <w:highlight w:val="none"/>
              </w:rPr>
              <w:t>与《废铅蓄电池危险废物经营单位审查和许可指南（试行）》 （公告2020年第30号）的符合性分析</w:t>
            </w:r>
          </w:p>
          <w:p>
            <w:pPr>
              <w:ind w:firstLineChars="200" w:firstLine="480"/>
              <w:jc w:val="center"/>
              <w:rPr>
                <w:rFonts w:ascii="Times New Roman" w:eastAsia="宋体" w:cs="Times New Roman" w:hAnsi="Times New Roman" w:hint="eastAsia"/>
                <w:b/>
                <w:bCs/>
                <w:color w:val="auto"/>
                <w:sz w:val="24"/>
                <w:highlight w:val="none"/>
              </w:rPr>
            </w:pPr>
            <w:r>
              <w:rPr>
                <w:rFonts w:ascii="Times New Roman" w:eastAsia="宋体" w:cs="Times New Roman" w:hAnsi="Times New Roman" w:hint="eastAsia"/>
                <w:b/>
                <w:bCs/>
                <w:color w:val="auto"/>
                <w:sz w:val="24"/>
                <w:highlight w:val="none"/>
              </w:rPr>
              <w:t>表1-</w:t>
            </w:r>
            <w:r>
              <w:rPr>
                <w:rFonts w:ascii="Times New Roman" w:eastAsia="宋体" w:cs="Times New Roman" w:hAnsi="Times New Roman" w:hint="eastAsia"/>
                <w:b/>
                <w:bCs/>
                <w:color w:val="auto"/>
                <w:sz w:val="24"/>
                <w:lang w:val="en-US" w:eastAsia="zh-CN"/>
                <w:highlight w:val="none"/>
              </w:rPr>
              <w:t>1</w:t>
            </w:r>
            <w:r>
              <w:rPr>
                <w:rFonts w:cs="Times New Roman" w:hint="eastAsia"/>
                <w:b/>
                <w:bCs/>
                <w:color w:val="auto"/>
                <w:sz w:val="24"/>
                <w:lang w:val="en-US" w:eastAsia="zh-CN"/>
                <w:highlight w:val="none"/>
              </w:rPr>
              <w:t>7</w:t>
            </w:r>
            <w:r>
              <w:rPr>
                <w:rFonts w:ascii="Times New Roman" w:eastAsia="宋体" w:cs="Times New Roman" w:hAnsi="Times New Roman" w:hint="eastAsia"/>
                <w:b/>
                <w:bCs/>
                <w:color w:val="auto"/>
                <w:sz w:val="24"/>
                <w:highlight w:val="none"/>
              </w:rPr>
              <w:t xml:space="preserve">  与《废铅蓄电池危险废物经营单位审查和许可指南（试</w:t>
            </w:r>
          </w:p>
          <w:p>
            <w:pPr>
              <w:ind w:firstLineChars="200" w:firstLine="480"/>
              <w:jc w:val="center"/>
              <w:rPr>
                <w:rFonts w:ascii="Times New Roman" w:eastAsia="宋体" w:cs="Times New Roman" w:hAnsi="Times New Roman" w:hint="eastAsia"/>
                <w:b/>
                <w:bCs/>
                <w:color w:val="auto"/>
                <w:sz w:val="24"/>
                <w:highlight w:val="none"/>
              </w:rPr>
            </w:pPr>
            <w:r>
              <w:rPr>
                <w:rFonts w:ascii="Times New Roman" w:eastAsia="宋体" w:cs="Times New Roman" w:hAnsi="Times New Roman" w:hint="eastAsia"/>
                <w:b/>
                <w:bCs/>
                <w:color w:val="auto"/>
                <w:sz w:val="24"/>
                <w:highlight w:val="none"/>
              </w:rPr>
              <w:t>行）》（公告2020年第30号）符合性分析一览表</w:t>
            </w:r>
          </w:p>
          <w:tbl>
            <w:tblPr>
              <w:jc w:val="center"/>
              <w:tblW w:w="4998" w:type="pct"/>
              <w:tblBorders>
                <w:top w:val="single" w:sz="12" w:space="0" w:color="auto"/>
                <w:left w:val="none" w:sz="0" w:space="0" w:color="auto"/>
                <w:bottom w:val="single" w:sz="12" w:space="0" w:color="auto"/>
                <w:right w:val="none" w:sz="0" w:space="0" w:color="auto"/>
                <w:insideH w:val="single" w:sz="4" w:space="0" w:color="auto"/>
                <w:insideV w:val="single" w:sz="4" w:space="0" w:color="auto"/>
              </w:tblBorders>
              <w:tblCellMar>
                <w:top w:w="0" w:type="dxa"/>
                <w:left w:w="108" w:type="dxa"/>
                <w:bottom w:w="0" w:type="dxa"/>
                <w:right w:w="108" w:type="dxa"/>
              </w:tblCellMar>
              <w:tblLook w:val="0600" w:firstRow="0" w:lastRow="0" w:firstColumn="0" w:lastColumn="0" w:noHBand="1" w:noVBand="1"/>
            </w:tblPr>
            <w:tblGrid>
              <w:gridCol w:w="780"/>
              <w:gridCol w:w="3258"/>
              <w:gridCol w:w="2851"/>
              <w:gridCol w:w="707"/>
            </w:tblGrid>
            <w:tr>
              <w:trPr>
                <w:cantSplit/>
                <w:trHeight w:val="318"/>
                <w:tblHeader/>
              </w:trPr>
              <w:tc>
                <w:tcPr>
                  <w:tcW w:w="513" w:type="pct"/>
                  <w:vAlign w:val="center"/>
                </w:tcPr>
                <w:p>
                  <w:pPr>
                    <w:snapToGrid w:val="0"/>
                    <w:jc w:val="center"/>
                    <w:rPr>
                      <w:rFonts w:hint="eastAsia"/>
                      <w:b/>
                      <w:color w:val="auto"/>
                      <w:szCs w:val="21"/>
                    </w:rPr>
                  </w:pPr>
                  <w:r>
                    <w:rPr>
                      <w:rFonts w:hint="eastAsia"/>
                      <w:b/>
                      <w:color w:val="auto"/>
                      <w:szCs w:val="21"/>
                    </w:rPr>
                    <w:t>项目</w:t>
                  </w:r>
                </w:p>
              </w:tc>
              <w:tc>
                <w:tcPr>
                  <w:tcW w:w="2144" w:type="pct"/>
                  <w:vAlign w:val="center"/>
                </w:tcPr>
                <w:p>
                  <w:pPr>
                    <w:snapToGrid w:val="0"/>
                    <w:jc w:val="center"/>
                    <w:rPr>
                      <w:rFonts w:hint="eastAsia"/>
                      <w:b/>
                      <w:color w:val="auto"/>
                      <w:szCs w:val="21"/>
                    </w:rPr>
                  </w:pPr>
                  <w:r>
                    <w:rPr>
                      <w:rFonts w:hint="eastAsia"/>
                      <w:b/>
                      <w:color w:val="auto"/>
                      <w:szCs w:val="21"/>
                    </w:rPr>
                    <w:t>规范要求</w:t>
                  </w:r>
                </w:p>
              </w:tc>
              <w:tc>
                <w:tcPr>
                  <w:tcW w:w="1876" w:type="pct"/>
                  <w:vAlign w:val="center"/>
                </w:tcPr>
                <w:p>
                  <w:pPr>
                    <w:snapToGrid w:val="0"/>
                    <w:jc w:val="center"/>
                    <w:rPr>
                      <w:rFonts w:hint="eastAsia"/>
                      <w:b/>
                      <w:color w:val="auto"/>
                      <w:szCs w:val="21"/>
                    </w:rPr>
                  </w:pPr>
                  <w:r>
                    <w:rPr>
                      <w:rFonts w:hint="eastAsia"/>
                      <w:b/>
                      <w:color w:val="auto"/>
                      <w:szCs w:val="21"/>
                    </w:rPr>
                    <w:t>项目建设条件</w:t>
                  </w:r>
                </w:p>
              </w:tc>
              <w:tc>
                <w:tcPr>
                  <w:tcW w:w="465" w:type="pct"/>
                  <w:vAlign w:val="center"/>
                </w:tcPr>
                <w:p>
                  <w:pPr>
                    <w:snapToGrid w:val="0"/>
                    <w:jc w:val="center"/>
                    <w:rPr>
                      <w:rFonts w:hint="eastAsia"/>
                      <w:b/>
                      <w:color w:val="auto"/>
                      <w:szCs w:val="21"/>
                    </w:rPr>
                  </w:pPr>
                  <w:r>
                    <w:rPr>
                      <w:rFonts w:hint="eastAsia"/>
                      <w:b/>
                      <w:color w:val="auto"/>
                      <w:szCs w:val="21"/>
                    </w:rPr>
                    <w:t>相符性</w:t>
                  </w:r>
                </w:p>
              </w:tc>
            </w:tr>
            <w:tr>
              <w:trPr>
                <w:cantSplit/>
                <w:trHeight w:val="318"/>
              </w:trPr>
              <w:tc>
                <w:tcPr>
                  <w:tcW w:w="513" w:type="pct"/>
                  <w:vAlign w:val="center"/>
                </w:tcPr>
                <w:p>
                  <w:pPr>
                    <w:adjustRightInd w:val="0"/>
                    <w:snapToGrid w:val="0"/>
                    <w:jc w:val="center"/>
                    <w:rPr>
                      <w:rFonts w:ascii="Times New Roman" w:eastAsia="宋体" w:cs="Times New Roman" w:hAnsi="Times New Roman" w:hint="eastAsia"/>
                      <w:color w:val="auto"/>
                      <w:highlight w:val="none"/>
                    </w:rPr>
                  </w:pPr>
                  <w:r>
                    <w:rPr>
                      <w:rFonts w:ascii="Times New Roman" w:eastAsia="宋体" w:cs="Times New Roman" w:hAnsi="Times New Roman"/>
                      <w:color w:val="auto"/>
                      <w:highlight w:val="none"/>
                    </w:rPr>
                    <w:t>总体要求</w:t>
                  </w:r>
                </w:p>
              </w:tc>
              <w:tc>
                <w:tcPr>
                  <w:tcW w:w="2144" w:type="pct"/>
                  <w:vAlign w:val="center"/>
                </w:tcPr>
                <w:p>
                  <w:pPr>
                    <w:adjustRightInd w:val="0"/>
                    <w:snapToGrid w:val="0"/>
                    <w:jc w:val="both"/>
                    <w:rPr>
                      <w:rFonts w:ascii="Times New Roman" w:eastAsia="宋体" w:cs="Times New Roman" w:hAnsi="Times New Roman" w:hint="eastAsia"/>
                      <w:color w:val="auto"/>
                      <w:highlight w:val="none"/>
                    </w:rPr>
                  </w:pPr>
                  <w:r>
                    <w:rPr>
                      <w:rFonts w:ascii="Times New Roman" w:eastAsia="宋体" w:cs="Times New Roman" w:hAnsi="Times New Roman"/>
                      <w:color w:val="auto"/>
                      <w:highlight w:val="none"/>
                    </w:rPr>
                    <w:t>从事废铅蓄电池收集、贮存、利用、处置经营活动的单位应符合《废铅蓄电池处理污染控制技术规范》（HJ519）有关要求，并依法依规申请领取危险废物经营许可证。</w:t>
                  </w:r>
                </w:p>
              </w:tc>
              <w:tc>
                <w:tcPr>
                  <w:tcW w:w="1876" w:type="pct"/>
                  <w:vAlign w:val="center"/>
                </w:tcPr>
                <w:p>
                  <w:pPr>
                    <w:adjustRightInd w:val="0"/>
                    <w:snapToGrid w:val="0"/>
                    <w:jc w:val="both"/>
                    <w:rPr>
                      <w:rFonts w:ascii="Times New Roman" w:eastAsia="宋体" w:cs="Times New Roman" w:hAnsi="Times New Roman" w:hint="eastAsia"/>
                      <w:color w:val="auto"/>
                      <w:highlight w:val="none"/>
                    </w:rPr>
                  </w:pPr>
                  <w:r>
                    <w:rPr>
                      <w:rFonts w:ascii="Times New Roman" w:eastAsia="宋体" w:cs="Times New Roman" w:hAnsi="Times New Roman"/>
                      <w:color w:val="auto"/>
                      <w:highlight w:val="none"/>
                    </w:rPr>
                    <w:t>本项目为废铅蓄电池及废镍镉电池贮存，符合《废铅蓄电池处理污染控制技术规范》（HJ519）有关要求。本项目将于环评后，依法依规申请领取危险废物经营许可证。</w:t>
                  </w:r>
                </w:p>
              </w:tc>
              <w:tc>
                <w:tcPr>
                  <w:tcW w:w="465" w:type="pct"/>
                  <w:vAlign w:val="center"/>
                </w:tcPr>
                <w:p>
                  <w:pPr>
                    <w:adjustRightInd w:val="0"/>
                    <w:snapToGrid w:val="0"/>
                    <w:jc w:val="center"/>
                    <w:rPr>
                      <w:rFonts w:ascii="Times New Roman" w:eastAsia="宋体" w:cs="Times New Roman" w:hAnsi="Times New Roman" w:hint="eastAsia"/>
                      <w:color w:val="auto"/>
                      <w:highlight w:val="none"/>
                    </w:rPr>
                  </w:pPr>
                  <w:r>
                    <w:rPr>
                      <w:rFonts w:ascii="Times New Roman" w:eastAsia="宋体" w:cs="Times New Roman" w:hAnsi="Times New Roman"/>
                      <w:color w:val="auto"/>
                      <w:highlight w:val="none"/>
                    </w:rPr>
                    <w:t>符合</w:t>
                  </w:r>
                </w:p>
              </w:tc>
            </w:tr>
            <w:tr>
              <w:trPr>
                <w:cantSplit/>
                <w:trHeight w:val="318"/>
              </w:trPr>
              <w:tc>
                <w:tcPr>
                  <w:tcW w:w="513" w:type="pct"/>
                  <w:vMerge w:val="restart"/>
                  <w:vAlign w:val="center"/>
                </w:tcPr>
                <w:p>
                  <w:pPr>
                    <w:adjustRightInd w:val="0"/>
                    <w:snapToGrid w:val="0"/>
                    <w:jc w:val="center"/>
                    <w:rPr>
                      <w:rFonts w:ascii="Times New Roman" w:eastAsia="宋体" w:cs="Times New Roman" w:hAnsi="Times New Roman" w:hint="eastAsia"/>
                      <w:color w:val="auto"/>
                      <w:highlight w:val="none"/>
                    </w:rPr>
                  </w:pPr>
                  <w:r>
                    <w:rPr>
                      <w:rFonts w:ascii="Times New Roman" w:eastAsia="宋体" w:cs="Times New Roman" w:hAnsi="Times New Roman"/>
                      <w:color w:val="auto"/>
                      <w:highlight w:val="none"/>
                    </w:rPr>
                    <w:t>废铅蓄电池危险废物经营单位审查和许可要点</w:t>
                  </w:r>
                </w:p>
              </w:tc>
              <w:tc>
                <w:tcPr>
                  <w:tcW w:w="2144" w:type="pct"/>
                  <w:vAlign w:val="center"/>
                </w:tcPr>
                <w:p>
                  <w:pPr>
                    <w:adjustRightInd w:val="0"/>
                    <w:snapToGrid w:val="0"/>
                    <w:jc w:val="both"/>
                    <w:rPr>
                      <w:rFonts w:ascii="Times New Roman" w:eastAsia="宋体" w:cs="Times New Roman" w:hAnsi="Times New Roman"/>
                      <w:color w:val="auto"/>
                      <w:highlight w:val="none"/>
                    </w:rPr>
                  </w:pPr>
                  <w:r>
                    <w:rPr>
                      <w:rFonts w:ascii="Times New Roman" w:eastAsia="宋体" w:cs="Times New Roman" w:hAnsi="Times New Roman"/>
                      <w:color w:val="auto"/>
                      <w:highlight w:val="none"/>
                    </w:rPr>
                    <w:t>1.收集、运输、贮存废铅蓄电池的容器或托盘应根据废铅蓄电池的特性而设计，不易破损、变形，其所用材料能有效地防止渗漏、扩散，并耐腐蚀。</w:t>
                  </w:r>
                </w:p>
                <w:p>
                  <w:pPr>
                    <w:adjustRightInd w:val="0"/>
                    <w:snapToGrid w:val="0"/>
                    <w:jc w:val="both"/>
                    <w:rPr>
                      <w:rFonts w:ascii="Times New Roman" w:eastAsia="宋体" w:cs="Times New Roman" w:hAnsi="Times New Roman"/>
                      <w:color w:val="auto"/>
                      <w:highlight w:val="none"/>
                    </w:rPr>
                  </w:pPr>
                  <w:r>
                    <w:rPr>
                      <w:rFonts w:ascii="Times New Roman" w:eastAsia="宋体" w:cs="Times New Roman" w:hAnsi="Times New Roman"/>
                      <w:color w:val="auto"/>
                      <w:highlight w:val="none"/>
                    </w:rPr>
                    <w:t>2.通过信息系统如实记录每批次收集、贮存、利用、处置废铅蓄电池的数量、重量、来源、去向等信息。再生铅企业应使用全国固体废物管理信息系统。使用自建废铅蓄电池收集处理信息系统的集中转运点，应实现其与全国固体废物管理信息系统的数据对接。</w:t>
                  </w:r>
                </w:p>
              </w:tc>
              <w:tc>
                <w:tcPr>
                  <w:tcW w:w="1876" w:type="pct"/>
                  <w:vAlign w:val="center"/>
                </w:tcPr>
                <w:p>
                  <w:pPr>
                    <w:adjustRightInd w:val="0"/>
                    <w:snapToGrid w:val="0"/>
                    <w:jc w:val="both"/>
                    <w:rPr>
                      <w:rFonts w:ascii="Times New Roman" w:eastAsia="宋体" w:cs="Times New Roman" w:hAnsi="Times New Roman"/>
                      <w:color w:val="auto"/>
                      <w:highlight w:val="none"/>
                    </w:rPr>
                  </w:pPr>
                  <w:r>
                    <w:rPr>
                      <w:rFonts w:ascii="Times New Roman" w:eastAsia="宋体" w:cs="Times New Roman" w:hAnsi="Times New Roman"/>
                      <w:color w:val="auto"/>
                      <w:highlight w:val="none"/>
                    </w:rPr>
                    <w:t>本项目对完整电池采用专用托盘盛装，码放整齐；对破损电池采用薄膜缠绕后用耐腐蚀PE桶盛装，加盖盖严。托盘与PE</w:t>
                  </w:r>
                </w:p>
                <w:p>
                  <w:pPr>
                    <w:adjustRightInd w:val="0"/>
                    <w:snapToGrid w:val="0"/>
                    <w:jc w:val="both"/>
                    <w:rPr>
                      <w:rFonts w:ascii="Times New Roman" w:eastAsia="宋体" w:cs="Times New Roman" w:hAnsi="Times New Roman"/>
                      <w:color w:val="auto"/>
                      <w:highlight w:val="none"/>
                    </w:rPr>
                  </w:pPr>
                  <w:r>
                    <w:rPr>
                      <w:rFonts w:ascii="Times New Roman" w:eastAsia="宋体" w:cs="Times New Roman" w:hAnsi="Times New Roman"/>
                      <w:color w:val="auto"/>
                      <w:highlight w:val="none"/>
                    </w:rPr>
                    <w:t>桶均不易破损、变形、防渗、耐腐蚀。对每批次收集、贮存、利用、处置废铅蓄电池的数量、重量、来源、去向等进行记录。</w:t>
                  </w:r>
                </w:p>
              </w:tc>
              <w:tc>
                <w:tcPr>
                  <w:tcW w:w="465" w:type="pct"/>
                  <w:vAlign w:val="center"/>
                </w:tcPr>
                <w:p>
                  <w:pPr>
                    <w:adjustRightInd w:val="0"/>
                    <w:snapToGrid w:val="0"/>
                    <w:jc w:val="center"/>
                    <w:rPr>
                      <w:rFonts w:ascii="Times New Roman" w:eastAsia="宋体" w:cs="Times New Roman" w:hAnsi="Times New Roman"/>
                      <w:color w:val="auto"/>
                      <w:highlight w:val="none"/>
                    </w:rPr>
                  </w:pPr>
                  <w:r>
                    <w:rPr>
                      <w:rFonts w:ascii="Times New Roman" w:eastAsia="宋体" w:cs="Times New Roman" w:hAnsi="Times New Roman"/>
                      <w:color w:val="auto"/>
                      <w:highlight w:val="none"/>
                    </w:rPr>
                    <w:t>符合</w:t>
                  </w:r>
                </w:p>
              </w:tc>
            </w:tr>
            <w:tr>
              <w:trPr>
                <w:trHeight w:val="318"/>
              </w:trPr>
              <w:tc>
                <w:tcPr>
                  <w:tcW w:w="513" w:type="pct"/>
                  <w:vMerge/>
                  <w:vAlign w:val="center"/>
                </w:tcPr>
                <w:p/>
              </w:tc>
              <w:tc>
                <w:tcPr>
                  <w:tcW w:w="2144" w:type="pct"/>
                  <w:vAlign w:val="center"/>
                </w:tcPr>
                <w:p>
                  <w:pPr>
                    <w:adjustRightInd w:val="0"/>
                    <w:snapToGrid w:val="0"/>
                    <w:jc w:val="both"/>
                    <w:rPr>
                      <w:rFonts w:ascii="Times New Roman" w:eastAsia="宋体" w:cs="Times New Roman" w:hAnsi="Times New Roman"/>
                      <w:color w:val="auto"/>
                      <w:highlight w:val="none"/>
                    </w:rPr>
                  </w:pPr>
                  <w:r>
                    <w:rPr>
                      <w:rFonts w:ascii="Times New Roman" w:eastAsia="宋体" w:cs="Times New Roman" w:hAnsi="Times New Roman"/>
                      <w:color w:val="auto"/>
                      <w:highlight w:val="none"/>
                    </w:rPr>
                    <w:t>废铅蓄电池集中转运点、再生铅企业的贮存设施应符合《废铅蓄电池处理污染控制技术规范》（HJ519）的有关要求。</w:t>
                  </w:r>
                </w:p>
              </w:tc>
              <w:tc>
                <w:tcPr>
                  <w:tcW w:w="1876" w:type="pct"/>
                  <w:vAlign w:val="center"/>
                </w:tcPr>
                <w:p>
                  <w:pPr>
                    <w:adjustRightInd w:val="0"/>
                    <w:snapToGrid w:val="0"/>
                    <w:jc w:val="both"/>
                    <w:rPr>
                      <w:rFonts w:ascii="Times New Roman" w:eastAsia="宋体" w:cs="Times New Roman" w:hAnsi="Times New Roman"/>
                      <w:color w:val="auto"/>
                      <w:highlight w:val="none"/>
                    </w:rPr>
                  </w:pPr>
                  <w:r>
                    <w:rPr>
                      <w:rFonts w:ascii="Times New Roman" w:eastAsia="宋体" w:cs="Times New Roman" w:hAnsi="Times New Roman"/>
                      <w:color w:val="auto"/>
                      <w:highlight w:val="none"/>
                    </w:rPr>
                    <w:t>本项目符合《废铅蓄电池处理污染控制技术规范》（HJ519）的有关要求</w:t>
                  </w:r>
                </w:p>
              </w:tc>
              <w:tc>
                <w:tcPr>
                  <w:tcW w:w="465" w:type="pct"/>
                  <w:vAlign w:val="center"/>
                </w:tcPr>
                <w:p>
                  <w:pPr>
                    <w:adjustRightInd w:val="0"/>
                    <w:snapToGrid w:val="0"/>
                    <w:jc w:val="center"/>
                    <w:rPr>
                      <w:rFonts w:ascii="Times New Roman" w:eastAsia="宋体" w:cs="Times New Roman" w:hAnsi="Times New Roman"/>
                      <w:color w:val="auto"/>
                      <w:highlight w:val="none"/>
                    </w:rPr>
                  </w:pPr>
                  <w:r>
                    <w:rPr>
                      <w:rFonts w:ascii="Times New Roman" w:eastAsia="宋体" w:cs="Times New Roman" w:hAnsi="Times New Roman"/>
                      <w:color w:val="auto"/>
                      <w:highlight w:val="none"/>
                    </w:rPr>
                    <w:t>符合</w:t>
                  </w:r>
                </w:p>
              </w:tc>
            </w:tr>
          </w:tbl>
          <w:p>
            <w:pPr>
              <w:pStyle w:val="69"/>
              <w:spacing w:line="360" w:lineRule="auto"/>
              <w:ind w:left="122" w:firstLine="473"/>
              <w:rPr>
                <w:rFonts w:ascii="Times New Roman" w:eastAsia="宋体" w:cs="Times New Roman" w:hAnsi="Times New Roman"/>
                <w:color w:val="auto"/>
                <w:kern w:val="2"/>
                <w:sz w:val="24"/>
                <w:szCs w:val="24"/>
                <w:lang w:val="en-US" w:eastAsia="zh-CN" w:bidi="ar-SA"/>
                <w:highlight w:val="none"/>
              </w:rPr>
            </w:pPr>
            <w:r>
              <w:rPr>
                <w:rFonts w:ascii="Times New Roman" w:eastAsia="宋体" w:cs="Times New Roman" w:hAnsi="Times New Roman" w:hint="eastAsia"/>
                <w:color w:val="auto"/>
                <w:kern w:val="2"/>
                <w:sz w:val="24"/>
                <w:szCs w:val="24"/>
                <w:lang w:val="en-US" w:eastAsia="zh-CN" w:bidi="ar-SA"/>
                <w:highlight w:val="none"/>
              </w:rPr>
              <w:t>（</w:t>
            </w:r>
            <w:r>
              <w:rPr>
                <w:rFonts w:ascii="Times New Roman" w:cs="Times New Roman" w:hAnsi="Times New Roman" w:hint="eastAsia"/>
                <w:color w:val="auto"/>
                <w:kern w:val="2"/>
                <w:sz w:val="24"/>
                <w:szCs w:val="24"/>
                <w:lang w:val="en-US" w:eastAsia="zh-CN" w:bidi="ar-SA"/>
                <w:highlight w:val="none"/>
              </w:rPr>
              <w:t>5</w:t>
            </w:r>
            <w:r>
              <w:rPr>
                <w:rFonts w:ascii="Times New Roman" w:eastAsia="宋体" w:cs="Times New Roman" w:hAnsi="Times New Roman" w:hint="eastAsia"/>
                <w:color w:val="auto"/>
                <w:kern w:val="2"/>
                <w:sz w:val="24"/>
                <w:szCs w:val="24"/>
                <w:lang w:val="en-US" w:eastAsia="zh-CN" w:bidi="ar-SA"/>
                <w:highlight w:val="none"/>
              </w:rPr>
              <w:t>）与《废铅酸蓄电池回收技术规范》（GB/T37281-2019）的符合性分析</w:t>
            </w:r>
          </w:p>
          <w:p>
            <w:pPr>
              <w:ind w:firstLineChars="200" w:firstLine="480"/>
              <w:jc w:val="center"/>
              <w:rPr>
                <w:rFonts w:ascii="Times New Roman" w:eastAsia="宋体" w:cs="Times New Roman" w:hAnsi="Times New Roman" w:hint="eastAsia"/>
                <w:b/>
                <w:bCs/>
                <w:color w:val="auto"/>
                <w:sz w:val="24"/>
                <w:highlight w:val="none"/>
              </w:rPr>
            </w:pPr>
            <w:r>
              <w:rPr>
                <w:rFonts w:ascii="Times New Roman" w:eastAsia="宋体" w:cs="Times New Roman" w:hAnsi="Times New Roman" w:hint="eastAsia"/>
                <w:b/>
                <w:bCs/>
                <w:color w:val="auto"/>
                <w:sz w:val="24"/>
                <w:highlight w:val="none"/>
              </w:rPr>
              <w:t>表1-1</w:t>
            </w:r>
            <w:r>
              <w:rPr>
                <w:rFonts w:cs="Times New Roman" w:hint="eastAsia"/>
                <w:b/>
                <w:bCs/>
                <w:color w:val="auto"/>
                <w:sz w:val="24"/>
                <w:lang w:val="en-US" w:eastAsia="zh-CN"/>
                <w:highlight w:val="none"/>
              </w:rPr>
              <w:t>8</w:t>
            </w:r>
            <w:r>
              <w:rPr>
                <w:rFonts w:ascii="Times New Roman" w:eastAsia="宋体" w:cs="Times New Roman" w:hAnsi="Times New Roman" w:hint="eastAsia"/>
                <w:b/>
                <w:bCs/>
                <w:color w:val="auto"/>
                <w:sz w:val="24"/>
                <w:highlight w:val="none"/>
              </w:rPr>
              <w:t xml:space="preserve">  与《废铅酸蓄电池回收技术规范》（GB/T37281-2019）</w:t>
            </w:r>
          </w:p>
          <w:p>
            <w:pPr>
              <w:ind w:firstLineChars="200" w:firstLine="480"/>
              <w:jc w:val="center"/>
              <w:rPr>
                <w:rFonts w:ascii="Times New Roman" w:eastAsia="宋体" w:cs="Times New Roman" w:hAnsi="Times New Roman" w:hint="eastAsia"/>
                <w:b/>
                <w:bCs/>
                <w:color w:val="auto"/>
                <w:sz w:val="24"/>
                <w:highlight w:val="none"/>
              </w:rPr>
            </w:pPr>
            <w:r>
              <w:rPr>
                <w:rFonts w:ascii="Times New Roman" w:eastAsia="宋体" w:cs="Times New Roman" w:hAnsi="Times New Roman" w:hint="eastAsia"/>
                <w:b/>
                <w:bCs/>
                <w:color w:val="auto"/>
                <w:sz w:val="24"/>
                <w:highlight w:val="none"/>
              </w:rPr>
              <w:t>符合性分析一览表</w:t>
            </w:r>
          </w:p>
          <w:tbl>
            <w:tblPr>
              <w:jc w:val="center"/>
              <w:tblW w:w="4998" w:type="pct"/>
              <w:tblBorders>
                <w:top w:val="single" w:sz="12" w:space="0" w:color="auto"/>
                <w:left w:val="none" w:sz="0" w:space="0" w:color="auto"/>
                <w:bottom w:val="single" w:sz="12" w:space="0" w:color="auto"/>
                <w:right w:val="none" w:sz="0" w:space="0" w:color="auto"/>
                <w:insideH w:val="single" w:sz="4" w:space="0" w:color="auto"/>
                <w:insideV w:val="single" w:sz="4" w:space="0" w:color="auto"/>
              </w:tblBorders>
              <w:tblCellMar>
                <w:top w:w="0" w:type="dxa"/>
                <w:left w:w="108" w:type="dxa"/>
                <w:bottom w:w="0" w:type="dxa"/>
                <w:right w:w="108" w:type="dxa"/>
              </w:tblCellMar>
              <w:tblLook w:val="0600" w:firstRow="0" w:lastRow="0" w:firstColumn="0" w:lastColumn="0" w:noHBand="1" w:noVBand="1"/>
            </w:tblPr>
            <w:tblGrid>
              <w:gridCol w:w="780"/>
              <w:gridCol w:w="3365"/>
              <w:gridCol w:w="2746"/>
              <w:gridCol w:w="707"/>
            </w:tblGrid>
            <w:tr>
              <w:trPr>
                <w:cantSplit/>
                <w:trHeight w:val="318"/>
                <w:tblHeader/>
              </w:trPr>
              <w:tc>
                <w:tcPr>
                  <w:tcW w:w="513" w:type="pct"/>
                  <w:vAlign w:val="center"/>
                </w:tcPr>
                <w:p>
                  <w:pPr>
                    <w:snapToGrid w:val="0"/>
                    <w:jc w:val="center"/>
                    <w:rPr>
                      <w:rFonts w:hint="eastAsia"/>
                      <w:b/>
                      <w:color w:val="auto"/>
                      <w:szCs w:val="21"/>
                    </w:rPr>
                  </w:pPr>
                  <w:r>
                    <w:rPr>
                      <w:rFonts w:hint="eastAsia"/>
                      <w:b/>
                      <w:color w:val="auto"/>
                      <w:szCs w:val="21"/>
                    </w:rPr>
                    <w:t>项目</w:t>
                  </w:r>
                </w:p>
              </w:tc>
              <w:tc>
                <w:tcPr>
                  <w:tcW w:w="2214" w:type="pct"/>
                  <w:vAlign w:val="center"/>
                </w:tcPr>
                <w:p>
                  <w:pPr>
                    <w:snapToGrid w:val="0"/>
                    <w:jc w:val="center"/>
                    <w:rPr>
                      <w:rFonts w:hint="eastAsia"/>
                      <w:b/>
                      <w:color w:val="auto"/>
                      <w:szCs w:val="21"/>
                    </w:rPr>
                  </w:pPr>
                  <w:r>
                    <w:rPr>
                      <w:rFonts w:hint="eastAsia"/>
                      <w:b/>
                      <w:color w:val="auto"/>
                      <w:szCs w:val="21"/>
                    </w:rPr>
                    <w:t>规范要求</w:t>
                  </w:r>
                </w:p>
              </w:tc>
              <w:tc>
                <w:tcPr>
                  <w:tcW w:w="1807" w:type="pct"/>
                  <w:vAlign w:val="center"/>
                </w:tcPr>
                <w:p>
                  <w:pPr>
                    <w:snapToGrid w:val="0"/>
                    <w:jc w:val="center"/>
                    <w:rPr>
                      <w:rFonts w:hint="eastAsia"/>
                      <w:b/>
                      <w:color w:val="auto"/>
                      <w:szCs w:val="21"/>
                    </w:rPr>
                  </w:pPr>
                  <w:r>
                    <w:rPr>
                      <w:rFonts w:hint="eastAsia"/>
                      <w:b/>
                      <w:color w:val="auto"/>
                      <w:szCs w:val="21"/>
                    </w:rPr>
                    <w:t>项目建设条件</w:t>
                  </w:r>
                </w:p>
              </w:tc>
              <w:tc>
                <w:tcPr>
                  <w:tcW w:w="465" w:type="pct"/>
                  <w:vAlign w:val="center"/>
                </w:tcPr>
                <w:p>
                  <w:pPr>
                    <w:snapToGrid w:val="0"/>
                    <w:jc w:val="center"/>
                    <w:rPr>
                      <w:rFonts w:hint="eastAsia"/>
                      <w:b/>
                      <w:color w:val="auto"/>
                      <w:szCs w:val="21"/>
                    </w:rPr>
                  </w:pPr>
                  <w:r>
                    <w:rPr>
                      <w:rFonts w:hint="eastAsia"/>
                      <w:b/>
                      <w:color w:val="auto"/>
                      <w:szCs w:val="21"/>
                    </w:rPr>
                    <w:t>相符性</w:t>
                  </w:r>
                </w:p>
              </w:tc>
            </w:tr>
            <w:tr>
              <w:trPr>
                <w:cantSplit/>
                <w:trHeight w:val="318"/>
              </w:trPr>
              <w:tc>
                <w:tcPr>
                  <w:tcW w:w="513" w:type="pct"/>
                  <w:vMerge w:val="restart"/>
                  <w:vAlign w:val="center"/>
                </w:tcPr>
                <w:p>
                  <w:pPr>
                    <w:adjustRightInd w:val="0"/>
                    <w:snapToGrid w:val="0"/>
                    <w:jc w:val="center"/>
                    <w:rPr>
                      <w:rFonts w:ascii="Times New Roman" w:eastAsia="宋体" w:cs="Times New Roman" w:hAnsi="Times New Roman" w:hint="eastAsia"/>
                      <w:color w:val="auto"/>
                      <w:highlight w:val="none"/>
                    </w:rPr>
                  </w:pPr>
                  <w:r>
                    <w:rPr>
                      <w:rFonts w:ascii="Times New Roman" w:eastAsia="宋体" w:cs="Times New Roman" w:hAnsi="Times New Roman"/>
                      <w:color w:val="auto"/>
                      <w:highlight w:val="none"/>
                    </w:rPr>
                    <w:t>一般要求</w:t>
                  </w:r>
                </w:p>
              </w:tc>
              <w:tc>
                <w:tcPr>
                  <w:tcW w:w="2214" w:type="pct"/>
                </w:tcPr>
                <w:p>
                  <w:pPr>
                    <w:adjustRightInd w:val="0"/>
                    <w:snapToGrid w:val="0"/>
                    <w:jc w:val="both"/>
                    <w:rPr>
                      <w:rFonts w:ascii="Times New Roman" w:eastAsia="宋体" w:cs="Times New Roman" w:hAnsi="Times New Roman" w:hint="eastAsia"/>
                      <w:color w:val="auto"/>
                      <w:highlight w:val="none"/>
                    </w:rPr>
                  </w:pPr>
                  <w:r>
                    <w:rPr>
                      <w:rFonts w:ascii="Times New Roman" w:eastAsia="宋体" w:cs="Times New Roman" w:hAnsi="Times New Roman"/>
                      <w:color w:val="auto"/>
                      <w:highlight w:val="none"/>
                    </w:rPr>
                    <w:t>4.1.4经销网点、暂存点、集中贮存场所等应落实废电池的最终去向，委托持有危险废物经营许可证的再生铅企业进行无害化利用，不得将废电池转移给无废铅酸蓄电池经营许可证的单位或个人。</w:t>
                  </w:r>
                </w:p>
              </w:tc>
              <w:tc>
                <w:tcPr>
                  <w:tcW w:w="1807" w:type="pct"/>
                </w:tcPr>
                <w:p>
                  <w:pPr>
                    <w:adjustRightInd w:val="0"/>
                    <w:snapToGrid w:val="0"/>
                    <w:jc w:val="both"/>
                    <w:rPr>
                      <w:rFonts w:ascii="Times New Roman" w:eastAsia="宋体" w:cs="Times New Roman" w:hAnsi="Times New Roman" w:hint="eastAsia"/>
                      <w:color w:val="auto"/>
                      <w:highlight w:val="none"/>
                    </w:rPr>
                  </w:pPr>
                  <w:r>
                    <w:rPr>
                      <w:rFonts w:ascii="Times New Roman" w:eastAsia="宋体" w:cs="Times New Roman" w:hAnsi="Times New Roman"/>
                      <w:color w:val="auto"/>
                      <w:highlight w:val="none"/>
                    </w:rPr>
                    <w:t>本项目仓库属于集中贮存场所，委托下游处置单位处置，处置单位为持有危险废物经营许可证的企业。</w:t>
                  </w:r>
                </w:p>
              </w:tc>
              <w:tc>
                <w:tcPr>
                  <w:tcW w:w="465" w:type="pct"/>
                  <w:vAlign w:val="center"/>
                </w:tcPr>
                <w:p>
                  <w:pPr>
                    <w:adjustRightInd w:val="0"/>
                    <w:snapToGrid w:val="0"/>
                    <w:jc w:val="both"/>
                    <w:rPr>
                      <w:rFonts w:ascii="Times New Roman" w:eastAsia="宋体" w:cs="Times New Roman" w:hAnsi="Times New Roman" w:hint="eastAsia"/>
                      <w:color w:val="auto"/>
                      <w:highlight w:val="none"/>
                    </w:rPr>
                  </w:pPr>
                  <w:r>
                    <w:rPr>
                      <w:rFonts w:ascii="Times New Roman" w:eastAsia="宋体" w:cs="Times New Roman" w:hAnsi="Times New Roman"/>
                      <w:color w:val="auto"/>
                      <w:highlight w:val="none"/>
                    </w:rPr>
                    <w:t>符合</w:t>
                  </w:r>
                </w:p>
              </w:tc>
            </w:tr>
            <w:tr>
              <w:trPr>
                <w:cantSplit/>
                <w:trHeight w:val="318"/>
              </w:trPr>
              <w:tc>
                <w:tcPr>
                  <w:tcW w:w="513" w:type="pct"/>
                  <w:vMerge/>
                  <w:vAlign w:val="center"/>
                </w:tcPr>
                <w:p/>
              </w:tc>
              <w:tc>
                <w:tcPr>
                  <w:tcW w:w="2214" w:type="pct"/>
                </w:tcPr>
                <w:p>
                  <w:pPr>
                    <w:adjustRightInd w:val="0"/>
                    <w:snapToGrid w:val="0"/>
                    <w:jc w:val="both"/>
                    <w:rPr>
                      <w:rFonts w:ascii="Times New Roman" w:eastAsia="宋体" w:cs="Times New Roman" w:hAnsi="Times New Roman"/>
                      <w:color w:val="auto"/>
                      <w:highlight w:val="none"/>
                    </w:rPr>
                  </w:pPr>
                  <w:r>
                    <w:rPr>
                      <w:rFonts w:ascii="Times New Roman" w:eastAsia="宋体" w:cs="Times New Roman" w:hAnsi="Times New Roman"/>
                      <w:color w:val="auto"/>
                      <w:highlight w:val="none"/>
                    </w:rPr>
                    <w:t>4.1.5收集、贮存、运输、转移废电池的装置应根据废电池的特性而设计，具有不易破损、变形、绝缘，能有效防止渗漏、扩散，并耐酸腐蚀特性；装有废电池的装置应按照GB18597的要求</w:t>
                  </w:r>
                  <w:r>
                    <w:rPr>
                      <w:rFonts w:cs="Times New Roman" w:hint="eastAsia"/>
                      <w:color w:val="auto"/>
                      <w:lang w:eastAsia="zh-CN"/>
                      <w:highlight w:val="none"/>
                    </w:rPr>
                    <w:t>粘贴</w:t>
                  </w:r>
                  <w:r>
                    <w:rPr>
                      <w:rFonts w:ascii="Times New Roman" w:eastAsia="宋体" w:cs="Times New Roman" w:hAnsi="Times New Roman"/>
                      <w:color w:val="auto"/>
                      <w:highlight w:val="none"/>
                    </w:rPr>
                    <w:t>危险废物标签，禁止在收集、贮存、运输、转移过程中擅自倾倒电解液，拆解、破碎、丢弃废电池。</w:t>
                  </w:r>
                </w:p>
              </w:tc>
              <w:tc>
                <w:tcPr>
                  <w:tcW w:w="1807" w:type="pct"/>
                </w:tcPr>
                <w:p>
                  <w:pPr>
                    <w:adjustRightInd w:val="0"/>
                    <w:snapToGrid w:val="0"/>
                    <w:jc w:val="both"/>
                    <w:rPr>
                      <w:rFonts w:ascii="Times New Roman" w:eastAsia="宋体" w:cs="Times New Roman" w:hAnsi="Times New Roman"/>
                      <w:color w:val="auto"/>
                      <w:highlight w:val="none"/>
                    </w:rPr>
                  </w:pPr>
                  <w:r>
                    <w:rPr>
                      <w:rFonts w:ascii="Times New Roman" w:eastAsia="宋体" w:cs="Times New Roman" w:hAnsi="Times New Roman"/>
                      <w:color w:val="auto"/>
                      <w:highlight w:val="none"/>
                    </w:rPr>
                    <w:t>本项目贮存废铅蓄电池，完整电池采用专业托盘盛装、码放整齐；对破损电池采用薄膜缠绕后用耐腐蚀PE桶盛装，加盖盖严，</w:t>
                  </w:r>
                  <w:r>
                    <w:rPr>
                      <w:rFonts w:cs="Times New Roman" w:hint="eastAsia"/>
                      <w:color w:val="auto"/>
                      <w:lang w:eastAsia="zh-CN"/>
                      <w:highlight w:val="none"/>
                    </w:rPr>
                    <w:t>粘贴</w:t>
                  </w:r>
                  <w:r>
                    <w:rPr>
                      <w:rFonts w:ascii="Times New Roman" w:eastAsia="宋体" w:cs="Times New Roman" w:hAnsi="Times New Roman"/>
                      <w:color w:val="auto"/>
                      <w:highlight w:val="none"/>
                    </w:rPr>
                    <w:t>危险废物标签。托盘、PE桶具有不易破损、变形，能有效防止渗漏、扩散，并耐酸腐蚀的特性。</w:t>
                  </w:r>
                </w:p>
              </w:tc>
              <w:tc>
                <w:tcPr>
                  <w:tcW w:w="465" w:type="pct"/>
                  <w:vAlign w:val="center"/>
                </w:tcPr>
                <w:p>
                  <w:pPr>
                    <w:adjustRightInd w:val="0"/>
                    <w:snapToGrid w:val="0"/>
                    <w:jc w:val="both"/>
                    <w:rPr>
                      <w:rFonts w:ascii="Times New Roman" w:eastAsia="宋体" w:cs="Times New Roman" w:hAnsi="Times New Roman"/>
                      <w:color w:val="auto"/>
                      <w:highlight w:val="none"/>
                    </w:rPr>
                  </w:pPr>
                  <w:r>
                    <w:rPr>
                      <w:rFonts w:ascii="Times New Roman" w:eastAsia="宋体" w:cs="Times New Roman" w:hAnsi="Times New Roman"/>
                      <w:color w:val="auto"/>
                      <w:highlight w:val="none"/>
                    </w:rPr>
                    <w:t>符合</w:t>
                  </w:r>
                </w:p>
              </w:tc>
            </w:tr>
            <w:tr>
              <w:trPr>
                <w:cantSplit/>
                <w:trHeight w:val="318"/>
              </w:trPr>
              <w:tc>
                <w:tcPr>
                  <w:tcW w:w="513" w:type="pct"/>
                  <w:vMerge/>
                  <w:vAlign w:val="center"/>
                </w:tcPr>
                <w:p/>
              </w:tc>
              <w:tc>
                <w:tcPr>
                  <w:tcW w:w="2214" w:type="pct"/>
                </w:tcPr>
                <w:p>
                  <w:pPr>
                    <w:adjustRightInd w:val="0"/>
                    <w:snapToGrid w:val="0"/>
                    <w:jc w:val="both"/>
                    <w:rPr>
                      <w:rFonts w:ascii="Times New Roman" w:eastAsia="宋体" w:cs="Times New Roman" w:hAnsi="Times New Roman"/>
                      <w:color w:val="auto"/>
                      <w:highlight w:val="none"/>
                    </w:rPr>
                  </w:pPr>
                  <w:r>
                    <w:rPr>
                      <w:rFonts w:ascii="Times New Roman" w:eastAsia="宋体" w:cs="Times New Roman" w:hAnsi="Times New Roman"/>
                      <w:color w:val="auto"/>
                      <w:highlight w:val="none"/>
                    </w:rPr>
                    <w:t>4.1.6按照环境保护主管部门的规定建立危险废物收集、贮存、运输、转移等情况的数据信息管理系统（或记录簿）和视频监控系统，如实记录收集、贮存、运输、转移危险废物的类别、重量或数量、来源、去向等信息，保存相关视频监控录像，并至少按月向县级以上地方环境保护主管部门报送有关信息。</w:t>
                  </w:r>
                </w:p>
              </w:tc>
              <w:tc>
                <w:tcPr>
                  <w:tcW w:w="1807" w:type="pct"/>
                </w:tcPr>
                <w:p>
                  <w:pPr>
                    <w:adjustRightInd w:val="0"/>
                    <w:snapToGrid w:val="0"/>
                    <w:jc w:val="both"/>
                    <w:rPr>
                      <w:rFonts w:ascii="Times New Roman" w:eastAsia="宋体" w:cs="Times New Roman" w:hAnsi="Times New Roman"/>
                      <w:color w:val="auto"/>
                      <w:highlight w:val="none"/>
                    </w:rPr>
                  </w:pPr>
                  <w:r>
                    <w:rPr>
                      <w:rFonts w:ascii="Times New Roman" w:eastAsia="宋体" w:cs="Times New Roman" w:hAnsi="Times New Roman"/>
                      <w:color w:val="auto"/>
                      <w:highlight w:val="none"/>
                    </w:rPr>
                    <w:t>本项目设置信息管理系统和视频监控系统，如实记录贮存、转移危险废物的类别、重量或数量、来源、去向等信息，保存相关视频监控录像，并至少按月向县级以上地方环境保护主管部门报送有关信息。</w:t>
                  </w:r>
                </w:p>
              </w:tc>
              <w:tc>
                <w:tcPr>
                  <w:tcW w:w="465" w:type="pct"/>
                  <w:vAlign w:val="center"/>
                </w:tcPr>
                <w:p>
                  <w:pPr>
                    <w:adjustRightInd w:val="0"/>
                    <w:snapToGrid w:val="0"/>
                    <w:jc w:val="both"/>
                    <w:rPr>
                      <w:rFonts w:ascii="Times New Roman" w:eastAsia="宋体" w:cs="Times New Roman" w:hAnsi="Times New Roman"/>
                      <w:color w:val="auto"/>
                      <w:highlight w:val="none"/>
                    </w:rPr>
                  </w:pPr>
                  <w:r>
                    <w:rPr>
                      <w:rFonts w:ascii="Times New Roman" w:eastAsia="宋体" w:cs="Times New Roman" w:hAnsi="Times New Roman"/>
                      <w:color w:val="auto"/>
                      <w:highlight w:val="none"/>
                    </w:rPr>
                    <w:t>符合</w:t>
                  </w:r>
                </w:p>
              </w:tc>
            </w:tr>
            <w:tr>
              <w:trPr>
                <w:trHeight w:val="318"/>
              </w:trPr>
              <w:tc>
                <w:tcPr>
                  <w:tcW w:w="513" w:type="pct"/>
                  <w:vMerge w:val="restart"/>
                  <w:vAlign w:val="center"/>
                </w:tcPr>
                <w:p>
                  <w:pPr>
                    <w:adjustRightInd w:val="0"/>
                    <w:snapToGrid w:val="0"/>
                    <w:jc w:val="center"/>
                    <w:rPr>
                      <w:rFonts w:ascii="Times New Roman" w:eastAsia="宋体" w:cs="Times New Roman" w:hAnsi="Times New Roman"/>
                      <w:color w:val="auto"/>
                      <w:highlight w:val="none"/>
                    </w:rPr>
                  </w:pPr>
                  <w:r>
                    <w:rPr>
                      <w:rFonts w:ascii="Times New Roman" w:eastAsia="宋体" w:cs="Times New Roman" w:hAnsi="Times New Roman"/>
                      <w:color w:val="auto"/>
                      <w:highlight w:val="none"/>
                    </w:rPr>
                    <w:t>集中贮存</w:t>
                  </w:r>
                </w:p>
              </w:tc>
              <w:tc>
                <w:tcPr>
                  <w:tcW w:w="2214" w:type="pct"/>
                </w:tcPr>
                <w:p>
                  <w:pPr>
                    <w:adjustRightInd w:val="0"/>
                    <w:snapToGrid w:val="0"/>
                    <w:jc w:val="both"/>
                    <w:rPr>
                      <w:rFonts w:ascii="Times New Roman" w:eastAsia="宋体" w:cs="Times New Roman" w:hAnsi="Times New Roman"/>
                      <w:color w:val="auto"/>
                      <w:highlight w:val="none"/>
                    </w:rPr>
                  </w:pPr>
                  <w:r>
                    <w:rPr>
                      <w:rFonts w:ascii="Times New Roman" w:eastAsia="宋体" w:cs="Times New Roman" w:hAnsi="Times New Roman"/>
                      <w:color w:val="auto"/>
                      <w:highlight w:val="none"/>
                    </w:rPr>
                    <w:t>4.5.1贮存场所</w:t>
                  </w:r>
                </w:p>
                <w:p>
                  <w:pPr>
                    <w:adjustRightInd w:val="0"/>
                    <w:snapToGrid w:val="0"/>
                    <w:jc w:val="both"/>
                    <w:rPr>
                      <w:rFonts w:ascii="Times New Roman" w:eastAsia="宋体" w:cs="Times New Roman" w:hAnsi="Times New Roman"/>
                      <w:color w:val="auto"/>
                      <w:highlight w:val="none"/>
                    </w:rPr>
                  </w:pPr>
                  <w:r>
                    <w:rPr>
                      <w:rFonts w:ascii="Times New Roman" w:eastAsia="宋体" w:cs="Times New Roman" w:hAnsi="Times New Roman"/>
                      <w:color w:val="auto"/>
                      <w:highlight w:val="none"/>
                    </w:rPr>
                    <w:t>4.5.1.1贮存场所应按照GB18597的有关要求建设和管理。4.5.1.2贮存场所应选择在城市工业地块内，并符合当地环境保护和区域发展规划；新建的集中贮存场所建设项目应通过环境影响评价。4.5.1.3贮存规模应与贮存场所的容量相匹配，贮存场所面积应不小于500m</w:t>
                  </w:r>
                  <w:r>
                    <w:rPr>
                      <w:rFonts w:ascii="Times New Roman" w:eastAsia="宋体" w:cs="Times New Roman" w:hAnsi="Times New Roman"/>
                      <w:color w:val="auto"/>
                      <w:vertAlign w:val="superscript"/>
                      <w:highlight w:val="none"/>
                    </w:rPr>
                    <w:t>2</w:t>
                  </w:r>
                  <w:r>
                    <w:rPr>
                      <w:rFonts w:ascii="Times New Roman" w:eastAsia="宋体" w:cs="Times New Roman" w:hAnsi="Times New Roman"/>
                      <w:color w:val="auto"/>
                      <w:highlight w:val="none"/>
                    </w:rPr>
                    <w:t>，废电池贮存时间不应超过1年。4.5.1.4应按GB155622的规定设立警示标志，禁止非专业工作人员进入。4.5.1.5贮存场所应划分装卸区、暂存区、完整废电池存放区和破损废电池存放区，并做好标识。4.5.1.6贮存场所应有废水收集系统，以便对搬运过程废电池溢出的液体进行收集。</w:t>
                  </w:r>
                </w:p>
              </w:tc>
              <w:tc>
                <w:tcPr>
                  <w:tcW w:w="1807" w:type="pct"/>
                </w:tcPr>
                <w:p>
                  <w:pPr>
                    <w:adjustRightInd w:val="0"/>
                    <w:snapToGrid w:val="0"/>
                    <w:jc w:val="both"/>
                    <w:rPr>
                      <w:rFonts w:ascii="Times New Roman" w:eastAsia="宋体" w:cs="Times New Roman" w:hAnsi="Times New Roman"/>
                      <w:color w:val="auto"/>
                      <w:highlight w:val="none"/>
                    </w:rPr>
                  </w:pPr>
                  <w:r>
                    <w:rPr>
                      <w:rFonts w:ascii="Times New Roman" w:eastAsia="宋体" w:cs="Times New Roman" w:hAnsi="Times New Roman"/>
                      <w:color w:val="auto"/>
                      <w:highlight w:val="none"/>
                    </w:rPr>
                    <w:t>本项目仓库按照《危险废物贮存污染控制标准》（GB18597-2023</w:t>
                  </w:r>
                  <w:r>
                    <w:rPr>
                      <w:rFonts w:cs="Times New Roman" w:hint="eastAsia"/>
                      <w:color w:val="auto"/>
                      <w:lang w:eastAsia="zh-CN"/>
                      <w:highlight w:val="none"/>
                    </w:rPr>
                    <w:t>）</w:t>
                  </w:r>
                  <w:r>
                    <w:rPr>
                      <w:rFonts w:ascii="Times New Roman" w:eastAsia="宋体" w:cs="Times New Roman" w:hAnsi="Times New Roman"/>
                      <w:color w:val="auto"/>
                      <w:highlight w:val="none"/>
                    </w:rPr>
                    <w:t>有关要求建设和管理；符合相关规划，正在进行环境影响评价；仓库面积为</w:t>
                  </w:r>
                  <w:r>
                    <w:rPr>
                      <w:rFonts w:ascii="Times New Roman" w:eastAsia="宋体" w:cs="Times New Roman" w:hAnsi="Times New Roman" w:hint="eastAsia"/>
                      <w:color w:val="auto"/>
                      <w:lang w:val="en-US" w:eastAsia="zh-CN"/>
                      <w:highlight w:val="none"/>
                    </w:rPr>
                    <w:t>1</w:t>
                  </w:r>
                  <w:r>
                    <w:rPr>
                      <w:rFonts w:ascii="Times New Roman" w:eastAsia="宋体" w:cs="Times New Roman" w:hAnsi="Times New Roman"/>
                      <w:color w:val="auto"/>
                      <w:highlight w:val="none"/>
                    </w:rPr>
                    <w:t>00</w:t>
                  </w:r>
                  <w:r>
                    <w:rPr>
                      <w:rFonts w:ascii="Times New Roman" w:eastAsia="宋体" w:cs="Times New Roman" w:hAnsi="Times New Roman" w:hint="eastAsia"/>
                      <w:color w:val="auto"/>
                      <w:lang w:val="en-US" w:eastAsia="zh-CN"/>
                      <w:highlight w:val="none"/>
                    </w:rPr>
                    <w:t>0</w:t>
                  </w:r>
                  <w:r>
                    <w:rPr>
                      <w:rFonts w:ascii="Times New Roman" w:eastAsia="宋体" w:cs="Times New Roman" w:hAnsi="Times New Roman"/>
                      <w:color w:val="auto"/>
                      <w:highlight w:val="none"/>
                    </w:rPr>
                    <w:t>m</w:t>
                  </w:r>
                  <w:r>
                    <w:rPr>
                      <w:rFonts w:ascii="Times New Roman" w:eastAsia="宋体" w:cs="Times New Roman" w:hAnsi="Times New Roman"/>
                      <w:color w:val="auto"/>
                      <w:vertAlign w:val="superscript"/>
                      <w:highlight w:val="none"/>
                    </w:rPr>
                    <w:t>2</w:t>
                  </w:r>
                  <w:r>
                    <w:rPr>
                      <w:rFonts w:ascii="Times New Roman" w:eastAsia="宋体" w:cs="Times New Roman" w:hAnsi="Times New Roman"/>
                      <w:color w:val="auto"/>
                      <w:highlight w:val="none"/>
                    </w:rPr>
                    <w:t>，最长贮存时间</w:t>
                  </w:r>
                  <w:r>
                    <w:rPr>
                      <w:rFonts w:ascii="Times New Roman" w:eastAsia="宋体" w:cs="Times New Roman" w:hAnsi="Times New Roman" w:hint="eastAsia"/>
                      <w:color w:val="auto"/>
                      <w:lang w:val="en-US" w:eastAsia="zh-CN"/>
                      <w:highlight w:val="none"/>
                    </w:rPr>
                    <w:t>5</w:t>
                  </w:r>
                  <w:r>
                    <w:rPr>
                      <w:rFonts w:ascii="Times New Roman" w:eastAsia="宋体" w:cs="Times New Roman" w:hAnsi="Times New Roman"/>
                      <w:color w:val="auto"/>
                      <w:highlight w:val="none"/>
                    </w:rPr>
                    <w:t>天；按规定设置警示标志，禁止非专业工作人员进入；仓库分为</w:t>
                  </w:r>
                  <w:r>
                    <w:rPr>
                      <w:rFonts w:cs="Times New Roman" w:hint="eastAsia"/>
                      <w:color w:val="auto"/>
                      <w:lang w:eastAsia="zh-CN"/>
                      <w:highlight w:val="none"/>
                    </w:rPr>
                    <w:t>分拣</w:t>
                  </w:r>
                  <w:r>
                    <w:rPr>
                      <w:rFonts w:ascii="Times New Roman" w:eastAsia="宋体" w:cs="Times New Roman" w:hAnsi="Times New Roman"/>
                      <w:color w:val="auto"/>
                      <w:highlight w:val="none"/>
                    </w:rPr>
                    <w:t>区、完整电池存放区和破损电池间，标识清楚；库房设置导流沟、</w:t>
                  </w:r>
                  <w:r>
                    <w:rPr>
                      <w:rFonts w:ascii="Times New Roman" w:eastAsia="宋体" w:cs="Times New Roman" w:hAnsi="Times New Roman" w:hint="eastAsia"/>
                      <w:color w:val="auto"/>
                      <w:lang w:eastAsia="zh-CN"/>
                      <w:highlight w:val="none"/>
                    </w:rPr>
                    <w:t>废液收集池</w:t>
                  </w:r>
                  <w:r>
                    <w:rPr>
                      <w:rFonts w:ascii="Times New Roman" w:eastAsia="宋体" w:cs="Times New Roman" w:hAnsi="Times New Roman"/>
                      <w:color w:val="auto"/>
                      <w:highlight w:val="none"/>
                    </w:rPr>
                    <w:t>，对搬运过程废电池溢出的废电解液进行收集。</w:t>
                  </w:r>
                </w:p>
              </w:tc>
              <w:tc>
                <w:tcPr>
                  <w:tcW w:w="465" w:type="pct"/>
                  <w:vAlign w:val="center"/>
                </w:tcPr>
                <w:p>
                  <w:pPr>
                    <w:adjustRightInd w:val="0"/>
                    <w:snapToGrid w:val="0"/>
                    <w:jc w:val="both"/>
                    <w:rPr>
                      <w:rFonts w:ascii="Times New Roman" w:eastAsia="宋体" w:cs="Times New Roman" w:hAnsi="Times New Roman"/>
                      <w:color w:val="auto"/>
                      <w:highlight w:val="none"/>
                    </w:rPr>
                  </w:pPr>
                  <w:r>
                    <w:rPr>
                      <w:rFonts w:ascii="Times New Roman" w:eastAsia="宋体" w:cs="Times New Roman" w:hAnsi="Times New Roman"/>
                      <w:color w:val="auto"/>
                      <w:highlight w:val="none"/>
                    </w:rPr>
                    <w:t>符合</w:t>
                  </w:r>
                </w:p>
              </w:tc>
            </w:tr>
            <w:tr>
              <w:trPr>
                <w:cantSplit/>
                <w:trHeight w:val="318"/>
              </w:trPr>
              <w:tc>
                <w:tcPr>
                  <w:tcW w:w="513" w:type="pct"/>
                  <w:vMerge/>
                  <w:vAlign w:val="center"/>
                </w:tcPr>
                <w:p/>
              </w:tc>
              <w:tc>
                <w:tcPr>
                  <w:tcW w:w="2214" w:type="pct"/>
                </w:tcPr>
                <w:p>
                  <w:pPr>
                    <w:adjustRightInd w:val="0"/>
                    <w:snapToGrid w:val="0"/>
                    <w:jc w:val="both"/>
                    <w:rPr>
                      <w:rFonts w:ascii="Times New Roman" w:eastAsia="宋体" w:cs="Times New Roman" w:hAnsi="Times New Roman"/>
                      <w:color w:val="auto"/>
                      <w:highlight w:val="none"/>
                    </w:rPr>
                  </w:pPr>
                  <w:r>
                    <w:rPr>
                      <w:rFonts w:ascii="Times New Roman" w:eastAsia="宋体" w:cs="Times New Roman" w:hAnsi="Times New Roman"/>
                      <w:color w:val="auto"/>
                      <w:highlight w:val="none"/>
                    </w:rPr>
                    <w:t>4.5.2贮存要求</w:t>
                  </w:r>
                </w:p>
                <w:p>
                  <w:pPr>
                    <w:adjustRightInd w:val="0"/>
                    <w:snapToGrid w:val="0"/>
                    <w:jc w:val="both"/>
                    <w:rPr>
                      <w:rFonts w:ascii="Times New Roman" w:eastAsia="宋体" w:cs="Times New Roman" w:hAnsi="Times New Roman"/>
                      <w:color w:val="auto"/>
                      <w:highlight w:val="none"/>
                    </w:rPr>
                  </w:pPr>
                  <w:r>
                    <w:rPr>
                      <w:rFonts w:ascii="Times New Roman" w:eastAsia="宋体" w:cs="Times New Roman" w:hAnsi="Times New Roman"/>
                      <w:color w:val="auto"/>
                      <w:highlight w:val="none"/>
                    </w:rPr>
                    <w:t>4.5.2.1贮存单位应按照最新版《危险废物经营许可证管理办法》的规定取得《国家危验废物名录》代码为HW49（900-044-49）的废铅酸蓄电池类危险废物经营许可证。4.5.2.2应有符合国家环境保护标准或者技术规范要求的包装工具，暂存和集中贮存设施、设备。4.5.2.3应制定废电池集中贮存管理办法、操作规程、污染防治措施、事故应危救援措施等相关制度和办法。4.5.2.4作业人员应配备4.3.2.1的个人防护装备。4.5.2.5运输废电池应先进入装卸区，采用叉车进行装卸，然后由叉车运至地磅计量称重，称重后经叉车运入暂存区，然后对废电池状态进行检查，并做好记录。4.5.2.6对检查完毕的废电池进行分类存放、码放整齐。4.5.2.7收集的溢出液体应运至酸性电解液的处理站</w:t>
                  </w:r>
                  <w:r>
                    <w:rPr>
                      <w:rFonts w:ascii="Times New Roman" w:eastAsia="宋体" w:cs="Times New Roman" w:hAnsi="Times New Roman" w:hint="eastAsia"/>
                      <w:color w:val="auto"/>
                      <w:lang w:eastAsia="zh-CN"/>
                      <w:highlight w:val="none"/>
                    </w:rPr>
                    <w:t>，</w:t>
                  </w:r>
                  <w:r>
                    <w:rPr>
                      <w:rFonts w:ascii="Times New Roman" w:eastAsia="宋体" w:cs="Times New Roman" w:hAnsi="Times New Roman"/>
                      <w:color w:val="auto"/>
                      <w:highlight w:val="none"/>
                    </w:rPr>
                    <w:t>不得自行处置。4.5.2.8禁止擅自倾倒电解液，拆解、破碎，丢弃废电池。4.5.2.9贮存标志、贮存记录、安全防护和污染控制等内容参照GB/T 26493有关规定执行，贮存记录至少保存3年。4.5.2.10贮存场所应配有准确称量设施，并定期校准。4.5.2.11贮存场所的进出口处、地磅及磅秤安置处等应设置必要的监控设备，录像资料应至少保存3个月。</w:t>
                  </w:r>
                </w:p>
              </w:tc>
              <w:tc>
                <w:tcPr>
                  <w:tcW w:w="1807" w:type="pct"/>
                </w:tcPr>
                <w:p>
                  <w:pPr>
                    <w:adjustRightInd w:val="0"/>
                    <w:snapToGrid w:val="0"/>
                    <w:jc w:val="both"/>
                    <w:rPr>
                      <w:rFonts w:ascii="Times New Roman" w:eastAsia="宋体" w:cs="Times New Roman" w:hAnsi="Times New Roman"/>
                      <w:color w:val="auto"/>
                      <w:highlight w:val="none"/>
                    </w:rPr>
                  </w:pPr>
                  <w:r>
                    <w:rPr>
                      <w:rFonts w:ascii="Times New Roman" w:eastAsia="宋体" w:cs="Times New Roman" w:hAnsi="Times New Roman"/>
                      <w:color w:val="auto"/>
                      <w:highlight w:val="none"/>
                    </w:rPr>
                    <w:t>本项目建设单位按照规定申请危险废物经营许可证；本项目对完整电池采用专用托盘盛装、对破碎电池采用耐腐蚀PE桶盛装；本项目建立环境管理制度，严格执行；本项目工作人员防护用具；本项目对检查完毕的废电池分为完整电池和破损电池，分类存放、码放整齐。本项目收集的溢出液体交下游专业单位处置。本项目禁止擅自倾倒电解液，拆解、破碎，丢弃废电池。本项目贮存标志、贮存记录、安全防护和污染控制等内容按《电池废料贮运规范》（GB/T26493-2011）规定执行，贮存记录保存3年以上。本项目配有智能台秤，定期校准。本项目设置监控设备，录像资料应至少保存3个月。</w:t>
                  </w:r>
                </w:p>
              </w:tc>
              <w:tc>
                <w:tcPr>
                  <w:tcW w:w="465" w:type="pct"/>
                  <w:vAlign w:val="center"/>
                </w:tcPr>
                <w:p>
                  <w:pPr>
                    <w:adjustRightInd w:val="0"/>
                    <w:snapToGrid w:val="0"/>
                    <w:jc w:val="both"/>
                    <w:rPr>
                      <w:rFonts w:ascii="Times New Roman" w:eastAsia="宋体" w:cs="Times New Roman" w:hAnsi="Times New Roman"/>
                      <w:color w:val="auto"/>
                      <w:highlight w:val="none"/>
                    </w:rPr>
                  </w:pPr>
                  <w:r>
                    <w:rPr>
                      <w:rFonts w:ascii="Times New Roman" w:eastAsia="宋体" w:cs="Times New Roman" w:hAnsi="Times New Roman"/>
                      <w:color w:val="auto"/>
                      <w:highlight w:val="none"/>
                    </w:rPr>
                    <w:t>符合</w:t>
                  </w:r>
                </w:p>
              </w:tc>
            </w:tr>
          </w:tbl>
          <w:p>
            <w:pPr>
              <w:pStyle w:val="69"/>
              <w:spacing w:line="360" w:lineRule="auto"/>
              <w:ind w:left="122" w:firstLine="473"/>
              <w:rPr>
                <w:rFonts w:ascii="Times New Roman" w:eastAsia="宋体" w:cs="Times New Roman" w:hAnsi="Times New Roman"/>
                <w:color w:val="auto"/>
                <w:kern w:val="2"/>
                <w:sz w:val="24"/>
                <w:szCs w:val="24"/>
                <w:lang w:val="en-US" w:eastAsia="zh-CN" w:bidi="ar-SA"/>
                <w:highlight w:val="none"/>
              </w:rPr>
            </w:pPr>
            <w:r>
              <w:rPr>
                <w:rFonts w:ascii="Times New Roman" w:eastAsia="宋体" w:cs="Times New Roman" w:hAnsi="Times New Roman" w:hint="eastAsia"/>
                <w:color w:val="auto"/>
                <w:kern w:val="2"/>
                <w:sz w:val="24"/>
                <w:szCs w:val="24"/>
                <w:lang w:val="en-US" w:eastAsia="zh-CN" w:bidi="ar-SA"/>
                <w:highlight w:val="none"/>
              </w:rPr>
              <w:t>（</w:t>
            </w:r>
            <w:r>
              <w:rPr>
                <w:rFonts w:ascii="Times New Roman" w:cs="Times New Roman" w:hAnsi="Times New Roman" w:hint="eastAsia"/>
                <w:color w:val="auto"/>
                <w:kern w:val="2"/>
                <w:sz w:val="24"/>
                <w:szCs w:val="24"/>
                <w:lang w:val="en-US" w:eastAsia="zh-CN" w:bidi="ar-SA"/>
                <w:highlight w:val="none"/>
              </w:rPr>
              <w:t>6</w:t>
            </w:r>
            <w:r>
              <w:rPr>
                <w:rFonts w:ascii="Times New Roman" w:eastAsia="宋体" w:cs="Times New Roman" w:hAnsi="Times New Roman" w:hint="eastAsia"/>
                <w:color w:val="auto"/>
                <w:kern w:val="2"/>
                <w:sz w:val="24"/>
                <w:szCs w:val="24"/>
                <w:lang w:val="en-US" w:eastAsia="zh-CN" w:bidi="ar-SA"/>
                <w:highlight w:val="none"/>
              </w:rPr>
              <w:t>）与《关于进一步加强全省废铅蓄电池环境管理工作的指导意见》（冀环固体〔2021〕368号）的符合性分析</w:t>
            </w:r>
          </w:p>
          <w:p>
            <w:pPr>
              <w:ind w:firstLineChars="200" w:firstLine="480"/>
              <w:jc w:val="center"/>
              <w:rPr>
                <w:rFonts w:ascii="Times New Roman" w:eastAsia="宋体" w:cs="Times New Roman" w:hAnsi="Times New Roman" w:hint="eastAsia"/>
                <w:b/>
                <w:bCs/>
                <w:color w:val="auto"/>
                <w:sz w:val="24"/>
                <w:highlight w:val="none"/>
              </w:rPr>
            </w:pPr>
            <w:r>
              <w:rPr>
                <w:rFonts w:ascii="Times New Roman" w:eastAsia="宋体" w:cs="Times New Roman" w:hAnsi="Times New Roman" w:hint="eastAsia"/>
                <w:b/>
                <w:bCs/>
                <w:color w:val="auto"/>
                <w:sz w:val="24"/>
                <w:highlight w:val="none"/>
              </w:rPr>
              <w:t>表1-1</w:t>
            </w:r>
            <w:r>
              <w:rPr>
                <w:rFonts w:cs="Times New Roman" w:hint="eastAsia"/>
                <w:b/>
                <w:bCs/>
                <w:color w:val="auto"/>
                <w:sz w:val="24"/>
                <w:lang w:val="en-US" w:eastAsia="zh-CN"/>
                <w:highlight w:val="none"/>
              </w:rPr>
              <w:t>9</w:t>
            </w:r>
            <w:r>
              <w:rPr>
                <w:rFonts w:ascii="Times New Roman" w:eastAsia="宋体" w:cs="Times New Roman" w:hAnsi="Times New Roman" w:hint="eastAsia"/>
                <w:b/>
                <w:bCs/>
                <w:color w:val="auto"/>
                <w:sz w:val="24"/>
                <w:highlight w:val="none"/>
              </w:rPr>
              <w:t xml:space="preserve">  与《关于进一步加强全省废铅蓄电池环境管理工作的指导意见》（冀环固体〔2021〕368号）符合性分析一览表</w:t>
            </w:r>
          </w:p>
          <w:tbl>
            <w:tblPr>
              <w:jc w:val="center"/>
              <w:tblW w:w="4998" w:type="pct"/>
              <w:tblBorders>
                <w:top w:val="single" w:sz="12" w:space="0" w:color="auto"/>
                <w:left w:val="none" w:sz="0" w:space="0" w:color="auto"/>
                <w:bottom w:val="single" w:sz="12" w:space="0" w:color="auto"/>
                <w:right w:val="none" w:sz="0" w:space="0" w:color="auto"/>
                <w:insideH w:val="single" w:sz="4" w:space="0" w:color="auto"/>
                <w:insideV w:val="single" w:sz="4" w:space="0" w:color="auto"/>
              </w:tblBorders>
              <w:tblCellMar>
                <w:top w:w="0" w:type="dxa"/>
                <w:left w:w="108" w:type="dxa"/>
                <w:bottom w:w="0" w:type="dxa"/>
                <w:right w:w="108" w:type="dxa"/>
              </w:tblCellMar>
              <w:tblLook w:val="0600" w:firstRow="0" w:lastRow="0" w:firstColumn="0" w:lastColumn="0" w:noHBand="1" w:noVBand="1"/>
            </w:tblPr>
            <w:tblGrid>
              <w:gridCol w:w="780"/>
              <w:gridCol w:w="3365"/>
              <w:gridCol w:w="2746"/>
              <w:gridCol w:w="707"/>
            </w:tblGrid>
            <w:tr>
              <w:trPr>
                <w:cantSplit/>
                <w:trHeight w:val="318"/>
                <w:tblHeader/>
              </w:trPr>
              <w:tc>
                <w:tcPr>
                  <w:tcW w:w="513" w:type="pct"/>
                  <w:vAlign w:val="center"/>
                </w:tcPr>
                <w:p>
                  <w:pPr>
                    <w:snapToGrid w:val="0"/>
                    <w:jc w:val="center"/>
                    <w:rPr>
                      <w:rFonts w:hint="eastAsia"/>
                      <w:b/>
                      <w:color w:val="auto"/>
                      <w:szCs w:val="21"/>
                    </w:rPr>
                  </w:pPr>
                  <w:r>
                    <w:rPr>
                      <w:rFonts w:hint="eastAsia"/>
                      <w:b/>
                      <w:color w:val="auto"/>
                      <w:szCs w:val="21"/>
                    </w:rPr>
                    <w:t>项目</w:t>
                  </w:r>
                </w:p>
              </w:tc>
              <w:tc>
                <w:tcPr>
                  <w:tcW w:w="2214" w:type="pct"/>
                  <w:vAlign w:val="center"/>
                </w:tcPr>
                <w:p>
                  <w:pPr>
                    <w:snapToGrid w:val="0"/>
                    <w:jc w:val="center"/>
                    <w:rPr>
                      <w:rFonts w:hint="eastAsia"/>
                      <w:b/>
                      <w:color w:val="auto"/>
                      <w:szCs w:val="21"/>
                    </w:rPr>
                  </w:pPr>
                  <w:r>
                    <w:rPr>
                      <w:rFonts w:hint="eastAsia"/>
                      <w:b/>
                      <w:color w:val="auto"/>
                      <w:szCs w:val="21"/>
                    </w:rPr>
                    <w:t>规范要求</w:t>
                  </w:r>
                </w:p>
              </w:tc>
              <w:tc>
                <w:tcPr>
                  <w:tcW w:w="1807" w:type="pct"/>
                  <w:vAlign w:val="center"/>
                </w:tcPr>
                <w:p>
                  <w:pPr>
                    <w:snapToGrid w:val="0"/>
                    <w:jc w:val="center"/>
                    <w:rPr>
                      <w:rFonts w:hint="eastAsia"/>
                      <w:b/>
                      <w:color w:val="auto"/>
                      <w:szCs w:val="21"/>
                    </w:rPr>
                  </w:pPr>
                  <w:r>
                    <w:rPr>
                      <w:rFonts w:hint="eastAsia"/>
                      <w:b/>
                      <w:color w:val="auto"/>
                      <w:szCs w:val="21"/>
                    </w:rPr>
                    <w:t>项目建设条件</w:t>
                  </w:r>
                </w:p>
              </w:tc>
              <w:tc>
                <w:tcPr>
                  <w:tcW w:w="465" w:type="pct"/>
                  <w:vAlign w:val="center"/>
                </w:tcPr>
                <w:p>
                  <w:pPr>
                    <w:snapToGrid w:val="0"/>
                    <w:jc w:val="center"/>
                    <w:rPr>
                      <w:rFonts w:hint="eastAsia"/>
                      <w:b/>
                      <w:color w:val="auto"/>
                      <w:szCs w:val="21"/>
                    </w:rPr>
                  </w:pPr>
                  <w:r>
                    <w:rPr>
                      <w:rFonts w:hint="eastAsia"/>
                      <w:b/>
                      <w:color w:val="auto"/>
                      <w:szCs w:val="21"/>
                    </w:rPr>
                    <w:t>相符性</w:t>
                  </w:r>
                </w:p>
              </w:tc>
            </w:tr>
            <w:tr>
              <w:trPr>
                <w:trHeight w:val="318"/>
              </w:trPr>
              <w:tc>
                <w:tcPr>
                  <w:tcW w:w="513" w:type="pct"/>
                  <w:vMerge w:val="restart"/>
                  <w:vAlign w:val="center"/>
                </w:tcPr>
                <w:p>
                  <w:pPr>
                    <w:adjustRightInd w:val="0"/>
                    <w:snapToGrid w:val="0"/>
                    <w:jc w:val="center"/>
                    <w:rPr>
                      <w:rFonts w:ascii="Times New Roman" w:eastAsia="宋体" w:cs="Times New Roman" w:hAnsi="Times New Roman" w:hint="eastAsia"/>
                      <w:color w:val="auto"/>
                      <w:lang w:eastAsia="zh-CN"/>
                      <w:highlight w:val="none"/>
                    </w:rPr>
                  </w:pPr>
                  <w:r>
                    <w:rPr>
                      <w:rFonts w:ascii="Times New Roman" w:eastAsia="宋体" w:cs="Times New Roman" w:hAnsi="Times New Roman" w:hint="eastAsia"/>
                      <w:color w:val="auto"/>
                      <w:highlight w:val="none"/>
                    </w:rPr>
                    <w:t>积极推进收集体系建设</w:t>
                  </w:r>
                </w:p>
              </w:tc>
              <w:tc>
                <w:tcPr>
                  <w:tcW w:w="2214" w:type="pct"/>
                </w:tcPr>
                <w:p>
                  <w:pPr>
                    <w:adjustRightInd w:val="0"/>
                    <w:snapToGrid w:val="0"/>
                    <w:jc w:val="both"/>
                    <w:rPr>
                      <w:rFonts w:ascii="Times New Roman" w:eastAsia="宋体" w:cs="Times New Roman" w:hAnsi="Times New Roman"/>
                      <w:color w:val="auto"/>
                      <w:highlight w:val="none"/>
                    </w:rPr>
                  </w:pPr>
                  <w:r>
                    <w:rPr>
                      <w:rFonts w:ascii="Times New Roman" w:eastAsia="宋体" w:cs="Times New Roman" w:hAnsi="Times New Roman" w:hint="eastAsia"/>
                      <w:color w:val="auto"/>
                      <w:highlight w:val="none"/>
                    </w:rPr>
                    <w:t>（二）强化收集试点主体责任。发挥废铅蓄电池集中收集试点单位回收市场的主体作用，规范回收行为，推进回收市场健康发展。严格规范化环境管理制度。督促试点单位制定危险废物管理应急预案和管理计划，建立管理台账，严格执行转移联单，健全完善内控制度。加强市场收集管理。废铅蓄电池收集试点单位要</w:t>
                  </w:r>
                  <w:r>
                    <w:rPr>
                      <w:rFonts w:ascii="Times New Roman" w:eastAsia="宋体" w:cs="Times New Roman" w:hAnsi="Times New Roman" w:hint="eastAsia"/>
                      <w:color w:val="auto"/>
                      <w:lang w:val="en-US" w:eastAsia="zh-CN"/>
                      <w:highlight w:val="none"/>
                    </w:rPr>
                    <w:t>严格遵守市场规则，依法依规开展收集活动，强化行业自律，严禁操纵市场价格、私下倒买倒卖</w:t>
                  </w:r>
                  <w:r>
                    <w:rPr>
                      <w:rFonts w:ascii="Times New Roman" w:eastAsia="宋体" w:cs="Times New Roman" w:hAnsi="Times New Roman" w:hint="eastAsia"/>
                      <w:color w:val="auto"/>
                      <w:highlight w:val="none"/>
                    </w:rPr>
                    <w:t>；收集社会源的，应当做好接收转运台账，记录来源、种类、数量等信息，不得收集来源不明、排空酸液的废铅蓄电池。建立收集统计制度。试点单位要按照品牌对回收废铅蓄电池分类统计，并在省</w:t>
                  </w:r>
                  <w:r>
                    <w:rPr>
                      <w:rFonts w:ascii="Times New Roman" w:eastAsia="宋体" w:cs="Times New Roman" w:hAnsi="Times New Roman" w:hint="eastAsia"/>
                      <w:color w:val="auto"/>
                      <w:lang w:eastAsia="zh-CN"/>
                      <w:highlight w:val="none"/>
                    </w:rPr>
                    <w:t>、市</w:t>
                  </w:r>
                  <w:r>
                    <w:rPr>
                      <w:rFonts w:ascii="Times New Roman" w:eastAsia="宋体" w:cs="Times New Roman" w:hAnsi="Times New Roman" w:hint="eastAsia"/>
                      <w:color w:val="auto"/>
                      <w:highlight w:val="none"/>
                    </w:rPr>
                    <w:t>固体废物管理信息平台如实申报。各地生态环境部门每季度第一个月5日前将上季度收集信息统计汇总后，上报省生态环境厅；各地年度收集统计报告，应于次年1月10日前上报省生态环境厅。</w:t>
                  </w:r>
                </w:p>
              </w:tc>
              <w:tc>
                <w:tcPr>
                  <w:tcW w:w="1807" w:type="pct"/>
                </w:tcPr>
                <w:p>
                  <w:pPr>
                    <w:adjustRightInd w:val="0"/>
                    <w:snapToGrid w:val="0"/>
                    <w:jc w:val="both"/>
                    <w:rPr>
                      <w:rFonts w:ascii="Times New Roman" w:eastAsia="宋体" w:cs="Times New Roman" w:hAnsi="Times New Roman" w:hint="eastAsia"/>
                      <w:color w:val="auto"/>
                      <w:lang w:eastAsia="zh-CN"/>
                      <w:highlight w:val="none"/>
                    </w:rPr>
                  </w:pPr>
                  <w:r>
                    <w:rPr>
                      <w:rFonts w:cs="Times New Roman" w:hint="eastAsia"/>
                      <w:color w:val="auto"/>
                      <w:lang w:eastAsia="zh-CN"/>
                      <w:highlight w:val="none"/>
                    </w:rPr>
                    <w:t>本项目按要求</w:t>
                  </w:r>
                  <w:r>
                    <w:rPr>
                      <w:rFonts w:ascii="Times New Roman" w:eastAsia="宋体" w:cs="Times New Roman" w:hAnsi="Times New Roman" w:hint="eastAsia"/>
                      <w:color w:val="auto"/>
                      <w:highlight w:val="none"/>
                    </w:rPr>
                    <w:t>制定危险废物管理应急预案和管理计划，建立管理台账，严格执行转移联单，健全完善内控制度</w:t>
                  </w:r>
                  <w:r>
                    <w:rPr>
                      <w:rFonts w:cs="Times New Roman" w:hint="eastAsia"/>
                      <w:color w:val="auto"/>
                      <w:lang w:eastAsia="zh-CN"/>
                      <w:highlight w:val="none"/>
                    </w:rPr>
                    <w:t>。</w:t>
                  </w:r>
                </w:p>
              </w:tc>
              <w:tc>
                <w:tcPr>
                  <w:tcW w:w="465" w:type="pct"/>
                  <w:vAlign w:val="center"/>
                </w:tcPr>
                <w:p>
                  <w:pPr>
                    <w:adjustRightInd w:val="0"/>
                    <w:snapToGrid w:val="0"/>
                    <w:jc w:val="both"/>
                    <w:rPr>
                      <w:rFonts w:ascii="Times New Roman" w:eastAsia="宋体" w:cs="Times New Roman" w:hAnsi="Times New Roman" w:hint="eastAsia"/>
                      <w:color w:val="auto"/>
                      <w:lang w:eastAsia="zh-CN"/>
                      <w:highlight w:val="none"/>
                    </w:rPr>
                  </w:pPr>
                  <w:r>
                    <w:rPr>
                      <w:rFonts w:cs="Times New Roman" w:hint="eastAsia"/>
                      <w:color w:val="auto"/>
                      <w:lang w:eastAsia="zh-CN"/>
                      <w:highlight w:val="none"/>
                    </w:rPr>
                    <w:t>符合</w:t>
                  </w:r>
                </w:p>
              </w:tc>
            </w:tr>
            <w:tr>
              <w:trPr>
                <w:cantSplit/>
                <w:trHeight w:val="318"/>
              </w:trPr>
              <w:tc>
                <w:tcPr>
                  <w:tcW w:w="513" w:type="pct"/>
                  <w:vMerge/>
                  <w:vAlign w:val="center"/>
                </w:tcPr>
                <w:p/>
              </w:tc>
              <w:tc>
                <w:tcPr>
                  <w:tcW w:w="2214" w:type="pct"/>
                </w:tcPr>
                <w:p>
                  <w:pPr>
                    <w:adjustRightInd w:val="0"/>
                    <w:snapToGrid w:val="0"/>
                    <w:jc w:val="both"/>
                    <w:rPr>
                      <w:rFonts w:ascii="Times New Roman" w:eastAsia="宋体" w:cs="Times New Roman" w:hAnsi="Times New Roman"/>
                      <w:color w:val="auto"/>
                      <w:highlight w:val="none"/>
                    </w:rPr>
                  </w:pPr>
                  <w:r>
                    <w:rPr>
                      <w:rFonts w:ascii="Times New Roman" w:eastAsia="宋体" w:cs="Times New Roman" w:hAnsi="Times New Roman" w:hint="eastAsia"/>
                      <w:color w:val="auto"/>
                      <w:highlight w:val="none"/>
                    </w:rPr>
                    <w:t>（三）规范集中转运点建设。标准建设。集中转运点贮存间要严格按照《危险废物贮存污染控制标准》（GB18597）建设，贮存面积1000—1500</w:t>
                  </w:r>
                  <w:r>
                    <w:rPr>
                      <w:rFonts w:ascii="Times New Roman" w:eastAsia="宋体" w:cs="Times New Roman" w:hAnsi="Times New Roman" w:hint="eastAsia"/>
                      <w:color w:val="auto"/>
                      <w:lang w:val="en-US" w:eastAsia="zh-CN"/>
                      <w:highlight w:val="none"/>
                    </w:rPr>
                    <w:t>平方米</w:t>
                  </w:r>
                  <w:r>
                    <w:rPr>
                      <w:rFonts w:ascii="Times New Roman" w:eastAsia="宋体" w:cs="Times New Roman" w:hAnsi="Times New Roman" w:hint="eastAsia"/>
                      <w:color w:val="auto"/>
                      <w:highlight w:val="none"/>
                    </w:rPr>
                    <w:t>，要专门设置贮存破损废铅蓄电池的封闭场所。规范贮存。划分装卸区、Ⅰ类</w:t>
                  </w:r>
                  <w:r>
                    <w:rPr>
                      <w:rFonts w:ascii="Times New Roman" w:eastAsia="宋体" w:cs="Times New Roman" w:hAnsi="Times New Roman" w:hint="eastAsia"/>
                      <w:color w:val="auto"/>
                      <w:lang w:val="en-US" w:eastAsia="zh-CN"/>
                      <w:highlight w:val="none"/>
                    </w:rPr>
                    <w:t>和</w:t>
                  </w:r>
                  <w:r>
                    <w:rPr>
                      <w:rFonts w:ascii="Times New Roman" w:eastAsia="宋体" w:cs="Times New Roman" w:hAnsi="Times New Roman" w:hint="eastAsia"/>
                      <w:color w:val="auto"/>
                      <w:highlight w:val="none"/>
                    </w:rPr>
                    <w:t>Ⅱ类废铅蓄电池存放区，严禁混存混放；贮存量不得超过5000吨，贮存时间不得超过90天。</w:t>
                  </w:r>
                  <w:r>
                    <w:rPr>
                      <w:rFonts w:ascii="Times New Roman" w:eastAsia="宋体" w:cs="Times New Roman" w:hAnsi="Times New Roman" w:hint="eastAsia"/>
                      <w:color w:val="auto"/>
                      <w:lang w:val="en-US" w:eastAsia="zh-CN"/>
                      <w:highlight w:val="none"/>
                    </w:rPr>
                    <w:t>实时</w:t>
                  </w:r>
                  <w:r>
                    <w:rPr>
                      <w:rFonts w:ascii="Times New Roman" w:eastAsia="宋体" w:cs="Times New Roman" w:hAnsi="Times New Roman" w:hint="eastAsia"/>
                      <w:color w:val="auto"/>
                      <w:highlight w:val="none"/>
                    </w:rPr>
                    <w:t>监控。要在集中贮存场所内、厂区出入口安装视频监控、智能称重设备，并与生态环境部门固体废物信息平台链接，实时自动上传相关影像、称重数据信息。</w:t>
                  </w:r>
                </w:p>
              </w:tc>
              <w:tc>
                <w:tcPr>
                  <w:tcW w:w="1807" w:type="pct"/>
                </w:tcPr>
                <w:p>
                  <w:pPr>
                    <w:adjustRightInd w:val="0"/>
                    <w:snapToGrid w:val="0"/>
                    <w:jc w:val="both"/>
                    <w:rPr>
                      <w:rFonts w:ascii="Times New Roman" w:eastAsia="宋体" w:cs="Times New Roman" w:hAnsi="Times New Roman" w:hint="eastAsia"/>
                      <w:color w:val="auto"/>
                      <w:lang w:val="en-US" w:eastAsia="zh-CN"/>
                      <w:highlight w:val="none"/>
                    </w:rPr>
                  </w:pPr>
                  <w:r>
                    <w:rPr>
                      <w:rFonts w:cs="Times New Roman" w:hint="eastAsia"/>
                      <w:color w:val="auto"/>
                      <w:lang w:eastAsia="zh-CN"/>
                      <w:highlight w:val="none"/>
                    </w:rPr>
                    <w:t>本项目贮存面积</w:t>
                  </w:r>
                  <w:r>
                    <w:rPr>
                      <w:rFonts w:cs="Times New Roman" w:hint="eastAsia"/>
                      <w:color w:val="auto"/>
                      <w:lang w:val="en-US" w:eastAsia="zh-CN"/>
                      <w:highlight w:val="none"/>
                    </w:rPr>
                    <w:t>1140m</w:t>
                  </w:r>
                  <w:r>
                    <w:rPr>
                      <w:rFonts w:cs="Times New Roman" w:hint="eastAsia"/>
                      <w:color w:val="auto"/>
                      <w:vertAlign w:val="superscript"/>
                      <w:lang w:val="en-US" w:eastAsia="zh-CN"/>
                      <w:highlight w:val="none"/>
                    </w:rPr>
                    <w:t>2</w:t>
                  </w:r>
                  <w:r>
                    <w:rPr>
                      <w:rFonts w:cs="Times New Roman" w:hint="eastAsia"/>
                      <w:color w:val="auto"/>
                      <w:lang w:val="en-US" w:eastAsia="zh-CN"/>
                      <w:highlight w:val="none"/>
                    </w:rPr>
                    <w:t>，满足贮存面积1000—1500m</w:t>
                  </w:r>
                  <w:r>
                    <w:rPr>
                      <w:rFonts w:cs="Times New Roman" w:hint="eastAsia"/>
                      <w:color w:val="auto"/>
                      <w:vertAlign w:val="superscript"/>
                      <w:lang w:val="en-US" w:eastAsia="zh-CN"/>
                      <w:highlight w:val="none"/>
                    </w:rPr>
                    <w:t>2</w:t>
                  </w:r>
                  <w:r>
                    <w:rPr>
                      <w:rFonts w:cs="Times New Roman" w:hint="eastAsia"/>
                      <w:color w:val="auto"/>
                      <w:lang w:val="en-US" w:eastAsia="zh-CN"/>
                      <w:highlight w:val="none"/>
                    </w:rPr>
                    <w:t>需求，同时设有破损废铅蓄电池贮存间，单独进行收集贮存。本项目设有装卸区和</w:t>
                  </w:r>
                  <w:r>
                    <w:rPr>
                      <w:rFonts w:ascii="Times New Roman" w:eastAsia="宋体" w:cs="Times New Roman" w:hAnsi="Times New Roman" w:hint="eastAsia"/>
                      <w:color w:val="auto"/>
                      <w:highlight w:val="none"/>
                    </w:rPr>
                    <w:t>Ⅰ类废铅蓄电池存放区</w:t>
                  </w:r>
                  <w:r>
                    <w:rPr>
                      <w:rFonts w:cs="Times New Roman" w:hint="eastAsia"/>
                      <w:color w:val="auto"/>
                      <w:lang w:eastAsia="zh-CN"/>
                      <w:highlight w:val="none"/>
                    </w:rPr>
                    <w:t>，贮存量为</w:t>
                  </w:r>
                  <w:r>
                    <w:rPr>
                      <w:rFonts w:cs="Times New Roman" w:hint="eastAsia"/>
                      <w:color w:val="auto"/>
                      <w:lang w:val="en-US" w:eastAsia="zh-CN"/>
                      <w:highlight w:val="none"/>
                    </w:rPr>
                    <w:t>100t，未超过规定的5000t，贮存周期为5天，满足不超过90天的要求。本项目在厂区</w:t>
                  </w:r>
                  <w:r>
                    <w:rPr>
                      <w:rFonts w:ascii="Times New Roman" w:eastAsia="宋体" w:cs="Times New Roman" w:hAnsi="Times New Roman" w:hint="eastAsia"/>
                      <w:color w:val="auto"/>
                      <w:highlight w:val="none"/>
                    </w:rPr>
                    <w:t>集中贮存场所内、厂区出入口安装视频监控、智能称重设备</w:t>
                  </w:r>
                  <w:r>
                    <w:rPr>
                      <w:rFonts w:cs="Times New Roman" w:hint="eastAsia"/>
                      <w:color w:val="auto"/>
                      <w:lang w:eastAsia="zh-CN"/>
                      <w:highlight w:val="none"/>
                    </w:rPr>
                    <w:t>，满足相关要求。</w:t>
                  </w:r>
                </w:p>
              </w:tc>
              <w:tc>
                <w:tcPr>
                  <w:tcW w:w="465" w:type="pct"/>
                  <w:vAlign w:val="center"/>
                </w:tcPr>
                <w:p>
                  <w:pPr>
                    <w:adjustRightInd w:val="0"/>
                    <w:snapToGrid w:val="0"/>
                    <w:jc w:val="both"/>
                    <w:rPr>
                      <w:rFonts w:ascii="Times New Roman" w:eastAsia="宋体" w:cs="Times New Roman" w:hAnsi="Times New Roman"/>
                      <w:color w:val="auto"/>
                      <w:highlight w:val="none"/>
                    </w:rPr>
                  </w:pPr>
                  <w:r>
                    <w:rPr>
                      <w:rFonts w:cs="Times New Roman" w:hint="eastAsia"/>
                      <w:color w:val="auto"/>
                      <w:lang w:eastAsia="zh-CN"/>
                      <w:highlight w:val="none"/>
                    </w:rPr>
                    <w:t>符合</w:t>
                  </w:r>
                </w:p>
              </w:tc>
            </w:tr>
            <w:tr>
              <w:trPr>
                <w:cantSplit/>
                <w:trHeight w:val="318"/>
              </w:trPr>
              <w:tc>
                <w:tcPr>
                  <w:tcW w:w="513" w:type="pct"/>
                  <w:vAlign w:val="center"/>
                </w:tcPr>
                <w:p>
                  <w:pPr>
                    <w:adjustRightInd w:val="0"/>
                    <w:snapToGrid w:val="0"/>
                    <w:jc w:val="center"/>
                    <w:rPr>
                      <w:rFonts w:ascii="Times New Roman" w:eastAsia="宋体" w:cs="Times New Roman" w:hAnsi="Times New Roman"/>
                      <w:color w:val="auto"/>
                      <w:highlight w:val="none"/>
                    </w:rPr>
                  </w:pPr>
                  <w:r>
                    <w:rPr>
                      <w:rFonts w:ascii="Times New Roman" w:eastAsia="宋体" w:cs="Times New Roman" w:hAnsi="Times New Roman"/>
                      <w:color w:val="auto"/>
                      <w:highlight w:val="none"/>
                    </w:rPr>
                    <w:t>加强规范转移管理</w:t>
                  </w:r>
                </w:p>
                <w:p>
                  <w:pPr>
                    <w:adjustRightInd w:val="0"/>
                    <w:snapToGrid w:val="0"/>
                    <w:jc w:val="both"/>
                    <w:rPr>
                      <w:rFonts w:ascii="Times New Roman" w:eastAsia="宋体" w:cs="Times New Roman" w:hAnsi="Times New Roman"/>
                      <w:color w:val="auto"/>
                      <w:highlight w:val="none"/>
                    </w:rPr>
                  </w:pPr>
                </w:p>
              </w:tc>
              <w:tc>
                <w:tcPr>
                  <w:tcW w:w="2214" w:type="pct"/>
                </w:tcPr>
                <w:p>
                  <w:pPr>
                    <w:adjustRightInd w:val="0"/>
                    <w:snapToGrid w:val="0"/>
                    <w:jc w:val="both"/>
                    <w:rPr>
                      <w:rFonts w:ascii="Times New Roman" w:eastAsia="宋体" w:cs="Times New Roman" w:hAnsi="Times New Roman" w:hint="eastAsia"/>
                      <w:color w:val="auto"/>
                      <w:highlight w:val="none"/>
                    </w:rPr>
                  </w:pPr>
                  <w:r>
                    <w:rPr>
                      <w:rFonts w:ascii="Times New Roman" w:eastAsia="宋体" w:cs="Times New Roman" w:hAnsi="Times New Roman" w:hint="eastAsia"/>
                      <w:color w:val="auto"/>
                      <w:highlight w:val="none"/>
                    </w:rPr>
                    <w:t>（一）严格转移登记和联单制度。收集网点向集中转运点转移废铅蓄电池，</w:t>
                  </w:r>
                  <w:r>
                    <w:rPr>
                      <w:rFonts w:ascii="Times New Roman" w:eastAsia="宋体" w:cs="Times New Roman" w:hAnsi="Times New Roman" w:hint="eastAsia"/>
                      <w:color w:val="auto"/>
                      <w:lang w:val="en-US" w:eastAsia="zh-CN"/>
                      <w:highlight w:val="none"/>
                    </w:rPr>
                    <w:t>同一市域内</w:t>
                  </w:r>
                  <w:r>
                    <w:rPr>
                      <w:rFonts w:ascii="Times New Roman" w:eastAsia="宋体" w:cs="Times New Roman" w:hAnsi="Times New Roman" w:hint="eastAsia"/>
                      <w:color w:val="auto"/>
                      <w:highlight w:val="none"/>
                    </w:rPr>
                    <w:t>实行转运交接登记管理。省内和跨省转移废铅蓄电池的，要通过省</w:t>
                  </w:r>
                  <w:r>
                    <w:rPr>
                      <w:rFonts w:ascii="Times New Roman" w:eastAsia="宋体" w:cs="Times New Roman" w:hAnsi="Times New Roman" w:hint="eastAsia"/>
                      <w:color w:val="auto"/>
                      <w:lang w:eastAsia="zh-CN"/>
                      <w:highlight w:val="none"/>
                    </w:rPr>
                    <w:t>、市</w:t>
                  </w:r>
                  <w:r>
                    <w:rPr>
                      <w:rFonts w:ascii="Times New Roman" w:eastAsia="宋体" w:cs="Times New Roman" w:hAnsi="Times New Roman" w:hint="eastAsia"/>
                      <w:color w:val="auto"/>
                      <w:highlight w:val="none"/>
                    </w:rPr>
                    <w:t>固体废物信息管理平台，执行危险废物电子转移联单。</w:t>
                  </w:r>
                </w:p>
                <w:p>
                  <w:pPr>
                    <w:adjustRightInd w:val="0"/>
                    <w:snapToGrid w:val="0"/>
                    <w:jc w:val="both"/>
                    <w:rPr>
                      <w:rFonts w:ascii="Times New Roman" w:eastAsia="宋体" w:cs="Times New Roman" w:hAnsi="Times New Roman" w:hint="eastAsia"/>
                      <w:color w:val="auto"/>
                      <w:highlight w:val="none"/>
                    </w:rPr>
                  </w:pPr>
                  <w:r>
                    <w:rPr>
                      <w:rFonts w:ascii="Times New Roman" w:eastAsia="宋体" w:cs="Times New Roman" w:hAnsi="Times New Roman" w:hint="eastAsia"/>
                      <w:color w:val="auto"/>
                      <w:highlight w:val="none"/>
                    </w:rPr>
                    <w:t>（二）规范运输条件。运输废铅蓄电池的车辆要在省</w:t>
                  </w:r>
                  <w:r>
                    <w:rPr>
                      <w:rFonts w:ascii="Times New Roman" w:eastAsia="宋体" w:cs="Times New Roman" w:hAnsi="Times New Roman" w:hint="eastAsia"/>
                      <w:color w:val="auto"/>
                      <w:lang w:eastAsia="zh-CN"/>
                      <w:highlight w:val="none"/>
                    </w:rPr>
                    <w:t>、市</w:t>
                  </w:r>
                  <w:r>
                    <w:rPr>
                      <w:rFonts w:ascii="Times New Roman" w:eastAsia="宋体" w:cs="Times New Roman" w:hAnsi="Times New Roman" w:hint="eastAsia"/>
                      <w:color w:val="auto"/>
                      <w:highlight w:val="none"/>
                    </w:rPr>
                    <w:t>固体废物管理信息平台注册。符合交通运输、环境保护规定的危险货物豁免运输管理条件时，豁免运输企业、车辆、从业人员资格等危险货物道路运输管理要求。转移破损的废铅蓄电池，要严格执行《道路危险货物运输管理规定》和《危险货物道路运输规则》，委托具有资质的企业运输。</w:t>
                  </w:r>
                </w:p>
                <w:p>
                  <w:pPr>
                    <w:adjustRightInd w:val="0"/>
                    <w:snapToGrid w:val="0"/>
                    <w:jc w:val="both"/>
                    <w:rPr>
                      <w:rFonts w:ascii="Times New Roman" w:eastAsia="宋体" w:cs="Times New Roman" w:hAnsi="Times New Roman"/>
                      <w:color w:val="auto"/>
                      <w:highlight w:val="none"/>
                    </w:rPr>
                  </w:pPr>
                  <w:r>
                    <w:rPr>
                      <w:rFonts w:ascii="Times New Roman" w:eastAsia="宋体" w:cs="Times New Roman" w:hAnsi="Times New Roman" w:hint="eastAsia"/>
                      <w:color w:val="auto"/>
                      <w:highlight w:val="none"/>
                    </w:rPr>
                    <w:t>（三）严密风险防范措施。运输企业要按照危险废物转移有关规定，合理规划运输路线，落实防雨、防渗漏、防遗撒措施，破损的废铅蓄电池要置于耐腐蚀的容器内。要制定事故应急预案，配备事故应急及个人防护设备，确保有效处置事故，最大限度减少环境污染。</w:t>
                  </w:r>
                </w:p>
              </w:tc>
              <w:tc>
                <w:tcPr>
                  <w:tcW w:w="1807" w:type="pct"/>
                </w:tcPr>
                <w:p>
                  <w:pPr>
                    <w:adjustRightInd w:val="0"/>
                    <w:snapToGrid w:val="0"/>
                    <w:jc w:val="both"/>
                    <w:rPr>
                      <w:rFonts w:ascii="Times New Roman" w:eastAsia="宋体" w:cs="Times New Roman" w:hAnsi="Times New Roman" w:hint="eastAsia"/>
                      <w:color w:val="auto"/>
                      <w:highlight w:val="none"/>
                    </w:rPr>
                  </w:pPr>
                  <w:r>
                    <w:rPr>
                      <w:rFonts w:cs="Times New Roman" w:hint="eastAsia"/>
                      <w:color w:val="auto"/>
                      <w:lang w:eastAsia="zh-CN"/>
                      <w:highlight w:val="none"/>
                    </w:rPr>
                    <w:t>本项目仅涉及中转贮存，不涉及转运，废铅蓄电池委托满足要求的、有资质的单位进行运输，同时做好登记和记录，</w:t>
                  </w:r>
                  <w:r>
                    <w:rPr>
                      <w:rFonts w:ascii="Times New Roman" w:eastAsia="宋体" w:cs="Times New Roman" w:hAnsi="Times New Roman" w:hint="eastAsia"/>
                      <w:color w:val="auto"/>
                      <w:highlight w:val="none"/>
                    </w:rPr>
                    <w:t>执行危险废物电子转移联单。</w:t>
                  </w:r>
                </w:p>
                <w:p>
                  <w:pPr>
                    <w:adjustRightInd w:val="0"/>
                    <w:snapToGrid w:val="0"/>
                    <w:jc w:val="both"/>
                    <w:rPr>
                      <w:rFonts w:ascii="Times New Roman" w:eastAsia="宋体" w:cs="Times New Roman" w:hAnsi="Times New Roman" w:hint="eastAsia"/>
                      <w:color w:val="auto"/>
                      <w:lang w:eastAsia="zh-CN"/>
                      <w:highlight w:val="none"/>
                    </w:rPr>
                  </w:pPr>
                  <w:r>
                    <w:rPr>
                      <w:rFonts w:cs="Times New Roman" w:hint="eastAsia"/>
                      <w:color w:val="auto"/>
                      <w:lang w:eastAsia="zh-CN"/>
                      <w:highlight w:val="none"/>
                    </w:rPr>
                    <w:t>企业</w:t>
                  </w:r>
                  <w:r>
                    <w:rPr>
                      <w:rFonts w:ascii="Times New Roman" w:eastAsia="宋体" w:cs="Times New Roman" w:hAnsi="Times New Roman" w:hint="eastAsia"/>
                      <w:color w:val="auto"/>
                      <w:highlight w:val="none"/>
                    </w:rPr>
                    <w:t>落实防雨、防渗漏、防遗撒措施，破损的废铅蓄电池要置于耐腐蚀的容器内。要制定事故应急预案，配备事故应急及个人防护设备，确保有效处置事故，最大限度减少环境污染。</w:t>
                  </w:r>
                </w:p>
              </w:tc>
              <w:tc>
                <w:tcPr>
                  <w:tcW w:w="465" w:type="pct"/>
                  <w:vAlign w:val="center"/>
                </w:tcPr>
                <w:p>
                  <w:pPr>
                    <w:adjustRightInd w:val="0"/>
                    <w:snapToGrid w:val="0"/>
                    <w:jc w:val="both"/>
                    <w:rPr>
                      <w:rFonts w:ascii="Times New Roman" w:eastAsia="宋体" w:cs="Times New Roman" w:hAnsi="Times New Roman" w:hint="eastAsia"/>
                      <w:color w:val="auto"/>
                      <w:lang w:eastAsia="zh-CN"/>
                      <w:highlight w:val="none"/>
                    </w:rPr>
                  </w:pPr>
                  <w:r>
                    <w:rPr>
                      <w:rFonts w:cs="Times New Roman" w:hint="eastAsia"/>
                      <w:color w:val="auto"/>
                      <w:lang w:eastAsia="zh-CN"/>
                      <w:highlight w:val="none"/>
                    </w:rPr>
                    <w:t>符合</w:t>
                  </w:r>
                </w:p>
              </w:tc>
            </w:tr>
            <w:tr>
              <w:trPr>
                <w:trHeight w:val="3900"/>
              </w:trPr>
              <w:tc>
                <w:tcPr>
                  <w:tcW w:w="513" w:type="pct"/>
                  <w:vAlign w:val="center"/>
                </w:tcPr>
                <w:p>
                  <w:pPr>
                    <w:adjustRightInd w:val="0"/>
                    <w:snapToGrid w:val="0"/>
                    <w:jc w:val="center"/>
                    <w:rPr>
                      <w:rFonts w:ascii="Times New Roman" w:eastAsia="宋体" w:cs="Times New Roman" w:hAnsi="Times New Roman" w:hint="eastAsia"/>
                      <w:color w:val="auto"/>
                      <w:highlight w:val="none"/>
                    </w:rPr>
                  </w:pPr>
                  <w:r>
                    <w:rPr>
                      <w:rFonts w:ascii="Times New Roman" w:eastAsia="宋体" w:cs="Times New Roman" w:hAnsi="Times New Roman" w:hint="eastAsia"/>
                      <w:color w:val="auto"/>
                      <w:highlight w:val="none"/>
                    </w:rPr>
                    <w:t>推进废铅蓄电池利用处置</w:t>
                  </w:r>
                  <w:r>
                    <w:rPr>
                      <w:rFonts w:ascii="Times New Roman" w:eastAsia="宋体" w:cs="Times New Roman" w:hAnsi="Times New Roman" w:hint="eastAsia"/>
                      <w:color w:val="auto"/>
                      <w:lang w:val="en-US" w:eastAsia="zh-CN"/>
                      <w:highlight w:val="none"/>
                    </w:rPr>
                    <w:t>行</w:t>
                  </w:r>
                  <w:r>
                    <w:rPr>
                      <w:rFonts w:ascii="Times New Roman" w:eastAsia="宋体" w:cs="Times New Roman" w:hAnsi="Times New Roman" w:hint="eastAsia"/>
                      <w:color w:val="auto"/>
                      <w:highlight w:val="none"/>
                    </w:rPr>
                    <w:t>业</w:t>
                  </w:r>
                  <w:r>
                    <w:rPr>
                      <w:rFonts w:ascii="Times New Roman" w:eastAsia="宋体" w:cs="Times New Roman" w:hAnsi="Times New Roman" w:hint="eastAsia"/>
                      <w:color w:val="auto"/>
                      <w:lang w:val="en-US" w:eastAsia="zh-CN"/>
                      <w:highlight w:val="none"/>
                    </w:rPr>
                    <w:t>规范化、集约式</w:t>
                  </w:r>
                  <w:r>
                    <w:rPr>
                      <w:rFonts w:ascii="Times New Roman" w:eastAsia="宋体" w:cs="Times New Roman" w:hAnsi="Times New Roman" w:hint="eastAsia"/>
                      <w:color w:val="auto"/>
                      <w:highlight w:val="none"/>
                    </w:rPr>
                    <w:t>发展</w:t>
                  </w:r>
                </w:p>
                <w:p>
                  <w:pPr>
                    <w:adjustRightInd w:val="0"/>
                    <w:snapToGrid w:val="0"/>
                    <w:jc w:val="both"/>
                    <w:rPr>
                      <w:rFonts w:ascii="Times New Roman" w:eastAsia="宋体" w:cs="Times New Roman" w:hAnsi="Times New Roman"/>
                      <w:color w:val="auto"/>
                      <w:highlight w:val="none"/>
                    </w:rPr>
                  </w:pPr>
                </w:p>
              </w:tc>
              <w:tc>
                <w:tcPr>
                  <w:tcW w:w="2214" w:type="pct"/>
                </w:tcPr>
                <w:p>
                  <w:pPr>
                    <w:adjustRightInd w:val="0"/>
                    <w:snapToGrid w:val="0"/>
                    <w:jc w:val="both"/>
                    <w:rPr>
                      <w:rFonts w:ascii="Times New Roman" w:eastAsia="宋体" w:cs="Times New Roman" w:hAnsi="Times New Roman" w:hint="eastAsia"/>
                      <w:color w:val="auto"/>
                      <w:highlight w:val="none"/>
                    </w:rPr>
                  </w:pPr>
                  <w:r>
                    <w:rPr>
                      <w:rFonts w:ascii="Times New Roman" w:eastAsia="宋体" w:cs="Times New Roman" w:hAnsi="Times New Roman" w:hint="eastAsia"/>
                      <w:color w:val="auto"/>
                      <w:highlight w:val="none"/>
                    </w:rPr>
                    <w:t>（一）规范行业经营行为。未取得废铅蓄电池利用、处置资质的企业不得从事拆解处置废铅蓄电池活动。具有资质的企业要通过合法的渠道收购废铅蓄电池，不得收购非法转移、排空酸液的废铅蓄电池，不得委托没有收集资质的销售网点、商贸公司、废旧物资回收等单位收集废铅蓄电池。企业要建立危险废物经营情况记录簿，详细记录每日接收、贮存、利用、处置废铅蓄电池的类别、来源、重量、工况运行及环境监测等情况。危险废物经营情况记录簿要保存10年以上。</w:t>
                  </w:r>
                </w:p>
              </w:tc>
              <w:tc>
                <w:tcPr>
                  <w:tcW w:w="1807" w:type="pct"/>
                </w:tcPr>
                <w:p>
                  <w:pPr>
                    <w:adjustRightInd w:val="0"/>
                    <w:snapToGrid w:val="0"/>
                    <w:jc w:val="both"/>
                    <w:rPr>
                      <w:rFonts w:ascii="Times New Roman" w:eastAsia="宋体" w:cs="Times New Roman" w:hAnsi="Times New Roman" w:hint="eastAsia"/>
                      <w:color w:val="auto"/>
                      <w:lang w:eastAsia="zh-CN"/>
                      <w:highlight w:val="none"/>
                    </w:rPr>
                  </w:pPr>
                  <w:r>
                    <w:rPr>
                      <w:rFonts w:cs="Times New Roman" w:hint="eastAsia"/>
                      <w:color w:val="auto"/>
                      <w:lang w:eastAsia="zh-CN"/>
                      <w:highlight w:val="none"/>
                    </w:rPr>
                    <w:t>本项目为废铅蓄电池中转项目，来源合法，同时</w:t>
                  </w:r>
                  <w:r>
                    <w:rPr>
                      <w:rFonts w:ascii="Times New Roman" w:eastAsia="宋体" w:cs="Times New Roman" w:hAnsi="Times New Roman" w:hint="eastAsia"/>
                      <w:color w:val="auto"/>
                      <w:highlight w:val="none"/>
                    </w:rPr>
                    <w:t>建立危险废物经营情况记录簿，详细记录每日接收、贮存、利用、处置废铅蓄电池的类别、来源、重量、工况运行及环境监测等情况。危险废物经营情况记录簿要保存10年以上。</w:t>
                  </w:r>
                </w:p>
              </w:tc>
              <w:tc>
                <w:tcPr>
                  <w:tcW w:w="465" w:type="pct"/>
                  <w:vAlign w:val="center"/>
                </w:tcPr>
                <w:p>
                  <w:pPr>
                    <w:adjustRightInd w:val="0"/>
                    <w:snapToGrid w:val="0"/>
                    <w:jc w:val="both"/>
                    <w:rPr>
                      <w:rFonts w:ascii="Times New Roman" w:eastAsia="宋体" w:cs="Times New Roman" w:hAnsi="Times New Roman" w:hint="eastAsia"/>
                      <w:color w:val="auto"/>
                      <w:lang w:eastAsia="zh-CN"/>
                      <w:highlight w:val="none"/>
                    </w:rPr>
                  </w:pPr>
                  <w:r>
                    <w:rPr>
                      <w:rFonts w:cs="Times New Roman" w:hint="eastAsia"/>
                      <w:color w:val="auto"/>
                      <w:lang w:eastAsia="zh-CN"/>
                      <w:highlight w:val="none"/>
                    </w:rPr>
                    <w:t>符合</w:t>
                  </w:r>
                </w:p>
                <w:p>
                  <w:pPr>
                    <w:adjustRightInd w:val="0"/>
                    <w:snapToGrid w:val="0"/>
                    <w:jc w:val="both"/>
                    <w:rPr>
                      <w:rFonts w:ascii="Times New Roman" w:eastAsia="宋体" w:cs="Times New Roman" w:hAnsi="Times New Roman"/>
                      <w:color w:val="auto"/>
                      <w:highlight w:val="none"/>
                    </w:rPr>
                  </w:pPr>
                </w:p>
              </w:tc>
            </w:tr>
          </w:tbl>
          <w:p>
            <w:pPr>
              <w:pStyle w:val="69"/>
              <w:spacing w:line="360" w:lineRule="auto"/>
              <w:ind w:left="122" w:firstLine="473"/>
              <w:rPr>
                <w:rFonts w:ascii="Times New Roman" w:eastAsia="宋体" w:cs="Times New Roman" w:hAnsi="Times New Roman"/>
                <w:color w:val="auto"/>
                <w:kern w:val="2"/>
                <w:sz w:val="24"/>
                <w:szCs w:val="24"/>
                <w:lang w:val="en-US" w:eastAsia="zh-CN" w:bidi="ar-SA"/>
                <w:highlight w:val="none"/>
              </w:rPr>
            </w:pPr>
            <w:r>
              <w:rPr>
                <w:rFonts w:ascii="Times New Roman" w:eastAsia="宋体" w:cs="Times New Roman" w:hAnsi="Times New Roman" w:hint="eastAsia"/>
                <w:color w:val="auto"/>
                <w:kern w:val="2"/>
                <w:sz w:val="24"/>
                <w:szCs w:val="24"/>
                <w:lang w:val="en-US" w:eastAsia="zh-CN" w:bidi="ar-SA"/>
                <w:highlight w:val="none"/>
              </w:rPr>
              <w:t>（</w:t>
            </w:r>
            <w:r>
              <w:rPr>
                <w:rFonts w:ascii="Times New Roman" w:cs="Times New Roman" w:hAnsi="Times New Roman" w:hint="eastAsia"/>
                <w:color w:val="auto"/>
                <w:kern w:val="2"/>
                <w:sz w:val="24"/>
                <w:szCs w:val="24"/>
                <w:lang w:val="en-US" w:eastAsia="zh-CN" w:bidi="ar-SA"/>
                <w:highlight w:val="none"/>
              </w:rPr>
              <w:t>7</w:t>
            </w:r>
            <w:r>
              <w:rPr>
                <w:rFonts w:ascii="Times New Roman" w:eastAsia="宋体" w:cs="Times New Roman" w:hAnsi="Times New Roman" w:hint="eastAsia"/>
                <w:color w:val="auto"/>
                <w:kern w:val="2"/>
                <w:sz w:val="24"/>
                <w:szCs w:val="24"/>
                <w:lang w:val="en-US" w:eastAsia="zh-CN" w:bidi="ar-SA"/>
                <w:highlight w:val="none"/>
              </w:rPr>
              <w:t>）与《河北省环境保护厅办公室关于建设全省危险废物智能监控体系的通知》（冀环办发【2017】112号）的符合性分析</w:t>
            </w:r>
          </w:p>
          <w:p>
            <w:pPr>
              <w:ind w:firstLineChars="200" w:firstLine="480"/>
              <w:jc w:val="center"/>
              <w:rPr>
                <w:rFonts w:ascii="Times New Roman" w:eastAsia="宋体" w:cs="Times New Roman" w:hAnsi="Times New Roman" w:hint="eastAsia"/>
                <w:b/>
                <w:bCs/>
                <w:color w:val="auto"/>
                <w:sz w:val="24"/>
                <w:highlight w:val="none"/>
              </w:rPr>
            </w:pPr>
            <w:r>
              <w:rPr>
                <w:rFonts w:ascii="Times New Roman" w:eastAsia="宋体" w:cs="Times New Roman" w:hAnsi="Times New Roman" w:hint="eastAsia"/>
                <w:b/>
                <w:bCs/>
                <w:color w:val="auto"/>
                <w:sz w:val="24"/>
                <w:highlight w:val="none"/>
              </w:rPr>
              <w:t>表1-</w:t>
            </w:r>
            <w:r>
              <w:rPr>
                <w:rFonts w:cs="Times New Roman" w:hint="eastAsia"/>
                <w:b/>
                <w:bCs/>
                <w:color w:val="auto"/>
                <w:sz w:val="24"/>
                <w:lang w:val="en-US" w:eastAsia="zh-CN"/>
                <w:highlight w:val="none"/>
              </w:rPr>
              <w:t>20</w:t>
            </w:r>
            <w:r>
              <w:rPr>
                <w:rFonts w:ascii="Times New Roman" w:eastAsia="宋体" w:cs="Times New Roman" w:hAnsi="Times New Roman" w:hint="eastAsia"/>
                <w:b/>
                <w:bCs/>
                <w:color w:val="auto"/>
                <w:sz w:val="24"/>
                <w:highlight w:val="none"/>
              </w:rPr>
              <w:t xml:space="preserve">  与《河北省环境保护厅办公室关于建设全省危险废物智能监控体系的通知》（冀环办发【2017】112号）符合性分析一览表</w:t>
            </w:r>
          </w:p>
          <w:tbl>
            <w:tblPr>
              <w:jc w:val="center"/>
              <w:tblW w:w="4998" w:type="pct"/>
              <w:tblBorders>
                <w:top w:val="single" w:sz="12" w:space="0" w:color="auto"/>
                <w:left w:val="none" w:sz="0" w:space="0" w:color="auto"/>
                <w:bottom w:val="single" w:sz="12" w:space="0" w:color="auto"/>
                <w:right w:val="none" w:sz="0" w:space="0" w:color="auto"/>
                <w:insideH w:val="single" w:sz="4" w:space="0" w:color="auto"/>
                <w:insideV w:val="single" w:sz="4" w:space="0" w:color="auto"/>
              </w:tblBorders>
              <w:tblCellMar>
                <w:top w:w="0" w:type="dxa"/>
                <w:left w:w="108" w:type="dxa"/>
                <w:bottom w:w="0" w:type="dxa"/>
                <w:right w:w="108" w:type="dxa"/>
              </w:tblCellMar>
              <w:tblLook w:val="0600" w:firstRow="0" w:lastRow="0" w:firstColumn="0" w:lastColumn="0" w:noHBand="1" w:noVBand="1"/>
            </w:tblPr>
            <w:tblGrid>
              <w:gridCol w:w="780"/>
              <w:gridCol w:w="3365"/>
              <w:gridCol w:w="2746"/>
              <w:gridCol w:w="707"/>
            </w:tblGrid>
            <w:tr>
              <w:trPr>
                <w:cantSplit/>
                <w:trHeight w:val="318"/>
                <w:tblHeader/>
              </w:trPr>
              <w:tc>
                <w:tcPr>
                  <w:tcW w:w="513" w:type="pct"/>
                  <w:vAlign w:val="center"/>
                </w:tcPr>
                <w:p>
                  <w:pPr>
                    <w:snapToGrid w:val="0"/>
                    <w:jc w:val="center"/>
                    <w:rPr>
                      <w:rFonts w:hint="eastAsia"/>
                      <w:b/>
                      <w:color w:val="auto"/>
                      <w:szCs w:val="21"/>
                    </w:rPr>
                  </w:pPr>
                  <w:r>
                    <w:rPr>
                      <w:rFonts w:hint="eastAsia"/>
                      <w:b/>
                      <w:color w:val="auto"/>
                      <w:szCs w:val="21"/>
                    </w:rPr>
                    <w:t>项目</w:t>
                  </w:r>
                </w:p>
              </w:tc>
              <w:tc>
                <w:tcPr>
                  <w:tcW w:w="2214" w:type="pct"/>
                  <w:vAlign w:val="center"/>
                </w:tcPr>
                <w:p>
                  <w:pPr>
                    <w:adjustRightInd w:val="0"/>
                    <w:snapToGrid w:val="0"/>
                    <w:jc w:val="center"/>
                    <w:rPr>
                      <w:rFonts w:ascii="Times New Roman" w:eastAsia="宋体" w:cs="Times New Roman" w:hAnsi="Times New Roman" w:hint="eastAsia"/>
                      <w:color w:val="auto"/>
                      <w:highlight w:val="none"/>
                    </w:rPr>
                  </w:pPr>
                  <w:r>
                    <w:rPr>
                      <w:rFonts w:ascii="Times New Roman" w:eastAsia="宋体" w:cs="Times New Roman" w:hAnsi="Times New Roman" w:hint="eastAsia"/>
                      <w:b/>
                      <w:bCs/>
                      <w:color w:val="auto"/>
                      <w:highlight w:val="none"/>
                    </w:rPr>
                    <w:t>规范要求</w:t>
                  </w:r>
                </w:p>
              </w:tc>
              <w:tc>
                <w:tcPr>
                  <w:tcW w:w="1807" w:type="pct"/>
                  <w:vAlign w:val="center"/>
                </w:tcPr>
                <w:p>
                  <w:pPr>
                    <w:snapToGrid w:val="0"/>
                    <w:jc w:val="center"/>
                    <w:rPr>
                      <w:rFonts w:hint="eastAsia"/>
                      <w:b/>
                      <w:color w:val="auto"/>
                      <w:szCs w:val="21"/>
                    </w:rPr>
                  </w:pPr>
                  <w:r>
                    <w:rPr>
                      <w:rFonts w:hint="eastAsia"/>
                      <w:b/>
                      <w:color w:val="auto"/>
                      <w:szCs w:val="21"/>
                    </w:rPr>
                    <w:t>项目建设条件</w:t>
                  </w:r>
                </w:p>
              </w:tc>
              <w:tc>
                <w:tcPr>
                  <w:tcW w:w="465" w:type="pct"/>
                  <w:vAlign w:val="center"/>
                </w:tcPr>
                <w:p>
                  <w:pPr>
                    <w:snapToGrid w:val="0"/>
                    <w:jc w:val="center"/>
                    <w:rPr>
                      <w:rFonts w:hint="eastAsia"/>
                      <w:b/>
                      <w:color w:val="auto"/>
                      <w:szCs w:val="21"/>
                    </w:rPr>
                  </w:pPr>
                  <w:r>
                    <w:rPr>
                      <w:rFonts w:hint="eastAsia"/>
                      <w:b/>
                      <w:color w:val="auto"/>
                      <w:szCs w:val="21"/>
                    </w:rPr>
                    <w:t>相符性</w:t>
                  </w:r>
                </w:p>
              </w:tc>
            </w:tr>
            <w:tr>
              <w:trPr>
                <w:cantSplit/>
                <w:trHeight w:val="318"/>
              </w:trPr>
              <w:tc>
                <w:tcPr>
                  <w:tcW w:w="513" w:type="pct"/>
                  <w:vAlign w:val="center"/>
                </w:tcPr>
                <w:p>
                  <w:pPr>
                    <w:adjustRightInd w:val="0"/>
                    <w:snapToGrid w:val="0"/>
                    <w:jc w:val="center"/>
                    <w:rPr>
                      <w:rFonts w:ascii="Times New Roman" w:eastAsia="宋体" w:cs="Times New Roman" w:hAnsi="Times New Roman" w:hint="eastAsia"/>
                      <w:color w:val="auto"/>
                      <w:highlight w:val="none"/>
                    </w:rPr>
                  </w:pPr>
                  <w:r>
                    <w:rPr>
                      <w:rFonts w:cs="Times New Roman" w:hint="eastAsia"/>
                      <w:color w:val="auto"/>
                      <w:lang w:eastAsia="zh-CN"/>
                      <w:highlight w:val="none"/>
                    </w:rPr>
                    <w:t>安装范围和内容</w:t>
                  </w:r>
                </w:p>
              </w:tc>
              <w:tc>
                <w:tcPr>
                  <w:tcW w:w="2214" w:type="pct"/>
                </w:tcPr>
                <w:p>
                  <w:pPr>
                    <w:adjustRightInd w:val="0"/>
                    <w:snapToGrid w:val="0"/>
                    <w:jc w:val="both"/>
                    <w:rPr>
                      <w:rFonts w:ascii="Times New Roman" w:eastAsia="宋体" w:cs="Times New Roman" w:hAnsi="Times New Roman"/>
                      <w:color w:val="auto"/>
                      <w:highlight w:val="none"/>
                    </w:rPr>
                  </w:pPr>
                  <w:r>
                    <w:rPr>
                      <w:rFonts w:ascii="Times New Roman" w:eastAsia="宋体" w:cs="Times New Roman" w:hAnsi="Times New Roman"/>
                      <w:color w:val="auto"/>
                      <w:lang w:val="en-US" w:eastAsia="zh-CN"/>
                      <w:highlight w:val="none"/>
                    </w:rPr>
                    <w:t xml:space="preserve">一、安装范围 </w:t>
                  </w:r>
                </w:p>
                <w:p>
                  <w:pPr>
                    <w:adjustRightInd w:val="0"/>
                    <w:snapToGrid w:val="0"/>
                    <w:jc w:val="both"/>
                    <w:rPr>
                      <w:rFonts w:ascii="Times New Roman" w:eastAsia="宋体" w:cs="Times New Roman" w:hAnsi="Times New Roman"/>
                      <w:color w:val="auto"/>
                      <w:highlight w:val="none"/>
                    </w:rPr>
                  </w:pPr>
                  <w:r>
                    <w:rPr>
                      <w:rFonts w:ascii="Times New Roman" w:eastAsia="宋体" w:cs="Times New Roman" w:hAnsi="Times New Roman"/>
                      <w:color w:val="auto"/>
                      <w:lang w:val="en-US" w:eastAsia="zh-CN"/>
                      <w:highlight w:val="none"/>
                    </w:rPr>
                    <w:t>全省所有危险废物 （</w:t>
                  </w:r>
                  <w:r>
                    <w:rPr>
                      <w:rFonts w:ascii="Times New Roman" w:eastAsia="宋体" w:cs="Times New Roman" w:hAnsi="Times New Roman" w:hint="eastAsia"/>
                      <w:color w:val="auto"/>
                      <w:lang w:val="en-US" w:eastAsia="zh-CN"/>
                      <w:highlight w:val="none"/>
                    </w:rPr>
                    <w:t>不含医疗废物</w:t>
                  </w:r>
                  <w:r>
                    <w:rPr>
                      <w:rFonts w:ascii="Times New Roman" w:eastAsia="宋体" w:cs="Times New Roman" w:hAnsi="Times New Roman"/>
                      <w:color w:val="auto"/>
                      <w:lang w:val="en-US" w:eastAsia="zh-CN"/>
                      <w:highlight w:val="none"/>
                    </w:rPr>
                    <w:t>）</w:t>
                  </w:r>
                  <w:r>
                    <w:rPr>
                      <w:rFonts w:ascii="Times New Roman" w:eastAsia="宋体" w:cs="Times New Roman" w:hAnsi="Times New Roman" w:hint="eastAsia"/>
                      <w:color w:val="auto"/>
                      <w:lang w:val="en-US" w:eastAsia="zh-CN"/>
                      <w:highlight w:val="none"/>
                    </w:rPr>
                    <w:t>重点产废单位</w:t>
                  </w:r>
                  <w:r>
                    <w:rPr>
                      <w:rFonts w:ascii="Times New Roman" w:eastAsia="宋体" w:cs="Times New Roman" w:hAnsi="Times New Roman"/>
                      <w:color w:val="auto"/>
                      <w:lang w:val="en-US" w:eastAsia="zh-CN"/>
                      <w:highlight w:val="none"/>
                    </w:rPr>
                    <w:t>（</w:t>
                  </w:r>
                  <w:r>
                    <w:rPr>
                      <w:rFonts w:ascii="Times New Roman" w:eastAsia="宋体" w:cs="Times New Roman" w:hAnsi="Times New Roman" w:hint="eastAsia"/>
                      <w:color w:val="auto"/>
                      <w:lang w:val="en-US" w:eastAsia="zh-CN"/>
                      <w:highlight w:val="none"/>
                    </w:rPr>
                    <w:t>年产</w:t>
                  </w:r>
                  <w:r>
                    <w:rPr>
                      <w:rFonts w:ascii="Times New Roman" w:eastAsia="宋体" w:cs="Times New Roman" w:hAnsi="Times New Roman"/>
                      <w:color w:val="auto"/>
                      <w:lang w:val="en-US" w:eastAsia="zh-CN"/>
                      <w:highlight w:val="none"/>
                    </w:rPr>
                    <w:t>100</w:t>
                  </w:r>
                  <w:r>
                    <w:rPr>
                      <w:rFonts w:ascii="Times New Roman" w:eastAsia="宋体" w:cs="Times New Roman" w:hAnsi="Times New Roman" w:hint="eastAsia"/>
                      <w:color w:val="auto"/>
                      <w:lang w:val="en-US" w:eastAsia="zh-CN"/>
                      <w:highlight w:val="none"/>
                    </w:rPr>
                    <w:t>吨以上危险废物</w:t>
                  </w:r>
                  <w:r>
                    <w:rPr>
                      <w:rFonts w:ascii="Times New Roman" w:eastAsia="宋体" w:cs="Times New Roman" w:hAnsi="Times New Roman"/>
                      <w:color w:val="auto"/>
                      <w:lang w:val="en-US" w:eastAsia="zh-CN"/>
                      <w:highlight w:val="none"/>
                    </w:rPr>
                    <w:t>）、</w:t>
                  </w:r>
                  <w:r>
                    <w:rPr>
                      <w:rFonts w:ascii="Times New Roman" w:eastAsia="宋体" w:cs="Times New Roman" w:hAnsi="Times New Roman" w:hint="eastAsia"/>
                      <w:color w:val="auto"/>
                      <w:lang w:val="en-US" w:eastAsia="zh-CN"/>
                      <w:highlight w:val="none"/>
                    </w:rPr>
                    <w:t>自行利用处置危险废物单位</w:t>
                  </w:r>
                  <w:r>
                    <w:rPr>
                      <w:rFonts w:cs="Times New Roman" w:hint="eastAsia"/>
                      <w:color w:val="auto"/>
                      <w:lang w:val="en-US" w:eastAsia="zh-CN"/>
                      <w:highlight w:val="none"/>
                    </w:rPr>
                    <w:t>；</w:t>
                  </w:r>
                  <w:r>
                    <w:rPr>
                      <w:rFonts w:ascii="Times New Roman" w:eastAsia="宋体" w:cs="Times New Roman" w:hAnsi="Times New Roman" w:hint="eastAsia"/>
                      <w:color w:val="auto"/>
                      <w:lang w:val="en-US" w:eastAsia="zh-CN"/>
                      <w:highlight w:val="none"/>
                    </w:rPr>
                    <w:t xml:space="preserve">全省所有危险废物 </w:t>
                  </w:r>
                  <w:r>
                    <w:rPr>
                      <w:rFonts w:ascii="Times New Roman" w:eastAsia="宋体" w:cs="Times New Roman" w:hAnsi="Times New Roman"/>
                      <w:color w:val="auto"/>
                      <w:lang w:val="en-US" w:eastAsia="zh-CN"/>
                      <w:highlight w:val="none"/>
                    </w:rPr>
                    <w:t>（</w:t>
                  </w:r>
                  <w:r>
                    <w:rPr>
                      <w:rFonts w:ascii="Times New Roman" w:eastAsia="宋体" w:cs="Times New Roman" w:hAnsi="Times New Roman" w:hint="eastAsia"/>
                      <w:color w:val="auto"/>
                      <w:lang w:val="en-US" w:eastAsia="zh-CN"/>
                      <w:highlight w:val="none"/>
                    </w:rPr>
                    <w:t>不含医疗废物</w:t>
                  </w:r>
                  <w:r>
                    <w:rPr>
                      <w:rFonts w:ascii="Times New Roman" w:eastAsia="宋体" w:cs="Times New Roman" w:hAnsi="Times New Roman"/>
                      <w:color w:val="auto"/>
                      <w:lang w:val="en-US" w:eastAsia="zh-CN"/>
                      <w:highlight w:val="none"/>
                    </w:rPr>
                    <w:t>)</w:t>
                  </w:r>
                  <w:r>
                    <w:rPr>
                      <w:rFonts w:ascii="Times New Roman" w:eastAsia="宋体" w:cs="Times New Roman" w:hAnsi="Times New Roman" w:hint="eastAsia"/>
                      <w:color w:val="auto"/>
                      <w:lang w:val="en-US" w:eastAsia="zh-CN"/>
                      <w:highlight w:val="none"/>
                    </w:rPr>
                    <w:t xml:space="preserve">经营单位 </w:t>
                  </w:r>
                  <w:r>
                    <w:rPr>
                      <w:rFonts w:ascii="Times New Roman" w:eastAsia="宋体" w:cs="Times New Roman" w:hAnsi="Times New Roman"/>
                      <w:color w:val="auto"/>
                      <w:lang w:val="en-US" w:eastAsia="zh-CN"/>
                      <w:highlight w:val="none"/>
                    </w:rPr>
                    <w:t>(</w:t>
                  </w:r>
                  <w:r>
                    <w:rPr>
                      <w:rFonts w:ascii="Times New Roman" w:eastAsia="宋体" w:cs="Times New Roman" w:hAnsi="Times New Roman" w:hint="eastAsia"/>
                      <w:color w:val="auto"/>
                      <w:lang w:val="en-US" w:eastAsia="zh-CN"/>
                      <w:highlight w:val="none"/>
                    </w:rPr>
                    <w:t>含收集单位</w:t>
                  </w:r>
                  <w:r>
                    <w:rPr>
                      <w:rFonts w:ascii="Times New Roman" w:eastAsia="宋体" w:cs="Times New Roman" w:hAnsi="Times New Roman"/>
                      <w:color w:val="auto"/>
                      <w:lang w:val="en-US" w:eastAsia="zh-CN"/>
                      <w:highlight w:val="none"/>
                    </w:rPr>
                    <w:t>）</w:t>
                  </w:r>
                  <w:r>
                    <w:rPr>
                      <w:rFonts w:cs="Times New Roman" w:hint="eastAsia"/>
                      <w:color w:val="auto"/>
                      <w:lang w:val="en-US" w:eastAsia="zh-CN"/>
                      <w:highlight w:val="none"/>
                    </w:rPr>
                    <w:t>，</w:t>
                  </w:r>
                  <w:r>
                    <w:rPr>
                      <w:rFonts w:ascii="Times New Roman" w:eastAsia="宋体" w:cs="Times New Roman" w:hAnsi="Times New Roman" w:hint="eastAsia"/>
                      <w:color w:val="auto"/>
                      <w:lang w:val="en-US" w:eastAsia="zh-CN"/>
                      <w:highlight w:val="none"/>
                    </w:rPr>
                    <w:t>及符合豁免管理规定的危险废物处置</w:t>
                  </w:r>
                  <w:r>
                    <w:rPr>
                      <w:rFonts w:ascii="Times New Roman" w:eastAsia="宋体" w:cs="Times New Roman" w:hAnsi="Times New Roman"/>
                      <w:color w:val="auto"/>
                      <w:lang w:val="en-US" w:eastAsia="zh-CN"/>
                      <w:highlight w:val="none"/>
                    </w:rPr>
                    <w:t>、</w:t>
                  </w:r>
                  <w:r>
                    <w:rPr>
                      <w:rFonts w:ascii="Times New Roman" w:eastAsia="宋体" w:cs="Times New Roman" w:hAnsi="Times New Roman" w:hint="eastAsia"/>
                      <w:color w:val="auto"/>
                      <w:lang w:val="en-US" w:eastAsia="zh-CN"/>
                      <w:highlight w:val="none"/>
                    </w:rPr>
                    <w:t xml:space="preserve">利用单位 </w:t>
                  </w:r>
                  <w:r>
                    <w:rPr>
                      <w:rFonts w:ascii="Times New Roman" w:eastAsia="宋体" w:cs="Times New Roman" w:hAnsi="Times New Roman"/>
                      <w:color w:val="auto"/>
                      <w:lang w:val="en-US" w:eastAsia="zh-CN"/>
                      <w:highlight w:val="none"/>
                    </w:rPr>
                    <w:t>（</w:t>
                  </w:r>
                  <w:r>
                    <w:rPr>
                      <w:rFonts w:ascii="Times New Roman" w:eastAsia="宋体" w:cs="Times New Roman" w:hAnsi="Times New Roman" w:hint="eastAsia"/>
                      <w:color w:val="auto"/>
                      <w:lang w:val="en-US" w:eastAsia="zh-CN"/>
                      <w:highlight w:val="none"/>
                    </w:rPr>
                    <w:t>以下简称豁免管理经营单位</w:t>
                  </w:r>
                  <w:r>
                    <w:rPr>
                      <w:rFonts w:ascii="Times New Roman" w:eastAsia="宋体" w:cs="Times New Roman" w:hAnsi="Times New Roman"/>
                      <w:color w:val="auto"/>
                      <w:lang w:val="en-US" w:eastAsia="zh-CN"/>
                      <w:highlight w:val="none"/>
                    </w:rPr>
                    <w:t>）。</w:t>
                  </w:r>
                </w:p>
                <w:p>
                  <w:pPr>
                    <w:adjustRightInd w:val="0"/>
                    <w:snapToGrid w:val="0"/>
                    <w:jc w:val="both"/>
                    <w:rPr>
                      <w:rFonts w:ascii="Times New Roman" w:eastAsia="宋体" w:cs="Times New Roman" w:hAnsi="Times New Roman"/>
                      <w:color w:val="auto"/>
                      <w:highlight w:val="none"/>
                    </w:rPr>
                  </w:pPr>
                  <w:r>
                    <w:rPr>
                      <w:rFonts w:ascii="Times New Roman" w:eastAsia="宋体" w:cs="Times New Roman" w:hAnsi="Times New Roman"/>
                      <w:color w:val="auto"/>
                      <w:lang w:val="en-US" w:eastAsia="zh-CN"/>
                      <w:highlight w:val="none"/>
                    </w:rPr>
                    <w:t xml:space="preserve">二、安装内容 </w:t>
                  </w:r>
                </w:p>
                <w:p>
                  <w:pPr>
                    <w:adjustRightInd w:val="0"/>
                    <w:snapToGrid w:val="0"/>
                    <w:jc w:val="both"/>
                    <w:rPr>
                      <w:rFonts w:ascii="Times New Roman" w:eastAsia="宋体" w:cs="Times New Roman" w:hAnsi="Times New Roman" w:hint="eastAsia"/>
                      <w:color w:val="auto"/>
                      <w:highlight w:val="none"/>
                    </w:rPr>
                  </w:pPr>
                  <w:r>
                    <w:rPr>
                      <w:rFonts w:ascii="Times New Roman" w:eastAsia="宋体" w:cs="Times New Roman" w:hAnsi="Times New Roman" w:hint="eastAsia"/>
                      <w:color w:val="auto"/>
                      <w:lang w:val="en-US" w:eastAsia="zh-CN"/>
                      <w:highlight w:val="none"/>
                    </w:rPr>
                    <w:t>在重点产废单位的产生</w:t>
                  </w:r>
                  <w:r>
                    <w:rPr>
                      <w:rFonts w:ascii="Times New Roman" w:eastAsia="宋体" w:cs="Times New Roman" w:hAnsi="Times New Roman"/>
                      <w:color w:val="auto"/>
                      <w:lang w:val="en-US" w:eastAsia="zh-CN"/>
                      <w:highlight w:val="none"/>
                    </w:rPr>
                    <w:t>、</w:t>
                  </w:r>
                  <w:r>
                    <w:rPr>
                      <w:rFonts w:ascii="Times New Roman" w:eastAsia="宋体" w:cs="Times New Roman" w:hAnsi="Times New Roman" w:hint="eastAsia"/>
                      <w:color w:val="auto"/>
                      <w:lang w:val="en-US" w:eastAsia="zh-CN"/>
                      <w:highlight w:val="none"/>
                    </w:rPr>
                    <w:t>贮存</w:t>
                  </w:r>
                  <w:r>
                    <w:rPr>
                      <w:rFonts w:ascii="Times New Roman" w:eastAsia="宋体" w:cs="Times New Roman" w:hAnsi="Times New Roman"/>
                      <w:color w:val="auto"/>
                      <w:lang w:val="en-US" w:eastAsia="zh-CN"/>
                      <w:highlight w:val="none"/>
                    </w:rPr>
                    <w:t>、</w:t>
                  </w:r>
                  <w:r>
                    <w:rPr>
                      <w:rFonts w:ascii="Times New Roman" w:eastAsia="宋体" w:cs="Times New Roman" w:hAnsi="Times New Roman" w:hint="eastAsia"/>
                      <w:color w:val="auto"/>
                      <w:lang w:val="en-US" w:eastAsia="zh-CN"/>
                      <w:highlight w:val="none"/>
                    </w:rPr>
                    <w:t>物流通道等重点部位</w:t>
                  </w:r>
                  <w:r>
                    <w:rPr>
                      <w:rFonts w:cs="Times New Roman" w:hint="eastAsia"/>
                      <w:color w:val="auto"/>
                      <w:lang w:val="en-US" w:eastAsia="zh-CN"/>
                      <w:highlight w:val="none"/>
                    </w:rPr>
                    <w:t>，</w:t>
                  </w:r>
                  <w:r>
                    <w:rPr>
                      <w:rFonts w:ascii="Times New Roman" w:eastAsia="宋体" w:cs="Times New Roman" w:hAnsi="Times New Roman" w:hint="eastAsia"/>
                      <w:color w:val="auto"/>
                      <w:lang w:val="en-US" w:eastAsia="zh-CN"/>
                      <w:highlight w:val="none"/>
                    </w:rPr>
                    <w:t xml:space="preserve">以及经营单位 </w:t>
                  </w:r>
                  <w:r>
                    <w:rPr>
                      <w:rFonts w:ascii="Times New Roman" w:eastAsia="宋体" w:cs="Times New Roman" w:hAnsi="Times New Roman"/>
                      <w:color w:val="auto"/>
                      <w:lang w:val="en-US" w:eastAsia="zh-CN"/>
                      <w:highlight w:val="none"/>
                    </w:rPr>
                    <w:t>（</w:t>
                  </w:r>
                  <w:r>
                    <w:rPr>
                      <w:rFonts w:ascii="Times New Roman" w:eastAsia="宋体" w:cs="Times New Roman" w:hAnsi="Times New Roman" w:hint="eastAsia"/>
                      <w:color w:val="auto"/>
                      <w:lang w:val="en-US" w:eastAsia="zh-CN"/>
                      <w:highlight w:val="none"/>
                    </w:rPr>
                    <w:t>含收集单位</w:t>
                  </w:r>
                  <w:r>
                    <w:rPr>
                      <w:rFonts w:ascii="Times New Roman" w:eastAsia="宋体" w:cs="Times New Roman" w:hAnsi="Times New Roman"/>
                      <w:color w:val="auto"/>
                      <w:lang w:val="en-US" w:eastAsia="zh-CN"/>
                      <w:highlight w:val="none"/>
                    </w:rPr>
                    <w:t>)、</w:t>
                  </w:r>
                  <w:r>
                    <w:rPr>
                      <w:rFonts w:ascii="Times New Roman" w:eastAsia="宋体" w:cs="Times New Roman" w:hAnsi="Times New Roman" w:hint="eastAsia"/>
                      <w:color w:val="auto"/>
                      <w:lang w:val="en-US" w:eastAsia="zh-CN"/>
                      <w:highlight w:val="none"/>
                    </w:rPr>
                    <w:t>自行利用处置单位和豁免管理经营单位的人车通道</w:t>
                  </w:r>
                  <w:r>
                    <w:rPr>
                      <w:rFonts w:ascii="Times New Roman" w:eastAsia="宋体" w:cs="Times New Roman" w:hAnsi="Times New Roman"/>
                      <w:color w:val="auto"/>
                      <w:lang w:val="en-US" w:eastAsia="zh-CN"/>
                      <w:highlight w:val="none"/>
                    </w:rPr>
                    <w:t>、</w:t>
                  </w:r>
                  <w:r>
                    <w:rPr>
                      <w:rFonts w:ascii="Times New Roman" w:eastAsia="宋体" w:cs="Times New Roman" w:hAnsi="Times New Roman" w:hint="eastAsia"/>
                      <w:color w:val="auto"/>
                      <w:lang w:val="en-US" w:eastAsia="zh-CN"/>
                      <w:highlight w:val="none"/>
                    </w:rPr>
                    <w:t>贮存设施</w:t>
                  </w:r>
                  <w:r>
                    <w:rPr>
                      <w:rFonts w:ascii="Times New Roman" w:eastAsia="宋体" w:cs="Times New Roman" w:hAnsi="Times New Roman"/>
                      <w:color w:val="auto"/>
                      <w:lang w:val="en-US" w:eastAsia="zh-CN"/>
                      <w:highlight w:val="none"/>
                    </w:rPr>
                    <w:t>、</w:t>
                  </w:r>
                  <w:r>
                    <w:rPr>
                      <w:rFonts w:ascii="Times New Roman" w:eastAsia="宋体" w:cs="Times New Roman" w:hAnsi="Times New Roman" w:hint="eastAsia"/>
                      <w:color w:val="auto"/>
                      <w:lang w:val="en-US" w:eastAsia="zh-CN"/>
                      <w:highlight w:val="none"/>
                    </w:rPr>
                    <w:t>经营设施和污染物排放口等重点部位</w:t>
                  </w:r>
                  <w:r>
                    <w:rPr>
                      <w:rFonts w:cs="Times New Roman" w:hint="eastAsia"/>
                      <w:color w:val="auto"/>
                      <w:lang w:val="en-US" w:eastAsia="zh-CN"/>
                      <w:highlight w:val="none"/>
                    </w:rPr>
                    <w:t>，</w:t>
                  </w:r>
                  <w:r>
                    <w:rPr>
                      <w:rFonts w:ascii="Times New Roman" w:eastAsia="宋体" w:cs="Times New Roman" w:hAnsi="Times New Roman" w:hint="eastAsia"/>
                      <w:color w:val="auto"/>
                      <w:lang w:val="en-US" w:eastAsia="zh-CN"/>
                      <w:highlight w:val="none"/>
                    </w:rPr>
                    <w:t>安装视频监控</w:t>
                  </w:r>
                  <w:r>
                    <w:rPr>
                      <w:rFonts w:ascii="Times New Roman" w:eastAsia="宋体" w:cs="Times New Roman" w:hAnsi="Times New Roman"/>
                      <w:color w:val="auto"/>
                      <w:lang w:val="en-US" w:eastAsia="zh-CN"/>
                      <w:highlight w:val="none"/>
                    </w:rPr>
                    <w:t>、</w:t>
                  </w:r>
                  <w:r>
                    <w:rPr>
                      <w:rFonts w:ascii="Times New Roman" w:eastAsia="宋体" w:cs="Times New Roman" w:hAnsi="Times New Roman" w:hint="eastAsia"/>
                      <w:color w:val="auto"/>
                      <w:lang w:val="en-US" w:eastAsia="zh-CN"/>
                      <w:highlight w:val="none"/>
                    </w:rPr>
                    <w:t>智能地磅</w:t>
                  </w:r>
                  <w:r>
                    <w:rPr>
                      <w:rFonts w:ascii="Times New Roman" w:eastAsia="宋体" w:cs="Times New Roman" w:hAnsi="Times New Roman"/>
                      <w:color w:val="auto"/>
                      <w:lang w:val="en-US" w:eastAsia="zh-CN"/>
                      <w:highlight w:val="none"/>
                    </w:rPr>
                    <w:t>、</w:t>
                  </w:r>
                  <w:r>
                    <w:rPr>
                      <w:rFonts w:ascii="Times New Roman" w:eastAsia="宋体" w:cs="Times New Roman" w:hAnsi="Times New Roman" w:hint="eastAsia"/>
                      <w:color w:val="auto"/>
                      <w:lang w:val="en-US" w:eastAsia="zh-CN"/>
                      <w:highlight w:val="none"/>
                    </w:rPr>
                    <w:t>电子液位计等设备</w:t>
                  </w:r>
                  <w:r>
                    <w:rPr>
                      <w:rFonts w:cs="Times New Roman" w:hint="eastAsia"/>
                      <w:color w:val="auto"/>
                      <w:lang w:val="en-US" w:eastAsia="zh-CN"/>
                      <w:highlight w:val="none"/>
                    </w:rPr>
                    <w:t>，</w:t>
                  </w:r>
                  <w:r>
                    <w:rPr>
                      <w:rFonts w:ascii="Times New Roman" w:eastAsia="宋体" w:cs="Times New Roman" w:hAnsi="Times New Roman" w:hint="eastAsia"/>
                      <w:color w:val="auto"/>
                      <w:lang w:val="en-US" w:eastAsia="zh-CN"/>
                      <w:highlight w:val="none"/>
                    </w:rPr>
                    <w:t>集成视频</w:t>
                  </w:r>
                  <w:r>
                    <w:rPr>
                      <w:rFonts w:ascii="Times New Roman" w:eastAsia="宋体" w:cs="Times New Roman" w:hAnsi="Times New Roman"/>
                      <w:color w:val="auto"/>
                      <w:lang w:val="en-US" w:eastAsia="zh-CN"/>
                      <w:highlight w:val="none"/>
                    </w:rPr>
                    <w:t>、</w:t>
                  </w:r>
                  <w:r>
                    <w:rPr>
                      <w:rFonts w:ascii="Times New Roman" w:eastAsia="宋体" w:cs="Times New Roman" w:hAnsi="Times New Roman" w:hint="eastAsia"/>
                      <w:color w:val="auto"/>
                      <w:lang w:val="en-US" w:eastAsia="zh-CN"/>
                      <w:highlight w:val="none"/>
                    </w:rPr>
                    <w:t>称重</w:t>
                  </w:r>
                  <w:r>
                    <w:rPr>
                      <w:rFonts w:ascii="Times New Roman" w:eastAsia="宋体" w:cs="Times New Roman" w:hAnsi="Times New Roman"/>
                      <w:color w:val="auto"/>
                      <w:lang w:val="en-US" w:eastAsia="zh-CN"/>
                      <w:highlight w:val="none"/>
                    </w:rPr>
                    <w:t>、</w:t>
                  </w:r>
                  <w:r>
                    <w:rPr>
                      <w:rFonts w:ascii="Times New Roman" w:eastAsia="宋体" w:cs="Times New Roman" w:hAnsi="Times New Roman" w:hint="eastAsia"/>
                      <w:color w:val="auto"/>
                      <w:lang w:val="en-US" w:eastAsia="zh-CN"/>
                      <w:highlight w:val="none"/>
                    </w:rPr>
                    <w:t>贮存</w:t>
                  </w:r>
                  <w:r>
                    <w:rPr>
                      <w:rFonts w:ascii="Times New Roman" w:eastAsia="宋体" w:cs="Times New Roman" w:hAnsi="Times New Roman"/>
                      <w:color w:val="auto"/>
                      <w:lang w:val="en-US" w:eastAsia="zh-CN"/>
                      <w:highlight w:val="none"/>
                    </w:rPr>
                    <w:t>、</w:t>
                  </w:r>
                  <w:r>
                    <w:rPr>
                      <w:rFonts w:ascii="Times New Roman" w:eastAsia="宋体" w:cs="Times New Roman" w:hAnsi="Times New Roman" w:hint="eastAsia"/>
                      <w:color w:val="auto"/>
                      <w:lang w:val="en-US" w:eastAsia="zh-CN"/>
                      <w:highlight w:val="none"/>
                    </w:rPr>
                    <w:t>工况和排放等数据</w:t>
                  </w:r>
                  <w:r>
                    <w:rPr>
                      <w:rFonts w:cs="Times New Roman" w:hint="eastAsia"/>
                      <w:color w:val="auto"/>
                      <w:lang w:val="en-US" w:eastAsia="zh-CN"/>
                      <w:highlight w:val="none"/>
                    </w:rPr>
                    <w:t>，</w:t>
                  </w:r>
                  <w:r>
                    <w:rPr>
                      <w:rFonts w:ascii="Times New Roman" w:eastAsia="宋体" w:cs="Times New Roman" w:hAnsi="Times New Roman" w:hint="eastAsia"/>
                      <w:color w:val="auto"/>
                      <w:lang w:val="en-US" w:eastAsia="zh-CN"/>
                      <w:highlight w:val="none"/>
                    </w:rPr>
                    <w:t xml:space="preserve">将有关数据实时传输至河北省固体废物动态管理信息平台 </w:t>
                  </w:r>
                  <w:r>
                    <w:rPr>
                      <w:rFonts w:ascii="Times New Roman" w:eastAsia="宋体" w:cs="Times New Roman" w:hAnsi="Times New Roman"/>
                      <w:color w:val="auto"/>
                      <w:lang w:val="en-US" w:eastAsia="zh-CN"/>
                      <w:highlight w:val="none"/>
                    </w:rPr>
                    <w:t>（</w:t>
                  </w:r>
                  <w:r>
                    <w:rPr>
                      <w:rFonts w:ascii="Times New Roman" w:eastAsia="宋体" w:cs="Times New Roman" w:hAnsi="Times New Roman" w:hint="eastAsia"/>
                      <w:color w:val="auto"/>
                      <w:lang w:val="en-US" w:eastAsia="zh-CN"/>
                      <w:highlight w:val="none"/>
                    </w:rPr>
                    <w:t>以下简称省固废平台</w:t>
                  </w:r>
                  <w:r>
                    <w:rPr>
                      <w:rFonts w:ascii="Times New Roman" w:eastAsia="宋体" w:cs="Times New Roman" w:hAnsi="Times New Roman"/>
                      <w:color w:val="auto"/>
                      <w:lang w:val="en-US" w:eastAsia="zh-CN"/>
                      <w:highlight w:val="none"/>
                    </w:rPr>
                    <w:t>）。</w:t>
                  </w:r>
                  <w:r>
                    <w:rPr>
                      <w:rFonts w:ascii="Times New Roman" w:eastAsia="宋体" w:cs="Times New Roman" w:hAnsi="Times New Roman" w:hint="eastAsia"/>
                      <w:color w:val="auto"/>
                      <w:lang w:val="en-US" w:eastAsia="zh-CN"/>
                      <w:highlight w:val="none"/>
                    </w:rPr>
                    <w:t>其中</w:t>
                  </w:r>
                  <w:r>
                    <w:rPr>
                      <w:rFonts w:cs="Times New Roman" w:hint="eastAsia"/>
                      <w:color w:val="auto"/>
                      <w:lang w:val="en-US" w:eastAsia="zh-CN"/>
                      <w:highlight w:val="none"/>
                    </w:rPr>
                    <w:t>，</w:t>
                  </w:r>
                  <w:r>
                    <w:rPr>
                      <w:rFonts w:ascii="Times New Roman" w:eastAsia="宋体" w:cs="Times New Roman" w:hAnsi="Times New Roman" w:hint="eastAsia"/>
                      <w:color w:val="auto"/>
                      <w:lang w:val="en-US" w:eastAsia="zh-CN"/>
                      <w:highlight w:val="none"/>
                    </w:rPr>
                    <w:t>视频数据通过市级环保部门的全省环保专网上传至省固废平台</w:t>
                  </w:r>
                  <w:r>
                    <w:rPr>
                      <w:rFonts w:cs="Times New Roman"/>
                      <w:color w:val="auto"/>
                      <w:lang w:eastAsia="zh-CN"/>
                      <w:highlight w:val="none"/>
                    </w:rPr>
                    <w:t>。</w:t>
                  </w:r>
                </w:p>
              </w:tc>
              <w:tc>
                <w:tcPr>
                  <w:tcW w:w="1807" w:type="pct"/>
                </w:tcPr>
                <w:p>
                  <w:pPr>
                    <w:adjustRightInd w:val="0"/>
                    <w:snapToGrid w:val="0"/>
                    <w:jc w:val="both"/>
                    <w:rPr>
                      <w:rFonts w:ascii="Times New Roman" w:eastAsia="宋体" w:cs="Times New Roman" w:hAnsi="Times New Roman" w:hint="eastAsia"/>
                      <w:color w:val="auto"/>
                      <w:highlight w:val="none"/>
                    </w:rPr>
                  </w:pPr>
                  <w:r>
                    <w:rPr>
                      <w:rFonts w:ascii="Times New Roman" w:eastAsia="宋体" w:cs="Times New Roman" w:hAnsi="Times New Roman"/>
                      <w:color w:val="auto"/>
                      <w:highlight w:val="none"/>
                    </w:rPr>
                    <w:t>本项目</w:t>
                  </w:r>
                  <w:r>
                    <w:rPr>
                      <w:rFonts w:cs="Times New Roman" w:hint="eastAsia"/>
                      <w:color w:val="auto"/>
                      <w:lang w:eastAsia="zh-CN"/>
                      <w:highlight w:val="none"/>
                    </w:rPr>
                    <w:t>在</w:t>
                  </w:r>
                  <w:r>
                    <w:rPr>
                      <w:rFonts w:ascii="Times New Roman" w:eastAsia="宋体" w:cs="Times New Roman" w:hAnsi="Times New Roman" w:hint="eastAsia"/>
                      <w:color w:val="auto"/>
                      <w:lang w:val="en-US" w:eastAsia="zh-CN"/>
                      <w:highlight w:val="none"/>
                    </w:rPr>
                    <w:t>人车通道</w:t>
                  </w:r>
                  <w:r>
                    <w:rPr>
                      <w:rFonts w:ascii="Times New Roman" w:eastAsia="宋体" w:cs="Times New Roman" w:hAnsi="Times New Roman"/>
                      <w:color w:val="auto"/>
                      <w:lang w:val="en-US" w:eastAsia="zh-CN"/>
                      <w:highlight w:val="none"/>
                    </w:rPr>
                    <w:t>、</w:t>
                  </w:r>
                  <w:r>
                    <w:rPr>
                      <w:rFonts w:ascii="Times New Roman" w:eastAsia="宋体" w:cs="Times New Roman" w:hAnsi="Times New Roman" w:hint="eastAsia"/>
                      <w:color w:val="auto"/>
                      <w:lang w:val="en-US" w:eastAsia="zh-CN"/>
                      <w:highlight w:val="none"/>
                    </w:rPr>
                    <w:t>贮存设施</w:t>
                  </w:r>
                  <w:r>
                    <w:rPr>
                      <w:rFonts w:ascii="Times New Roman" w:eastAsia="宋体" w:cs="Times New Roman" w:hAnsi="Times New Roman"/>
                      <w:color w:val="auto"/>
                      <w:lang w:val="en-US" w:eastAsia="zh-CN"/>
                      <w:highlight w:val="none"/>
                    </w:rPr>
                    <w:t>、</w:t>
                  </w:r>
                  <w:r>
                    <w:rPr>
                      <w:rFonts w:ascii="Times New Roman" w:eastAsia="宋体" w:cs="Times New Roman" w:hAnsi="Times New Roman" w:hint="eastAsia"/>
                      <w:color w:val="auto"/>
                      <w:lang w:val="en-US" w:eastAsia="zh-CN"/>
                      <w:highlight w:val="none"/>
                    </w:rPr>
                    <w:t>经营设施和污染物排放口等重点部位</w:t>
                  </w:r>
                  <w:r>
                    <w:rPr>
                      <w:rFonts w:cs="Times New Roman" w:hint="eastAsia"/>
                      <w:color w:val="auto"/>
                      <w:lang w:val="en-US" w:eastAsia="zh-CN"/>
                      <w:highlight w:val="none"/>
                    </w:rPr>
                    <w:t>，</w:t>
                  </w:r>
                  <w:r>
                    <w:rPr>
                      <w:rFonts w:ascii="Times New Roman" w:eastAsia="宋体" w:cs="Times New Roman" w:hAnsi="Times New Roman" w:hint="eastAsia"/>
                      <w:color w:val="auto"/>
                      <w:lang w:val="en-US" w:eastAsia="zh-CN"/>
                      <w:highlight w:val="none"/>
                    </w:rPr>
                    <w:t>安装视频监控</w:t>
                  </w:r>
                  <w:r>
                    <w:rPr>
                      <w:rFonts w:ascii="Times New Roman" w:eastAsia="宋体" w:cs="Times New Roman" w:hAnsi="Times New Roman"/>
                      <w:color w:val="auto"/>
                      <w:lang w:val="en-US" w:eastAsia="zh-CN"/>
                      <w:highlight w:val="none"/>
                    </w:rPr>
                    <w:t>、</w:t>
                  </w:r>
                  <w:r>
                    <w:rPr>
                      <w:rFonts w:ascii="Times New Roman" w:eastAsia="宋体" w:cs="Times New Roman" w:hAnsi="Times New Roman" w:hint="eastAsia"/>
                      <w:color w:val="auto"/>
                      <w:lang w:val="en-US" w:eastAsia="zh-CN"/>
                      <w:highlight w:val="none"/>
                    </w:rPr>
                    <w:t>智能地磅</w:t>
                  </w:r>
                  <w:r>
                    <w:rPr>
                      <w:rFonts w:ascii="Times New Roman" w:eastAsia="宋体" w:cs="Times New Roman" w:hAnsi="Times New Roman"/>
                      <w:color w:val="auto"/>
                      <w:lang w:val="en-US" w:eastAsia="zh-CN"/>
                      <w:highlight w:val="none"/>
                    </w:rPr>
                    <w:t>、</w:t>
                  </w:r>
                  <w:r>
                    <w:rPr>
                      <w:rFonts w:ascii="Times New Roman" w:eastAsia="宋体" w:cs="Times New Roman" w:hAnsi="Times New Roman" w:hint="eastAsia"/>
                      <w:color w:val="auto"/>
                      <w:lang w:val="en-US" w:eastAsia="zh-CN"/>
                      <w:highlight w:val="none"/>
                    </w:rPr>
                    <w:t>电子液位计等设备</w:t>
                  </w:r>
                  <w:r>
                    <w:rPr>
                      <w:rFonts w:cs="Times New Roman" w:hint="eastAsia"/>
                      <w:color w:val="auto"/>
                      <w:lang w:val="en-US" w:eastAsia="zh-CN"/>
                      <w:highlight w:val="none"/>
                    </w:rPr>
                    <w:t>，</w:t>
                  </w:r>
                  <w:r>
                    <w:rPr>
                      <w:rFonts w:ascii="Times New Roman" w:eastAsia="宋体" w:cs="Times New Roman" w:hAnsi="Times New Roman" w:hint="eastAsia"/>
                      <w:color w:val="auto"/>
                      <w:lang w:val="en-US" w:eastAsia="zh-CN"/>
                      <w:highlight w:val="none"/>
                    </w:rPr>
                    <w:t>集成视频</w:t>
                  </w:r>
                  <w:r>
                    <w:rPr>
                      <w:rFonts w:ascii="Times New Roman" w:eastAsia="宋体" w:cs="Times New Roman" w:hAnsi="Times New Roman"/>
                      <w:color w:val="auto"/>
                      <w:lang w:val="en-US" w:eastAsia="zh-CN"/>
                      <w:highlight w:val="none"/>
                    </w:rPr>
                    <w:t>、</w:t>
                  </w:r>
                  <w:r>
                    <w:rPr>
                      <w:rFonts w:ascii="Times New Roman" w:eastAsia="宋体" w:cs="Times New Roman" w:hAnsi="Times New Roman" w:hint="eastAsia"/>
                      <w:color w:val="auto"/>
                      <w:lang w:val="en-US" w:eastAsia="zh-CN"/>
                      <w:highlight w:val="none"/>
                    </w:rPr>
                    <w:t>称重</w:t>
                  </w:r>
                  <w:r>
                    <w:rPr>
                      <w:rFonts w:ascii="Times New Roman" w:eastAsia="宋体" w:cs="Times New Roman" w:hAnsi="Times New Roman"/>
                      <w:color w:val="auto"/>
                      <w:lang w:val="en-US" w:eastAsia="zh-CN"/>
                      <w:highlight w:val="none"/>
                    </w:rPr>
                    <w:t>、</w:t>
                  </w:r>
                  <w:r>
                    <w:rPr>
                      <w:rFonts w:ascii="Times New Roman" w:eastAsia="宋体" w:cs="Times New Roman" w:hAnsi="Times New Roman" w:hint="eastAsia"/>
                      <w:color w:val="auto"/>
                      <w:lang w:val="en-US" w:eastAsia="zh-CN"/>
                      <w:highlight w:val="none"/>
                    </w:rPr>
                    <w:t>贮存</w:t>
                  </w:r>
                  <w:r>
                    <w:rPr>
                      <w:rFonts w:ascii="Times New Roman" w:eastAsia="宋体" w:cs="Times New Roman" w:hAnsi="Times New Roman"/>
                      <w:color w:val="auto"/>
                      <w:lang w:val="en-US" w:eastAsia="zh-CN"/>
                      <w:highlight w:val="none"/>
                    </w:rPr>
                    <w:t>、</w:t>
                  </w:r>
                  <w:r>
                    <w:rPr>
                      <w:rFonts w:ascii="Times New Roman" w:eastAsia="宋体" w:cs="Times New Roman" w:hAnsi="Times New Roman" w:hint="eastAsia"/>
                      <w:color w:val="auto"/>
                      <w:lang w:val="en-US" w:eastAsia="zh-CN"/>
                      <w:highlight w:val="none"/>
                    </w:rPr>
                    <w:t>工况和排放等数据</w:t>
                  </w:r>
                  <w:r>
                    <w:rPr>
                      <w:rFonts w:ascii="Times New Roman" w:eastAsia="宋体" w:cs="Times New Roman" w:hAnsi="Times New Roman"/>
                      <w:color w:val="auto"/>
                      <w:highlight w:val="none"/>
                    </w:rPr>
                    <w:t>。</w:t>
                  </w:r>
                </w:p>
              </w:tc>
              <w:tc>
                <w:tcPr>
                  <w:tcW w:w="465" w:type="pct"/>
                  <w:vAlign w:val="center"/>
                </w:tcPr>
                <w:p>
                  <w:pPr>
                    <w:adjustRightInd w:val="0"/>
                    <w:snapToGrid w:val="0"/>
                    <w:jc w:val="both"/>
                    <w:rPr>
                      <w:rFonts w:ascii="Times New Roman" w:eastAsia="宋体" w:cs="Times New Roman" w:hAnsi="Times New Roman" w:hint="eastAsia"/>
                      <w:color w:val="auto"/>
                      <w:highlight w:val="none"/>
                    </w:rPr>
                  </w:pPr>
                  <w:r>
                    <w:rPr>
                      <w:rFonts w:ascii="Times New Roman" w:eastAsia="宋体" w:cs="Times New Roman" w:hAnsi="Times New Roman"/>
                      <w:color w:val="auto"/>
                      <w:highlight w:val="none"/>
                    </w:rPr>
                    <w:t>符合</w:t>
                  </w:r>
                </w:p>
              </w:tc>
            </w:tr>
          </w:tbl>
          <w:p>
            <w:pPr>
              <w:pStyle w:val="69"/>
              <w:spacing w:line="360" w:lineRule="auto"/>
              <w:ind w:left="122" w:firstLine="473"/>
              <w:rPr>
                <w:rFonts w:ascii="Times New Roman" w:eastAsia="宋体" w:cs="Times New Roman" w:hAnsi="Times New Roman"/>
                <w:color w:val="auto"/>
                <w:kern w:val="2"/>
                <w:sz w:val="24"/>
                <w:szCs w:val="24"/>
                <w:lang w:val="en-US" w:eastAsia="zh-CN" w:bidi="ar-SA"/>
                <w:highlight w:val="none"/>
              </w:rPr>
            </w:pPr>
            <w:r>
              <w:rPr>
                <w:rFonts w:ascii="Times New Roman" w:eastAsia="宋体" w:cs="Times New Roman" w:hAnsi="Times New Roman" w:hint="eastAsia"/>
                <w:color w:val="auto"/>
                <w:kern w:val="2"/>
                <w:sz w:val="24"/>
                <w:szCs w:val="24"/>
                <w:lang w:val="en-US" w:eastAsia="zh-CN" w:bidi="ar-SA"/>
                <w:highlight w:val="none"/>
              </w:rPr>
              <w:t>（</w:t>
            </w:r>
            <w:r>
              <w:rPr>
                <w:rFonts w:ascii="Times New Roman" w:cs="Times New Roman" w:hAnsi="Times New Roman" w:hint="eastAsia"/>
                <w:color w:val="auto"/>
                <w:kern w:val="2"/>
                <w:sz w:val="24"/>
                <w:szCs w:val="24"/>
                <w:lang w:val="en-US" w:eastAsia="zh-CN" w:bidi="ar-SA"/>
                <w:highlight w:val="none"/>
              </w:rPr>
              <w:t>8</w:t>
            </w:r>
            <w:r>
              <w:rPr>
                <w:rFonts w:ascii="Times New Roman" w:eastAsia="宋体" w:cs="Times New Roman" w:hAnsi="Times New Roman" w:hint="eastAsia"/>
                <w:color w:val="auto"/>
                <w:kern w:val="2"/>
                <w:sz w:val="24"/>
                <w:szCs w:val="24"/>
                <w:lang w:val="en-US" w:eastAsia="zh-CN" w:bidi="ar-SA"/>
                <w:highlight w:val="none"/>
              </w:rPr>
              <w:t>）与《河北省废铅蓄电池污染专项整治工作方案》（冀土领办[2019]1号）的符合性分析</w:t>
            </w:r>
          </w:p>
          <w:p>
            <w:pPr>
              <w:ind w:firstLineChars="200" w:firstLine="480"/>
              <w:jc w:val="center"/>
              <w:rPr>
                <w:rFonts w:ascii="Times New Roman" w:eastAsia="宋体" w:cs="Times New Roman" w:hAnsi="Times New Roman" w:hint="eastAsia"/>
                <w:b/>
                <w:bCs/>
                <w:color w:val="auto"/>
                <w:sz w:val="24"/>
                <w:highlight w:val="none"/>
              </w:rPr>
            </w:pPr>
            <w:r>
              <w:rPr>
                <w:rFonts w:ascii="Times New Roman" w:eastAsia="宋体" w:cs="Times New Roman" w:hAnsi="Times New Roman" w:hint="eastAsia"/>
                <w:b/>
                <w:bCs/>
                <w:color w:val="auto"/>
                <w:sz w:val="24"/>
                <w:highlight w:val="none"/>
              </w:rPr>
              <w:t>表1-</w:t>
            </w:r>
            <w:r>
              <w:rPr>
                <w:rFonts w:cs="Times New Roman" w:hint="eastAsia"/>
                <w:b/>
                <w:bCs/>
                <w:color w:val="auto"/>
                <w:sz w:val="24"/>
                <w:lang w:val="en-US" w:eastAsia="zh-CN"/>
                <w:highlight w:val="none"/>
              </w:rPr>
              <w:t>21</w:t>
            </w:r>
            <w:r>
              <w:rPr>
                <w:rFonts w:ascii="Times New Roman" w:eastAsia="宋体" w:cs="Times New Roman" w:hAnsi="Times New Roman" w:hint="eastAsia"/>
                <w:b/>
                <w:bCs/>
                <w:color w:val="auto"/>
                <w:sz w:val="24"/>
                <w:highlight w:val="none"/>
              </w:rPr>
              <w:t xml:space="preserve">  与《河北省废铅蓄电池污染专项整治工作方案》</w:t>
            </w:r>
            <w:r>
              <w:rPr>
                <w:rFonts w:ascii="Times New Roman" w:eastAsia="宋体" w:cs="Times New Roman" w:hAnsi="Times New Roman" w:hint="eastAsia"/>
                <w:color w:val="auto"/>
                <w:kern w:val="2"/>
                <w:sz w:val="24"/>
                <w:szCs w:val="24"/>
                <w:lang w:val="en-US" w:eastAsia="zh-CN" w:bidi="ar-SA"/>
                <w:highlight w:val="none"/>
              </w:rPr>
              <w:t>（</w:t>
            </w:r>
            <w:r>
              <w:rPr>
                <w:rFonts w:ascii="Times New Roman" w:eastAsia="宋体" w:cs="Times New Roman" w:hAnsi="Times New Roman" w:hint="eastAsia"/>
                <w:b/>
                <w:bCs/>
                <w:color w:val="auto"/>
                <w:sz w:val="24"/>
                <w:highlight w:val="none"/>
              </w:rPr>
              <w:t>冀土领办[2019]1号</w:t>
            </w:r>
            <w:r>
              <w:rPr>
                <w:rFonts w:ascii="Times New Roman" w:eastAsia="宋体" w:cs="Times New Roman" w:hAnsi="Times New Roman" w:hint="eastAsia"/>
                <w:color w:val="auto"/>
                <w:kern w:val="2"/>
                <w:sz w:val="24"/>
                <w:szCs w:val="24"/>
                <w:lang w:val="en-US" w:eastAsia="zh-CN" w:bidi="ar-SA"/>
                <w:highlight w:val="none"/>
              </w:rPr>
              <w:t>）</w:t>
            </w:r>
            <w:r>
              <w:rPr>
                <w:rFonts w:ascii="Times New Roman" w:eastAsia="宋体" w:cs="Times New Roman" w:hAnsi="Times New Roman" w:hint="eastAsia"/>
                <w:b/>
                <w:bCs/>
                <w:color w:val="auto"/>
                <w:sz w:val="24"/>
                <w:highlight w:val="none"/>
              </w:rPr>
              <w:t>符合性分析一览表</w:t>
            </w:r>
          </w:p>
          <w:tbl>
            <w:tblPr>
              <w:jc w:val="center"/>
              <w:tblW w:w="4998" w:type="pct"/>
              <w:tblBorders>
                <w:top w:val="single" w:sz="12" w:space="0" w:color="auto"/>
                <w:left w:val="none" w:sz="0" w:space="0" w:color="auto"/>
                <w:bottom w:val="single" w:sz="12" w:space="0" w:color="auto"/>
                <w:right w:val="none" w:sz="0" w:space="0" w:color="auto"/>
                <w:insideH w:val="single" w:sz="4" w:space="0" w:color="auto"/>
                <w:insideV w:val="single" w:sz="4" w:space="0" w:color="auto"/>
              </w:tblBorders>
              <w:tblCellMar>
                <w:top w:w="0" w:type="dxa"/>
                <w:left w:w="108" w:type="dxa"/>
                <w:bottom w:w="0" w:type="dxa"/>
                <w:right w:w="108" w:type="dxa"/>
              </w:tblCellMar>
              <w:tblLook w:val="0600" w:firstRow="0" w:lastRow="0" w:firstColumn="0" w:lastColumn="0" w:noHBand="1" w:noVBand="1"/>
            </w:tblPr>
            <w:tblGrid>
              <w:gridCol w:w="780"/>
              <w:gridCol w:w="3365"/>
              <w:gridCol w:w="2746"/>
              <w:gridCol w:w="707"/>
            </w:tblGrid>
            <w:tr>
              <w:trPr>
                <w:cantSplit/>
                <w:trHeight w:val="318"/>
                <w:tblHeader/>
              </w:trPr>
              <w:tc>
                <w:tcPr>
                  <w:tcW w:w="513" w:type="pct"/>
                  <w:vAlign w:val="center"/>
                </w:tcPr>
                <w:p>
                  <w:pPr>
                    <w:snapToGrid w:val="0"/>
                    <w:jc w:val="center"/>
                    <w:rPr>
                      <w:rFonts w:hint="eastAsia"/>
                      <w:b/>
                      <w:color w:val="auto"/>
                      <w:szCs w:val="21"/>
                    </w:rPr>
                  </w:pPr>
                  <w:r>
                    <w:rPr>
                      <w:rFonts w:hint="eastAsia"/>
                      <w:b/>
                      <w:color w:val="auto"/>
                      <w:szCs w:val="21"/>
                    </w:rPr>
                    <w:t>项目</w:t>
                  </w:r>
                </w:p>
              </w:tc>
              <w:tc>
                <w:tcPr>
                  <w:tcW w:w="2214" w:type="pct"/>
                  <w:vAlign w:val="center"/>
                </w:tcPr>
                <w:p>
                  <w:pPr>
                    <w:snapToGrid w:val="0"/>
                    <w:jc w:val="center"/>
                    <w:rPr>
                      <w:rFonts w:hint="eastAsia"/>
                      <w:b/>
                      <w:color w:val="auto"/>
                      <w:szCs w:val="21"/>
                    </w:rPr>
                  </w:pPr>
                  <w:r>
                    <w:rPr>
                      <w:rFonts w:hint="eastAsia"/>
                      <w:b/>
                      <w:color w:val="auto"/>
                      <w:szCs w:val="21"/>
                    </w:rPr>
                    <w:t>规范要求</w:t>
                  </w:r>
                </w:p>
              </w:tc>
              <w:tc>
                <w:tcPr>
                  <w:tcW w:w="1807" w:type="pct"/>
                  <w:vAlign w:val="center"/>
                </w:tcPr>
                <w:p>
                  <w:pPr>
                    <w:snapToGrid w:val="0"/>
                    <w:jc w:val="center"/>
                    <w:rPr>
                      <w:rFonts w:hint="eastAsia"/>
                      <w:b/>
                      <w:color w:val="auto"/>
                      <w:szCs w:val="21"/>
                    </w:rPr>
                  </w:pPr>
                  <w:r>
                    <w:rPr>
                      <w:rFonts w:hint="eastAsia"/>
                      <w:b/>
                      <w:color w:val="auto"/>
                      <w:szCs w:val="21"/>
                    </w:rPr>
                    <w:t>项目建设条件</w:t>
                  </w:r>
                </w:p>
              </w:tc>
              <w:tc>
                <w:tcPr>
                  <w:tcW w:w="465" w:type="pct"/>
                  <w:vAlign w:val="center"/>
                </w:tcPr>
                <w:p>
                  <w:pPr>
                    <w:snapToGrid w:val="0"/>
                    <w:jc w:val="center"/>
                    <w:rPr>
                      <w:rFonts w:hint="eastAsia"/>
                      <w:b/>
                      <w:color w:val="auto"/>
                      <w:szCs w:val="21"/>
                    </w:rPr>
                  </w:pPr>
                  <w:r>
                    <w:rPr>
                      <w:rFonts w:hint="eastAsia"/>
                      <w:b/>
                      <w:color w:val="auto"/>
                      <w:szCs w:val="21"/>
                    </w:rPr>
                    <w:t>相符性</w:t>
                  </w:r>
                </w:p>
              </w:tc>
            </w:tr>
            <w:tr>
              <w:trPr>
                <w:cantSplit/>
                <w:trHeight w:val="318"/>
              </w:trPr>
              <w:tc>
                <w:tcPr>
                  <w:tcW w:w="513" w:type="pct"/>
                  <w:vAlign w:val="center"/>
                </w:tcPr>
                <w:p>
                  <w:pPr>
                    <w:adjustRightInd w:val="0"/>
                    <w:snapToGrid w:val="0"/>
                    <w:jc w:val="center"/>
                    <w:rPr>
                      <w:rFonts w:cs="Times New Roman" w:hint="eastAsia"/>
                      <w:color w:val="auto"/>
                      <w:lang w:eastAsia="zh-CN"/>
                      <w:highlight w:val="none"/>
                    </w:rPr>
                  </w:pPr>
                  <w:r>
                    <w:rPr>
                      <w:rFonts w:ascii="Times New Roman" w:eastAsia="宋体" w:cs="Times New Roman" w:hAnsi="Times New Roman" w:hint="eastAsia"/>
                      <w:color w:val="auto"/>
                      <w:highlight w:val="none"/>
                    </w:rPr>
                    <w:t>暂存点建设要求</w:t>
                  </w:r>
                </w:p>
              </w:tc>
              <w:tc>
                <w:tcPr>
                  <w:tcW w:w="2214" w:type="pct"/>
                </w:tcPr>
                <w:p>
                  <w:pPr>
                    <w:adjustRightInd w:val="0"/>
                    <w:snapToGrid w:val="0"/>
                    <w:jc w:val="both"/>
                    <w:rPr>
                      <w:rFonts w:ascii="Times New Roman" w:eastAsia="宋体" w:cs="Times New Roman" w:hAnsi="Times New Roman" w:hint="eastAsia"/>
                      <w:color w:val="auto"/>
                      <w:highlight w:val="none"/>
                    </w:rPr>
                  </w:pPr>
                  <w:r>
                    <w:rPr>
                      <w:rFonts w:ascii="Times New Roman" w:eastAsia="宋体" w:cs="Times New Roman" w:hAnsi="Times New Roman" w:hint="eastAsia"/>
                      <w:color w:val="auto"/>
                      <w:highlight w:val="none"/>
                    </w:rPr>
                    <w:t>暂存点可以全省各区县销售门店为依托，选择具备条件的经销网点建设，用于临时存储废铅蓄电池。暂存点应符合以下要求：</w:t>
                  </w:r>
                </w:p>
                <w:p>
                  <w:pPr>
                    <w:adjustRightInd w:val="0"/>
                    <w:snapToGrid w:val="0"/>
                    <w:jc w:val="both"/>
                    <w:rPr>
                      <w:rFonts w:ascii="Times New Roman" w:eastAsia="宋体" w:cs="Times New Roman" w:hAnsi="Times New Roman" w:hint="eastAsia"/>
                      <w:color w:val="auto"/>
                      <w:highlight w:val="none"/>
                    </w:rPr>
                  </w:pPr>
                  <w:r>
                    <w:rPr>
                      <w:rFonts w:ascii="Times New Roman" w:eastAsia="宋体" w:cs="Times New Roman" w:hAnsi="Times New Roman" w:hint="eastAsia"/>
                      <w:color w:val="auto"/>
                      <w:highlight w:val="none"/>
                    </w:rPr>
                    <w:t>1.暂存点具备独立集中场地和足够贮存空间，不低于30平米。</w:t>
                  </w:r>
                </w:p>
                <w:p>
                  <w:pPr>
                    <w:adjustRightInd w:val="0"/>
                    <w:snapToGrid w:val="0"/>
                    <w:jc w:val="both"/>
                    <w:rPr>
                      <w:rFonts w:ascii="Times New Roman" w:eastAsia="宋体" w:cs="Times New Roman" w:hAnsi="Times New Roman" w:hint="eastAsia"/>
                      <w:color w:val="auto"/>
                      <w:highlight w:val="none"/>
                    </w:rPr>
                  </w:pPr>
                  <w:r>
                    <w:rPr>
                      <w:rFonts w:ascii="Times New Roman" w:eastAsia="宋体" w:cs="Times New Roman" w:hAnsi="Times New Roman" w:hint="eastAsia"/>
                      <w:color w:val="auto"/>
                      <w:highlight w:val="none"/>
                    </w:rPr>
                    <w:t>2.按GB15562.2规定设立警示标志，非专业人员禁入。</w:t>
                  </w:r>
                </w:p>
                <w:p>
                  <w:pPr>
                    <w:adjustRightInd w:val="0"/>
                    <w:snapToGrid w:val="0"/>
                    <w:jc w:val="both"/>
                    <w:rPr>
                      <w:rFonts w:ascii="Times New Roman" w:eastAsia="宋体" w:cs="Times New Roman" w:hAnsi="Times New Roman" w:hint="eastAsia"/>
                      <w:color w:val="auto"/>
                      <w:highlight w:val="none"/>
                    </w:rPr>
                  </w:pPr>
                  <w:r>
                    <w:rPr>
                      <w:rFonts w:ascii="Times New Roman" w:eastAsia="宋体" w:cs="Times New Roman" w:hAnsi="Times New Roman" w:hint="eastAsia"/>
                      <w:color w:val="auto"/>
                      <w:highlight w:val="none"/>
                    </w:rPr>
                    <w:t>3.地面进行耐酸防渗处理。</w:t>
                  </w:r>
                </w:p>
                <w:p>
                  <w:pPr>
                    <w:adjustRightInd w:val="0"/>
                    <w:snapToGrid w:val="0"/>
                    <w:jc w:val="both"/>
                    <w:rPr>
                      <w:rFonts w:ascii="Times New Roman" w:eastAsia="宋体" w:cs="Times New Roman" w:hAnsi="Times New Roman" w:hint="eastAsia"/>
                      <w:color w:val="auto"/>
                      <w:highlight w:val="none"/>
                    </w:rPr>
                  </w:pPr>
                  <w:r>
                    <w:rPr>
                      <w:rFonts w:ascii="Times New Roman" w:eastAsia="宋体" w:cs="Times New Roman" w:hAnsi="Times New Roman" w:hint="eastAsia"/>
                      <w:color w:val="auto"/>
                      <w:highlight w:val="none"/>
                    </w:rPr>
                    <w:t>4.配备相应废铅蓄电池存放装置及废酸液收集装置。</w:t>
                  </w:r>
                </w:p>
                <w:p>
                  <w:pPr>
                    <w:adjustRightInd w:val="0"/>
                    <w:snapToGrid w:val="0"/>
                    <w:jc w:val="both"/>
                    <w:rPr>
                      <w:rFonts w:ascii="Times New Roman" w:eastAsia="宋体" w:cs="Times New Roman" w:hAnsi="Times New Roman" w:hint="eastAsia"/>
                      <w:color w:val="auto"/>
                      <w:highlight w:val="none"/>
                    </w:rPr>
                  </w:pPr>
                  <w:r>
                    <w:rPr>
                      <w:rFonts w:ascii="Times New Roman" w:eastAsia="宋体" w:cs="Times New Roman" w:hAnsi="Times New Roman" w:hint="eastAsia"/>
                      <w:color w:val="auto"/>
                      <w:highlight w:val="none"/>
                    </w:rPr>
                    <w:t>5.应防雨，配备防火设施并设置防火标志，具备视频监控设备。</w:t>
                  </w:r>
                </w:p>
                <w:p>
                  <w:pPr>
                    <w:adjustRightInd w:val="0"/>
                    <w:snapToGrid w:val="0"/>
                    <w:jc w:val="both"/>
                    <w:rPr>
                      <w:rFonts w:ascii="Times New Roman" w:eastAsia="宋体" w:cs="Times New Roman" w:hAnsi="Times New Roman" w:hint="eastAsia"/>
                      <w:color w:val="auto"/>
                      <w:highlight w:val="none"/>
                    </w:rPr>
                  </w:pPr>
                  <w:r>
                    <w:rPr>
                      <w:rFonts w:ascii="Times New Roman" w:eastAsia="宋体" w:cs="Times New Roman" w:hAnsi="Times New Roman" w:hint="eastAsia"/>
                      <w:color w:val="auto"/>
                      <w:highlight w:val="none"/>
                    </w:rPr>
                    <w:t>6.作业人员配备防酸工作服等个人防护装备。</w:t>
                  </w:r>
                </w:p>
                <w:p>
                  <w:pPr>
                    <w:adjustRightInd w:val="0"/>
                    <w:snapToGrid w:val="0"/>
                    <w:jc w:val="both"/>
                    <w:rPr>
                      <w:rFonts w:ascii="Times New Roman" w:eastAsia="宋体" w:cs="Times New Roman" w:hAnsi="Times New Roman" w:hint="eastAsia"/>
                      <w:color w:val="auto"/>
                      <w:highlight w:val="none"/>
                    </w:rPr>
                  </w:pPr>
                  <w:r>
                    <w:rPr>
                      <w:rFonts w:ascii="Times New Roman" w:eastAsia="宋体" w:cs="Times New Roman" w:hAnsi="Times New Roman" w:hint="eastAsia"/>
                      <w:color w:val="auto"/>
                      <w:highlight w:val="none"/>
                    </w:rPr>
                    <w:t>7.有完整出入库记录、台账等资料，并至少保存1年。</w:t>
                  </w:r>
                </w:p>
                <w:p>
                  <w:pPr>
                    <w:adjustRightInd w:val="0"/>
                    <w:snapToGrid w:val="0"/>
                    <w:jc w:val="both"/>
                    <w:rPr>
                      <w:rFonts w:ascii="Times New Roman" w:eastAsia="宋体" w:cs="Times New Roman" w:hAnsi="Times New Roman" w:hint="eastAsia"/>
                      <w:color w:val="auto"/>
                      <w:highlight w:val="none"/>
                    </w:rPr>
                  </w:pPr>
                  <w:r>
                    <w:rPr>
                      <w:rFonts w:ascii="Times New Roman" w:eastAsia="宋体" w:cs="Times New Roman" w:hAnsi="Times New Roman" w:hint="eastAsia"/>
                      <w:color w:val="auto"/>
                      <w:highlight w:val="none"/>
                    </w:rPr>
                    <w:t>8.暂存量不超过3吨，暂存时间不超过7天。</w:t>
                  </w:r>
                </w:p>
              </w:tc>
              <w:tc>
                <w:tcPr>
                  <w:tcW w:w="1807" w:type="pct"/>
                </w:tcPr>
                <w:p>
                  <w:pPr>
                    <w:adjustRightInd w:val="0"/>
                    <w:snapToGrid w:val="0"/>
                    <w:jc w:val="both"/>
                    <w:rPr>
                      <w:rFonts w:ascii="Times New Roman" w:eastAsia="宋体" w:cs="Times New Roman" w:hAnsi="Times New Roman"/>
                      <w:color w:val="auto"/>
                      <w:lang w:val="en-US" w:eastAsia="zh-CN"/>
                      <w:highlight w:val="none"/>
                    </w:rPr>
                  </w:pPr>
                  <w:r>
                    <w:rPr>
                      <w:rFonts w:cs="Times New Roman" w:hint="eastAsia"/>
                      <w:color w:val="auto"/>
                      <w:lang w:eastAsia="zh-CN"/>
                      <w:highlight w:val="none"/>
                    </w:rPr>
                    <w:t>本项目贮存面积为</w:t>
                  </w:r>
                  <w:r>
                    <w:rPr>
                      <w:rFonts w:cs="Times New Roman" w:hint="eastAsia"/>
                      <w:color w:val="auto"/>
                      <w:lang w:val="en-US" w:eastAsia="zh-CN"/>
                      <w:highlight w:val="none"/>
                    </w:rPr>
                    <w:t>1140m</w:t>
                  </w:r>
                  <w:r>
                    <w:rPr>
                      <w:rFonts w:cs="Times New Roman" w:hint="eastAsia"/>
                      <w:color w:val="auto"/>
                      <w:vertAlign w:val="superscript"/>
                      <w:lang w:val="en-US" w:eastAsia="zh-CN"/>
                      <w:highlight w:val="none"/>
                    </w:rPr>
                    <w:t>2</w:t>
                  </w:r>
                  <w:r>
                    <w:rPr>
                      <w:rFonts w:cs="Times New Roman" w:hint="eastAsia"/>
                      <w:color w:val="auto"/>
                      <w:lang w:val="en-US" w:eastAsia="zh-CN"/>
                      <w:highlight w:val="none"/>
                    </w:rPr>
                    <w:t>，满足不低于30m</w:t>
                  </w:r>
                  <w:r>
                    <w:rPr>
                      <w:rFonts w:cs="Times New Roman" w:hint="eastAsia"/>
                      <w:color w:val="auto"/>
                      <w:vertAlign w:val="superscript"/>
                      <w:lang w:val="en-US" w:eastAsia="zh-CN"/>
                      <w:highlight w:val="none"/>
                    </w:rPr>
                    <w:t>2</w:t>
                  </w:r>
                  <w:r>
                    <w:rPr>
                      <w:rFonts w:cs="Times New Roman" w:hint="eastAsia"/>
                      <w:color w:val="auto"/>
                      <w:lang w:val="en-US" w:eastAsia="zh-CN"/>
                      <w:highlight w:val="none"/>
                    </w:rPr>
                    <w:t xml:space="preserve"> 的要求。同时按照</w:t>
                  </w:r>
                  <w:r>
                    <w:rPr>
                      <w:rFonts w:ascii="Times New Roman" w:eastAsia="宋体" w:cs="Times New Roman" w:hAnsi="Times New Roman" w:hint="eastAsia"/>
                      <w:color w:val="auto"/>
                      <w:highlight w:val="none"/>
                    </w:rPr>
                    <w:t>GB15562.2规定设立警示标志，非专业人员禁入</w:t>
                  </w:r>
                  <w:r>
                    <w:rPr>
                      <w:rFonts w:cs="Times New Roman" w:hint="eastAsia"/>
                      <w:color w:val="auto"/>
                      <w:lang w:eastAsia="zh-CN"/>
                      <w:highlight w:val="none"/>
                    </w:rPr>
                    <w:t>。地面采取了防渗措施，配备了废酸收集系统。贮存区位于库房内，具备防雨条件，配备防火设施和防火标志，安装监控系统。本项目</w:t>
                  </w:r>
                  <w:r>
                    <w:rPr>
                      <w:rFonts w:ascii="Times New Roman" w:eastAsia="宋体" w:cs="Times New Roman" w:hAnsi="Times New Roman" w:hint="eastAsia"/>
                      <w:color w:val="auto"/>
                      <w:highlight w:val="none"/>
                    </w:rPr>
                    <w:t>作业人员配备防酸工作服等个人防护装备。有完整出入库记录、台账等资料，并至少保存1年。暂存量不超过3吨，暂存时间不超过7天。</w:t>
                  </w:r>
                </w:p>
              </w:tc>
              <w:tc>
                <w:tcPr>
                  <w:tcW w:w="465" w:type="pct"/>
                  <w:vAlign w:val="center"/>
                </w:tcPr>
                <w:p>
                  <w:pPr>
                    <w:adjustRightInd w:val="0"/>
                    <w:snapToGrid w:val="0"/>
                    <w:jc w:val="both"/>
                    <w:rPr>
                      <w:rFonts w:ascii="Times New Roman" w:eastAsia="宋体" w:cs="Times New Roman" w:hAnsi="Times New Roman" w:hint="eastAsia"/>
                      <w:color w:val="auto"/>
                      <w:lang w:eastAsia="zh-CN"/>
                      <w:highlight w:val="none"/>
                    </w:rPr>
                  </w:pPr>
                  <w:r>
                    <w:rPr>
                      <w:rFonts w:cs="Times New Roman" w:hint="eastAsia"/>
                      <w:color w:val="auto"/>
                      <w:lang w:eastAsia="zh-CN"/>
                      <w:highlight w:val="none"/>
                    </w:rPr>
                    <w:t>符合</w:t>
                  </w:r>
                </w:p>
              </w:tc>
            </w:tr>
            <w:tr>
              <w:trPr>
                <w:cantSplit/>
                <w:trHeight w:val="318"/>
              </w:trPr>
              <w:tc>
                <w:tcPr>
                  <w:tcW w:w="513" w:type="pct"/>
                  <w:vAlign w:val="center"/>
                </w:tcPr>
                <w:p>
                  <w:pPr>
                    <w:adjustRightInd w:val="0"/>
                    <w:snapToGrid w:val="0"/>
                    <w:jc w:val="center"/>
                    <w:rPr>
                      <w:rFonts w:cs="Times New Roman" w:hint="eastAsia"/>
                      <w:color w:val="auto"/>
                      <w:lang w:eastAsia="zh-CN"/>
                      <w:highlight w:val="none"/>
                    </w:rPr>
                  </w:pPr>
                  <w:r>
                    <w:rPr>
                      <w:rFonts w:cs="Times New Roman" w:hint="eastAsia"/>
                      <w:color w:val="auto"/>
                      <w:lang w:eastAsia="zh-CN"/>
                      <w:highlight w:val="none"/>
                    </w:rPr>
                    <w:t>运输车辆及信息平台</w:t>
                  </w:r>
                </w:p>
              </w:tc>
              <w:tc>
                <w:tcPr>
                  <w:tcW w:w="2214" w:type="pct"/>
                </w:tcPr>
                <w:p>
                  <w:pPr>
                    <w:adjustRightInd w:val="0"/>
                    <w:snapToGrid w:val="0"/>
                    <w:jc w:val="both"/>
                    <w:rPr>
                      <w:rFonts w:ascii="Times New Roman" w:eastAsia="宋体" w:cs="Times New Roman" w:hAnsi="Times New Roman" w:hint="eastAsia"/>
                      <w:color w:val="auto"/>
                      <w:highlight w:val="none"/>
                    </w:rPr>
                  </w:pPr>
                  <w:r>
                    <w:rPr>
                      <w:rFonts w:ascii="Times New Roman" w:eastAsia="宋体" w:cs="Times New Roman" w:hAnsi="Times New Roman" w:hint="eastAsia"/>
                      <w:color w:val="auto"/>
                      <w:highlight w:val="none"/>
                    </w:rPr>
                    <w:t>五、运输车辆</w:t>
                  </w:r>
                </w:p>
                <w:p>
                  <w:pPr>
                    <w:adjustRightInd w:val="0"/>
                    <w:snapToGrid w:val="0"/>
                    <w:jc w:val="both"/>
                    <w:rPr>
                      <w:rFonts w:ascii="Times New Roman" w:eastAsia="宋体" w:cs="Times New Roman" w:hAnsi="Times New Roman" w:hint="eastAsia"/>
                      <w:color w:val="auto"/>
                      <w:highlight w:val="none"/>
                    </w:rPr>
                  </w:pPr>
                  <w:r>
                    <w:rPr>
                      <w:rFonts w:ascii="Times New Roman" w:eastAsia="宋体" w:cs="Times New Roman" w:hAnsi="Times New Roman" w:hint="eastAsia"/>
                      <w:color w:val="auto"/>
                      <w:highlight w:val="none"/>
                    </w:rPr>
                    <w:t>回收网点实行日产日清。从销售网点到暂存点，以及从暂存点到收集站的运输车辆实行豁免管理。试点单位必须购买车辆建立自己的运输车队，负责站点之间的运输。运输车辆达到防风、防雨、防腐、防渗、防流失等要求。</w:t>
                  </w:r>
                </w:p>
                <w:p>
                  <w:pPr>
                    <w:adjustRightInd w:val="0"/>
                    <w:snapToGrid w:val="0"/>
                    <w:jc w:val="both"/>
                    <w:rPr>
                      <w:rFonts w:ascii="Times New Roman" w:eastAsia="宋体" w:cs="Times New Roman" w:hAnsi="Times New Roman" w:hint="eastAsia"/>
                      <w:color w:val="auto"/>
                      <w:highlight w:val="none"/>
                    </w:rPr>
                  </w:pPr>
                  <w:bookmarkStart w:id="16" w:name="_Toc12381"/>
                  <w:bookmarkStart w:id="17" w:name="_Toc11603"/>
                  <w:bookmarkStart w:id="18" w:name="_Toc493239855"/>
                  <w:bookmarkStart w:id="19" w:name="_Toc20890"/>
                  <w:bookmarkStart w:id="20" w:name="_Toc13999"/>
                  <w:bookmarkStart w:id="21" w:name="_Toc25018"/>
                  <w:bookmarkStart w:id="22" w:name="_Toc18941"/>
                  <w:bookmarkStart w:id="23" w:name="_Toc7044"/>
                  <w:bookmarkStart w:id="24" w:name="_Toc493239427"/>
                  <w:bookmarkStart w:id="25" w:name="_Toc508094559"/>
                  <w:bookmarkStart w:id="26" w:name="_Toc13195"/>
                  <w:bookmarkStart w:id="27" w:name="_Toc507764124"/>
                  <w:bookmarkStart w:id="28" w:name="_Toc20408"/>
                  <w:bookmarkStart w:id="29" w:name="_Toc493409073"/>
                  <w:bookmarkStart w:id="30" w:name="_Toc25841"/>
                  <w:bookmarkStart w:id="31" w:name="_Toc493242396"/>
                  <w:r>
                    <w:rPr>
                      <w:rFonts w:ascii="Times New Roman" w:eastAsia="宋体" w:cs="Times New Roman" w:hAnsi="Times New Roman" w:hint="eastAsia"/>
                      <w:color w:val="auto"/>
                      <w:highlight w:val="none"/>
                    </w:rPr>
                    <w:t>六、信息平台建设</w:t>
                  </w:r>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p>
                <w:p>
                  <w:pPr>
                    <w:adjustRightInd w:val="0"/>
                    <w:snapToGrid w:val="0"/>
                    <w:jc w:val="both"/>
                    <w:rPr>
                      <w:rFonts w:ascii="Times New Roman" w:eastAsia="宋体" w:cs="Times New Roman" w:hAnsi="Times New Roman" w:hint="eastAsia"/>
                      <w:color w:val="auto"/>
                      <w:highlight w:val="none"/>
                    </w:rPr>
                  </w:pPr>
                  <w:r>
                    <w:rPr>
                      <w:rFonts w:ascii="Times New Roman" w:eastAsia="宋体" w:cs="Times New Roman" w:hAnsi="Times New Roman" w:hint="eastAsia"/>
                      <w:color w:val="auto"/>
                      <w:highlight w:val="none"/>
                    </w:rPr>
                    <w:t>各收集试点单位的收集站应按照原省环保厅《关于建设全省危险废物智能监控体系的通知》（冀环办发〔2017〕112号）要求建设智能监控系统。有条件的鼓励暂存点配置视频录像设备，通过平台将收集到的废铅蓄电池信息、运输车辆信息、暂存点和回收中心信息及跨区域转移信息集成，实现废铅蓄电池流转全过程可视化管理。</w:t>
                  </w:r>
                </w:p>
              </w:tc>
              <w:tc>
                <w:tcPr>
                  <w:tcW w:w="1807" w:type="pct"/>
                </w:tcPr>
                <w:p>
                  <w:pPr>
                    <w:adjustRightInd w:val="0"/>
                    <w:snapToGrid w:val="0"/>
                    <w:jc w:val="both"/>
                    <w:rPr>
                      <w:rFonts w:ascii="Times New Roman" w:eastAsia="宋体" w:cs="Times New Roman" w:hAnsi="Times New Roman" w:hint="eastAsia"/>
                      <w:color w:val="auto"/>
                      <w:lang w:val="en-US" w:eastAsia="zh-CN"/>
                      <w:highlight w:val="none"/>
                    </w:rPr>
                  </w:pPr>
                  <w:r>
                    <w:rPr>
                      <w:rFonts w:cs="Times New Roman" w:hint="eastAsia"/>
                      <w:color w:val="auto"/>
                      <w:lang w:val="en-US" w:eastAsia="zh-CN"/>
                      <w:highlight w:val="none"/>
                    </w:rPr>
                    <w:t>本项目不涉及运输，委托专业、有资质单位进行运输。本项目建设智能监控系统，可实现流转全过程可视化管理。</w:t>
                  </w:r>
                </w:p>
              </w:tc>
              <w:tc>
                <w:tcPr>
                  <w:tcW w:w="465" w:type="pct"/>
                  <w:vAlign w:val="center"/>
                </w:tcPr>
                <w:p>
                  <w:pPr>
                    <w:adjustRightInd w:val="0"/>
                    <w:snapToGrid w:val="0"/>
                    <w:jc w:val="both"/>
                    <w:rPr>
                      <w:rFonts w:ascii="Times New Roman" w:eastAsia="宋体" w:cs="Times New Roman" w:hAnsi="Times New Roman" w:hint="eastAsia"/>
                      <w:color w:val="auto"/>
                      <w:lang w:eastAsia="zh-CN"/>
                      <w:highlight w:val="none"/>
                    </w:rPr>
                  </w:pPr>
                  <w:r>
                    <w:rPr>
                      <w:rFonts w:cs="Times New Roman" w:hint="eastAsia"/>
                      <w:color w:val="auto"/>
                      <w:lang w:eastAsia="zh-CN"/>
                      <w:highlight w:val="none"/>
                    </w:rPr>
                    <w:t>符合</w:t>
                  </w:r>
                </w:p>
              </w:tc>
            </w:tr>
          </w:tbl>
          <w:p>
            <w:pPr>
              <w:pStyle w:val="69"/>
              <w:spacing w:line="360" w:lineRule="auto"/>
              <w:ind w:left="122" w:firstLine="473"/>
              <w:rPr>
                <w:rFonts w:ascii="Times New Roman" w:eastAsia="宋体" w:cs="Times New Roman" w:hAnsi="Times New Roman"/>
                <w:color w:val="auto"/>
                <w:kern w:val="2"/>
                <w:sz w:val="24"/>
                <w:szCs w:val="24"/>
                <w:lang w:val="en-US" w:eastAsia="zh-CN" w:bidi="ar-SA"/>
                <w:highlight w:val="none"/>
              </w:rPr>
            </w:pPr>
            <w:r>
              <w:rPr>
                <w:rFonts w:ascii="Times New Roman" w:eastAsia="宋体" w:cs="Times New Roman" w:hAnsi="Times New Roman" w:hint="eastAsia"/>
                <w:color w:val="auto"/>
                <w:kern w:val="2"/>
                <w:sz w:val="24"/>
                <w:szCs w:val="24"/>
                <w:lang w:val="en-US" w:eastAsia="zh-CN" w:bidi="ar-SA"/>
                <w:highlight w:val="none"/>
              </w:rPr>
              <w:t>（</w:t>
            </w:r>
            <w:r>
              <w:rPr>
                <w:rFonts w:ascii="Times New Roman" w:cs="Times New Roman" w:hAnsi="Times New Roman" w:hint="eastAsia"/>
                <w:color w:val="auto"/>
                <w:kern w:val="2"/>
                <w:sz w:val="24"/>
                <w:szCs w:val="24"/>
                <w:lang w:val="en-US" w:eastAsia="zh-CN" w:bidi="ar-SA"/>
                <w:highlight w:val="none"/>
              </w:rPr>
              <w:t>9</w:t>
            </w:r>
            <w:r>
              <w:rPr>
                <w:rFonts w:ascii="Times New Roman" w:eastAsia="宋体" w:cs="Times New Roman" w:hAnsi="Times New Roman" w:hint="eastAsia"/>
                <w:color w:val="auto"/>
                <w:kern w:val="2"/>
                <w:sz w:val="24"/>
                <w:szCs w:val="24"/>
                <w:lang w:val="en-US" w:eastAsia="zh-CN" w:bidi="ar-SA"/>
                <w:highlight w:val="none"/>
              </w:rPr>
              <w:t>）与</w:t>
            </w:r>
            <w:r>
              <w:rPr>
                <w:rFonts w:ascii="Times New Roman" w:cs="Times New Roman" w:hAnsi="Times New Roman"/>
                <w:color w:val="auto"/>
                <w:kern w:val="2"/>
                <w:sz w:val="24"/>
                <w:szCs w:val="24"/>
                <w:lang w:eastAsia="zh-CN" w:bidi="ar-SA"/>
                <w:highlight w:val="none"/>
              </w:rPr>
              <w:t>《</w:t>
            </w:r>
            <w:r>
              <w:rPr>
                <w:rFonts w:ascii="Times New Roman" w:eastAsia="宋体" w:cs="Times New Roman" w:hAnsi="Times New Roman" w:hint="eastAsia"/>
                <w:color w:val="auto"/>
                <w:kern w:val="2"/>
                <w:sz w:val="24"/>
                <w:szCs w:val="24"/>
                <w:lang w:val="en-US" w:eastAsia="zh-CN" w:bidi="ar-SA"/>
                <w:highlight w:val="none"/>
              </w:rPr>
              <w:t>危险废物收集 贮存 运输技术规范</w:t>
            </w:r>
            <w:r>
              <w:rPr>
                <w:rFonts w:ascii="Times New Roman" w:cs="Times New Roman" w:hAnsi="Times New Roman"/>
                <w:color w:val="auto"/>
                <w:kern w:val="2"/>
                <w:sz w:val="24"/>
                <w:szCs w:val="24"/>
                <w:lang w:eastAsia="zh-CN" w:bidi="ar-SA"/>
                <w:highlight w:val="none"/>
              </w:rPr>
              <w:t>》</w:t>
            </w:r>
            <w:r>
              <w:rPr>
                <w:rFonts w:ascii="Times New Roman" w:eastAsia="宋体" w:cs="Times New Roman" w:hAnsi="Times New Roman" w:hint="eastAsia"/>
                <w:color w:val="auto"/>
                <w:kern w:val="2"/>
                <w:sz w:val="24"/>
                <w:szCs w:val="24"/>
                <w:lang w:val="en-US" w:eastAsia="zh-CN" w:bidi="ar-SA"/>
                <w:highlight w:val="none"/>
              </w:rPr>
              <w:t>(HJ 2025-2012)的符合性分析</w:t>
            </w:r>
          </w:p>
          <w:p>
            <w:pPr>
              <w:ind w:firstLineChars="200" w:firstLine="480"/>
              <w:jc w:val="center"/>
              <w:rPr>
                <w:rFonts w:ascii="Times New Roman" w:eastAsia="宋体" w:cs="Times New Roman" w:hAnsi="Times New Roman" w:hint="eastAsia"/>
                <w:b/>
                <w:bCs/>
                <w:color w:val="auto"/>
                <w:sz w:val="24"/>
                <w:highlight w:val="none"/>
              </w:rPr>
            </w:pPr>
            <w:r>
              <w:rPr>
                <w:rFonts w:ascii="Times New Roman" w:eastAsia="宋体" w:cs="Times New Roman" w:hAnsi="Times New Roman" w:hint="eastAsia"/>
                <w:b/>
                <w:bCs/>
                <w:color w:val="auto"/>
                <w:sz w:val="24"/>
                <w:highlight w:val="none"/>
              </w:rPr>
              <w:t>表1-</w:t>
            </w:r>
            <w:r>
              <w:rPr>
                <w:rFonts w:cs="Times New Roman" w:hint="eastAsia"/>
                <w:b/>
                <w:bCs/>
                <w:color w:val="auto"/>
                <w:sz w:val="24"/>
                <w:lang w:val="en-US" w:eastAsia="zh-CN"/>
                <w:highlight w:val="none"/>
              </w:rPr>
              <w:t>22</w:t>
            </w:r>
            <w:r>
              <w:rPr>
                <w:rFonts w:ascii="Times New Roman" w:eastAsia="宋体" w:cs="Times New Roman" w:hAnsi="Times New Roman" w:hint="eastAsia"/>
                <w:b/>
                <w:bCs/>
                <w:color w:val="auto"/>
                <w:sz w:val="24"/>
                <w:highlight w:val="none"/>
              </w:rPr>
              <w:t xml:space="preserve">  与</w:t>
            </w:r>
            <w:r>
              <w:rPr>
                <w:rFonts w:cs="Times New Roman"/>
                <w:b/>
                <w:bCs/>
                <w:color w:val="auto"/>
                <w:sz w:val="24"/>
                <w:highlight w:val="none"/>
              </w:rPr>
              <w:t>《</w:t>
            </w:r>
            <w:r>
              <w:rPr>
                <w:rFonts w:ascii="Times New Roman" w:eastAsia="宋体" w:cs="Times New Roman" w:hAnsi="Times New Roman" w:hint="eastAsia"/>
                <w:b/>
                <w:bCs/>
                <w:color w:val="auto"/>
                <w:sz w:val="24"/>
                <w:highlight w:val="none"/>
              </w:rPr>
              <w:t>危险废物收集 贮存 运输技术规范</w:t>
            </w:r>
            <w:r>
              <w:rPr>
                <w:rFonts w:cs="Times New Roman"/>
                <w:b/>
                <w:bCs/>
                <w:color w:val="auto"/>
                <w:sz w:val="24"/>
                <w:highlight w:val="none"/>
              </w:rPr>
              <w:t>》</w:t>
            </w:r>
            <w:r>
              <w:rPr>
                <w:rFonts w:ascii="Times New Roman" w:eastAsia="宋体" w:cs="Times New Roman" w:hAnsi="Times New Roman" w:hint="eastAsia"/>
                <w:b/>
                <w:bCs/>
                <w:color w:val="auto"/>
                <w:sz w:val="24"/>
                <w:highlight w:val="none"/>
              </w:rPr>
              <w:t>(HJ 2025-2012)符合性分析一览表</w:t>
            </w:r>
          </w:p>
          <w:tbl>
            <w:tblPr>
              <w:jc w:val="center"/>
              <w:tblW w:w="4998" w:type="pct"/>
              <w:tblBorders>
                <w:top w:val="single" w:sz="12" w:space="0" w:color="auto"/>
                <w:left w:val="none" w:sz="0" w:space="0" w:color="auto"/>
                <w:bottom w:val="single" w:sz="12" w:space="0" w:color="auto"/>
                <w:right w:val="none" w:sz="0" w:space="0" w:color="auto"/>
                <w:insideH w:val="single" w:sz="4" w:space="0" w:color="auto"/>
                <w:insideV w:val="single" w:sz="4" w:space="0" w:color="auto"/>
              </w:tblBorders>
              <w:tblCellMar>
                <w:top w:w="0" w:type="dxa"/>
                <w:left w:w="108" w:type="dxa"/>
                <w:bottom w:w="0" w:type="dxa"/>
                <w:right w:w="108" w:type="dxa"/>
              </w:tblCellMar>
              <w:tblLook w:val="0600" w:firstRow="0" w:lastRow="0" w:firstColumn="0" w:lastColumn="0" w:noHBand="1" w:noVBand="1"/>
            </w:tblPr>
            <w:tblGrid>
              <w:gridCol w:w="780"/>
              <w:gridCol w:w="3365"/>
              <w:gridCol w:w="2746"/>
              <w:gridCol w:w="707"/>
            </w:tblGrid>
            <w:tr>
              <w:trPr>
                <w:cantSplit/>
                <w:trHeight w:val="318"/>
                <w:tblHeader/>
              </w:trPr>
              <w:tc>
                <w:tcPr>
                  <w:tcW w:w="513" w:type="pct"/>
                  <w:vAlign w:val="center"/>
                </w:tcPr>
                <w:p>
                  <w:pPr>
                    <w:snapToGrid w:val="0"/>
                    <w:jc w:val="center"/>
                    <w:rPr>
                      <w:rFonts w:hint="eastAsia"/>
                      <w:b/>
                      <w:color w:val="auto"/>
                      <w:szCs w:val="21"/>
                    </w:rPr>
                  </w:pPr>
                  <w:r>
                    <w:rPr>
                      <w:rFonts w:hint="eastAsia"/>
                      <w:b/>
                      <w:color w:val="auto"/>
                      <w:szCs w:val="21"/>
                    </w:rPr>
                    <w:t>项目</w:t>
                  </w:r>
                </w:p>
              </w:tc>
              <w:tc>
                <w:tcPr>
                  <w:tcW w:w="2214" w:type="pct"/>
                  <w:vAlign w:val="center"/>
                </w:tcPr>
                <w:p>
                  <w:pPr>
                    <w:snapToGrid w:val="0"/>
                    <w:jc w:val="center"/>
                    <w:rPr>
                      <w:rFonts w:hint="eastAsia"/>
                      <w:b/>
                      <w:color w:val="auto"/>
                      <w:szCs w:val="21"/>
                    </w:rPr>
                  </w:pPr>
                  <w:r>
                    <w:rPr>
                      <w:rFonts w:hint="eastAsia"/>
                      <w:b/>
                      <w:color w:val="auto"/>
                      <w:szCs w:val="21"/>
                    </w:rPr>
                    <w:t>规范要求</w:t>
                  </w:r>
                </w:p>
              </w:tc>
              <w:tc>
                <w:tcPr>
                  <w:tcW w:w="1807" w:type="pct"/>
                  <w:vAlign w:val="center"/>
                </w:tcPr>
                <w:p>
                  <w:pPr>
                    <w:snapToGrid w:val="0"/>
                    <w:jc w:val="center"/>
                    <w:rPr>
                      <w:rFonts w:hint="eastAsia"/>
                      <w:b/>
                      <w:color w:val="auto"/>
                      <w:szCs w:val="21"/>
                    </w:rPr>
                  </w:pPr>
                  <w:r>
                    <w:rPr>
                      <w:rFonts w:hint="eastAsia"/>
                      <w:b/>
                      <w:color w:val="auto"/>
                      <w:szCs w:val="21"/>
                    </w:rPr>
                    <w:t>项目建设条件</w:t>
                  </w:r>
                </w:p>
              </w:tc>
              <w:tc>
                <w:tcPr>
                  <w:tcW w:w="465" w:type="pct"/>
                  <w:vAlign w:val="center"/>
                </w:tcPr>
                <w:p>
                  <w:pPr>
                    <w:snapToGrid w:val="0"/>
                    <w:jc w:val="center"/>
                    <w:rPr>
                      <w:rFonts w:hint="eastAsia"/>
                      <w:b/>
                      <w:color w:val="auto"/>
                      <w:szCs w:val="21"/>
                    </w:rPr>
                  </w:pPr>
                  <w:r>
                    <w:rPr>
                      <w:rFonts w:hint="eastAsia"/>
                      <w:b/>
                      <w:color w:val="auto"/>
                      <w:szCs w:val="21"/>
                    </w:rPr>
                    <w:t>相符性</w:t>
                  </w:r>
                </w:p>
              </w:tc>
            </w:tr>
            <w:tr>
              <w:trPr>
                <w:trHeight w:val="318"/>
              </w:trPr>
              <w:tc>
                <w:tcPr>
                  <w:tcW w:w="513" w:type="pct"/>
                  <w:vAlign w:val="center"/>
                </w:tcPr>
                <w:p>
                  <w:pPr>
                    <w:adjustRightInd w:val="0"/>
                    <w:snapToGrid w:val="0"/>
                    <w:jc w:val="center"/>
                    <w:rPr>
                      <w:rFonts w:ascii="Times New Roman" w:eastAsia="宋体" w:cs="Times New Roman" w:hAnsi="Times New Roman" w:hint="eastAsia"/>
                      <w:color w:val="auto"/>
                      <w:highlight w:val="none"/>
                    </w:rPr>
                  </w:pPr>
                  <w:r>
                    <w:rPr>
                      <w:rFonts w:ascii="Times New Roman" w:eastAsia="宋体" w:cs="Times New Roman" w:hAnsi="Times New Roman" w:hint="eastAsia"/>
                      <w:color w:val="auto"/>
                      <w:lang w:val="en-US" w:eastAsia="zh-CN"/>
                      <w:highlight w:val="none"/>
                    </w:rPr>
                    <w:t>危险废物收集、贮存、运输的一般要求</w:t>
                  </w:r>
                </w:p>
                <w:p>
                  <w:pPr>
                    <w:adjustRightInd w:val="0"/>
                    <w:snapToGrid w:val="0"/>
                    <w:jc w:val="center"/>
                    <w:rPr>
                      <w:rFonts w:ascii="Times New Roman" w:eastAsia="宋体" w:cs="Times New Roman" w:hAnsi="Times New Roman" w:hint="eastAsia"/>
                      <w:color w:val="auto"/>
                      <w:highlight w:val="none"/>
                    </w:rPr>
                  </w:pPr>
                </w:p>
              </w:tc>
              <w:tc>
                <w:tcPr>
                  <w:tcW w:w="2214" w:type="pct"/>
                </w:tcPr>
                <w:p>
                  <w:pPr>
                    <w:adjustRightInd w:val="0"/>
                    <w:snapToGrid w:val="0"/>
                    <w:jc w:val="both"/>
                    <w:rPr>
                      <w:rFonts w:ascii="Times New Roman" w:eastAsia="宋体" w:cs="Times New Roman" w:hAnsi="Times New Roman" w:hint="eastAsia"/>
                      <w:color w:val="auto"/>
                      <w:highlight w:val="none"/>
                    </w:rPr>
                  </w:pPr>
                  <w:r>
                    <w:rPr>
                      <w:rFonts w:ascii="Times New Roman" w:eastAsia="宋体" w:cs="Times New Roman" w:hAnsi="Times New Roman" w:hint="eastAsia"/>
                      <w:color w:val="auto"/>
                      <w:lang w:val="en-US" w:eastAsia="zh-CN"/>
                      <w:highlight w:val="none"/>
                    </w:rPr>
                    <w:t xml:space="preserve">4.1 从事危险废物收集、贮存、运输经营活动的单位应具有危险废物经营许可证。在收集、贮存、运输危险废物时，应根据危险废物收集、贮存、处置经营许可证核发的有关规定建立相应的规章制度和污染防治措施，包括危险废物分析管理制度、安全管理制度、污染防治措施等；危险废物产生单位内部自行从事的危险废物收集、贮存、运输活动应遵照国家相关管理规定，建立健全规章制度及操作流程，确保该过程的安全、可靠。 </w:t>
                  </w:r>
                </w:p>
                <w:p>
                  <w:pPr>
                    <w:adjustRightInd w:val="0"/>
                    <w:snapToGrid w:val="0"/>
                    <w:jc w:val="both"/>
                    <w:rPr>
                      <w:rFonts w:cs="Times New Roman"/>
                      <w:color w:val="auto"/>
                      <w:highlight w:val="none"/>
                    </w:rPr>
                  </w:pPr>
                  <w:r>
                    <w:rPr>
                      <w:rFonts w:ascii="Times New Roman" w:eastAsia="宋体" w:cs="Times New Roman" w:hAnsi="Times New Roman" w:hint="eastAsia"/>
                      <w:color w:val="auto"/>
                      <w:lang w:val="en-US" w:eastAsia="zh-CN"/>
                      <w:highlight w:val="none"/>
                    </w:rPr>
                    <w:t>4.2 危险废物转移过程应按《危险废物转移联单管理办法》执行</w:t>
                  </w:r>
                  <w:r>
                    <w:rPr>
                      <w:rFonts w:cs="Times New Roman"/>
                      <w:color w:val="auto"/>
                      <w:highlight w:val="none"/>
                    </w:rPr>
                    <w:t>。</w:t>
                  </w:r>
                </w:p>
                <w:p>
                  <w:pPr>
                    <w:adjustRightInd w:val="0"/>
                    <w:snapToGrid w:val="0"/>
                    <w:jc w:val="both"/>
                    <w:rPr>
                      <w:rFonts w:cs="Times New Roman"/>
                      <w:color w:val="auto"/>
                      <w:highlight w:val="none"/>
                    </w:rPr>
                  </w:pPr>
                  <w:r>
                    <w:rPr>
                      <w:rFonts w:cs="Times New Roman"/>
                      <w:color w:val="auto"/>
                      <w:lang w:eastAsia="zh-CN"/>
                      <w:highlight w:val="none"/>
                    </w:rPr>
                    <w:t>4.3 危险废物收集、贮存、运输单位应建立规范的管理和技术人员培训制度，定期针对管理和技术人员进行培训。培训内容至少应包括危险废物鉴别要求、危险废物经营许可证管理</w:t>
                  </w:r>
                  <w:r>
                    <w:rPr>
                      <w:rFonts w:cs="Times New Roman" w:hint="eastAsia"/>
                      <w:color w:val="auto"/>
                      <w:lang w:eastAsia="zh-CN"/>
                      <w:highlight w:val="none"/>
                    </w:rPr>
                    <w:t>、</w:t>
                  </w:r>
                  <w:r>
                    <w:rPr>
                      <w:rFonts w:cs="Times New Roman"/>
                      <w:color w:val="auto"/>
                      <w:lang w:eastAsia="zh-CN"/>
                      <w:highlight w:val="none"/>
                    </w:rPr>
                    <w:t xml:space="preserve">危险废物转移联单管理、危险废物包装和标识、危险废物运输要求、危险废物事故应急方法等。 </w:t>
                  </w:r>
                </w:p>
              </w:tc>
              <w:tc>
                <w:tcPr>
                  <w:tcW w:w="1807" w:type="pct"/>
                </w:tcPr>
                <w:p>
                  <w:pPr>
                    <w:adjustRightInd w:val="0"/>
                    <w:snapToGrid w:val="0"/>
                    <w:jc w:val="both"/>
                    <w:rPr>
                      <w:rFonts w:ascii="Times New Roman" w:eastAsia="宋体" w:cs="Times New Roman" w:hAnsi="Times New Roman" w:hint="eastAsia"/>
                      <w:color w:val="auto"/>
                      <w:highlight w:val="none"/>
                    </w:rPr>
                  </w:pPr>
                  <w:r>
                    <w:rPr>
                      <w:rFonts w:ascii="Times New Roman" w:eastAsia="宋体" w:cs="Times New Roman" w:hAnsi="Times New Roman"/>
                      <w:color w:val="auto"/>
                      <w:highlight w:val="none"/>
                    </w:rPr>
                    <w:t>本项目</w:t>
                  </w:r>
                  <w:r>
                    <w:rPr>
                      <w:rFonts w:cs="Times New Roman" w:hint="eastAsia"/>
                      <w:color w:val="auto"/>
                      <w:lang w:eastAsia="zh-CN"/>
                      <w:highlight w:val="none"/>
                    </w:rPr>
                    <w:t>按相关要求申领危险废物经营许可证在。本项目</w:t>
                  </w:r>
                  <w:r>
                    <w:rPr>
                      <w:rFonts w:ascii="Times New Roman" w:eastAsia="宋体" w:cs="Times New Roman" w:hAnsi="Times New Roman" w:hint="eastAsia"/>
                      <w:color w:val="auto"/>
                      <w:lang w:val="en-US" w:eastAsia="zh-CN"/>
                      <w:highlight w:val="none"/>
                    </w:rPr>
                    <w:t>建立相应的规章制度和污染防治措施，包括危险废物分析管理制度、安全管理制度、污染防治措施等</w:t>
                  </w:r>
                  <w:r>
                    <w:rPr>
                      <w:rFonts w:ascii="Times New Roman" w:eastAsia="宋体" w:cs="Times New Roman" w:hAnsi="Times New Roman"/>
                      <w:color w:val="auto"/>
                      <w:highlight w:val="none"/>
                    </w:rPr>
                    <w:t>。</w:t>
                  </w:r>
                  <w:r>
                    <w:rPr>
                      <w:rFonts w:cs="Times New Roman" w:hint="eastAsia"/>
                      <w:color w:val="auto"/>
                      <w:lang w:eastAsia="zh-CN"/>
                      <w:highlight w:val="none"/>
                    </w:rPr>
                    <w:t>同时</w:t>
                  </w:r>
                  <w:r>
                    <w:rPr>
                      <w:rFonts w:cs="Times New Roman"/>
                      <w:color w:val="auto"/>
                      <w:lang w:eastAsia="zh-CN"/>
                      <w:highlight w:val="none"/>
                    </w:rPr>
                    <w:t>建立规范的管理和技术人员培训制度，定期针对管理和技术人员进行培训。</w:t>
                  </w:r>
                  <w:r>
                    <w:rPr>
                      <w:rFonts w:cs="Times New Roman" w:hint="eastAsia"/>
                      <w:color w:val="auto"/>
                      <w:lang w:eastAsia="zh-CN"/>
                      <w:highlight w:val="none"/>
                    </w:rPr>
                    <w:t>本项目按要求编制应急预案并开展演练。明确相应的风险防范措施和应急响应、救援等措施。</w:t>
                  </w:r>
                </w:p>
              </w:tc>
              <w:tc>
                <w:tcPr>
                  <w:tcW w:w="465" w:type="pct"/>
                  <w:vAlign w:val="center"/>
                </w:tcPr>
                <w:p>
                  <w:pPr>
                    <w:adjustRightInd w:val="0"/>
                    <w:snapToGrid w:val="0"/>
                    <w:jc w:val="both"/>
                    <w:rPr>
                      <w:rFonts w:ascii="Times New Roman" w:eastAsia="宋体" w:cs="Times New Roman" w:hAnsi="Times New Roman" w:hint="eastAsia"/>
                      <w:color w:val="auto"/>
                      <w:highlight w:val="none"/>
                    </w:rPr>
                  </w:pPr>
                  <w:r>
                    <w:rPr>
                      <w:rFonts w:ascii="Times New Roman" w:eastAsia="宋体" w:cs="Times New Roman" w:hAnsi="Times New Roman"/>
                      <w:color w:val="auto"/>
                      <w:highlight w:val="none"/>
                    </w:rPr>
                    <w:t>符合</w:t>
                  </w:r>
                </w:p>
              </w:tc>
            </w:tr>
            <w:tr>
              <w:trPr>
                <w:cantSplit/>
                <w:trHeight w:val="318"/>
              </w:trPr>
              <w:tc>
                <w:tcPr>
                  <w:tcW w:w="513" w:type="pct"/>
                  <w:vAlign w:val="center"/>
                </w:tcPr>
                <w:p>
                  <w:pPr>
                    <w:adjustRightInd w:val="0"/>
                    <w:snapToGrid w:val="0"/>
                    <w:jc w:val="center"/>
                    <w:rPr>
                      <w:rFonts w:ascii="Times New Roman" w:eastAsia="宋体" w:cs="Times New Roman" w:hAnsi="Times New Roman" w:hint="eastAsia"/>
                      <w:color w:val="auto"/>
                      <w:highlight w:val="none"/>
                    </w:rPr>
                  </w:pPr>
                </w:p>
              </w:tc>
              <w:tc>
                <w:tcPr>
                  <w:tcW w:w="2214" w:type="pct"/>
                </w:tcPr>
                <w:p>
                  <w:pPr>
                    <w:adjustRightInd w:val="0"/>
                    <w:snapToGrid w:val="0"/>
                    <w:jc w:val="both"/>
                    <w:rPr>
                      <w:rFonts w:cs="Times New Roman"/>
                      <w:color w:val="auto"/>
                      <w:highlight w:val="none"/>
                    </w:rPr>
                  </w:pPr>
                  <w:r>
                    <w:rPr>
                      <w:rFonts w:cs="Times New Roman"/>
                      <w:color w:val="auto"/>
                      <w:lang w:eastAsia="zh-CN"/>
                      <w:highlight w:val="none"/>
                    </w:rPr>
                    <w:t xml:space="preserve">4.4 危险废物收集、贮存、运输单位应编制应急预案。应急预案编制可参照《危险废物经营单位编制应急预案指南》，涉及运输的相关内容还应符合交通行政主管部门的有关规定。针对危险废物收集、贮存、运输过程中的事故易发环节应定期组织应急演练。 </w:t>
                  </w:r>
                </w:p>
                <w:p>
                  <w:pPr>
                    <w:adjustRightInd w:val="0"/>
                    <w:snapToGrid w:val="0"/>
                    <w:jc w:val="both"/>
                    <w:rPr>
                      <w:rFonts w:cs="Times New Roman"/>
                      <w:color w:val="auto"/>
                      <w:highlight w:val="none"/>
                    </w:rPr>
                  </w:pPr>
                  <w:r>
                    <w:rPr>
                      <w:rFonts w:cs="Times New Roman"/>
                      <w:color w:val="auto"/>
                      <w:lang w:eastAsia="zh-CN"/>
                      <w:highlight w:val="none"/>
                    </w:rPr>
                    <w:t xml:space="preserve">4.5 危险废物收集、贮存、运输过程中一旦发生意外事故，收集、贮存、运输单位及相关部门应根据风险程度采取如下措施： </w:t>
                  </w:r>
                </w:p>
                <w:p>
                  <w:pPr>
                    <w:adjustRightInd w:val="0"/>
                    <w:snapToGrid w:val="0"/>
                    <w:jc w:val="both"/>
                    <w:rPr>
                      <w:rFonts w:cs="Times New Roman"/>
                      <w:color w:val="auto"/>
                      <w:highlight w:val="none"/>
                    </w:rPr>
                  </w:pPr>
                  <w:r>
                    <w:rPr>
                      <w:rFonts w:cs="Times New Roman"/>
                      <w:color w:val="auto"/>
                      <w:lang w:eastAsia="zh-CN"/>
                      <w:highlight w:val="none"/>
                    </w:rPr>
                    <w:t xml:space="preserve">(1)设立事故警戒线，启动应急预案，并按《环境保护行政主管部门突发环境事件信息报告办法（试行）》（环发[2006]50号）要求进行报告。 </w:t>
                  </w:r>
                </w:p>
                <w:p>
                  <w:pPr>
                    <w:adjustRightInd w:val="0"/>
                    <w:snapToGrid w:val="0"/>
                    <w:jc w:val="both"/>
                    <w:rPr>
                      <w:rFonts w:cs="Times New Roman"/>
                      <w:color w:val="auto"/>
                      <w:highlight w:val="none"/>
                    </w:rPr>
                  </w:pPr>
                  <w:r>
                    <w:rPr>
                      <w:rFonts w:cs="Times New Roman"/>
                      <w:color w:val="auto"/>
                      <w:lang w:eastAsia="zh-CN"/>
                      <w:highlight w:val="none"/>
                    </w:rPr>
                    <w:t xml:space="preserve">(2)若造成事故的危险废物具有剧毒性、易燃性、爆炸性或高传染性，应立即疏散人群，并请求环境保护、消防、医疗、公安等相关部门支援。 </w:t>
                  </w:r>
                </w:p>
                <w:p>
                  <w:pPr>
                    <w:adjustRightInd w:val="0"/>
                    <w:snapToGrid w:val="0"/>
                    <w:jc w:val="both"/>
                    <w:rPr>
                      <w:rFonts w:cs="Times New Roman"/>
                      <w:color w:val="auto"/>
                      <w:highlight w:val="none"/>
                    </w:rPr>
                  </w:pPr>
                  <w:r>
                    <w:rPr>
                      <w:rFonts w:cs="Times New Roman"/>
                      <w:color w:val="auto"/>
                      <w:lang w:eastAsia="zh-CN"/>
                      <w:highlight w:val="none"/>
                    </w:rPr>
                    <w:t xml:space="preserve">(3)对事故现场受到污染的土壤和水体等环境介质应进行相应的清理和修复。 </w:t>
                  </w:r>
                </w:p>
                <w:p>
                  <w:pPr>
                    <w:adjustRightInd w:val="0"/>
                    <w:snapToGrid w:val="0"/>
                    <w:jc w:val="both"/>
                    <w:rPr>
                      <w:rFonts w:cs="Times New Roman"/>
                      <w:color w:val="auto"/>
                      <w:highlight w:val="none"/>
                    </w:rPr>
                  </w:pPr>
                  <w:r>
                    <w:rPr>
                      <w:rFonts w:cs="Times New Roman"/>
                      <w:color w:val="auto"/>
                      <w:lang w:eastAsia="zh-CN"/>
                      <w:highlight w:val="none"/>
                    </w:rPr>
                    <w:t xml:space="preserve">(4)清理过程中产生的所有废物均应按危险废物进行管理和处置。 </w:t>
                  </w:r>
                </w:p>
                <w:p>
                  <w:pPr>
                    <w:adjustRightInd w:val="0"/>
                    <w:snapToGrid w:val="0"/>
                    <w:jc w:val="both"/>
                    <w:rPr>
                      <w:rFonts w:cs="Times New Roman"/>
                      <w:color w:val="auto"/>
                      <w:highlight w:val="none"/>
                    </w:rPr>
                  </w:pPr>
                  <w:r>
                    <w:rPr>
                      <w:rFonts w:cs="Times New Roman"/>
                      <w:color w:val="auto"/>
                      <w:lang w:eastAsia="zh-CN"/>
                      <w:highlight w:val="none"/>
                    </w:rPr>
                    <w:t xml:space="preserve">(5)进入现场清理和包装危险废物的人员应受过专业培训，穿着防护服，并佩戴相应的防护用具。 </w:t>
                  </w:r>
                </w:p>
                <w:p>
                  <w:pPr>
                    <w:adjustRightInd w:val="0"/>
                    <w:snapToGrid w:val="0"/>
                    <w:jc w:val="both"/>
                    <w:rPr>
                      <w:rFonts w:cs="Times New Roman"/>
                      <w:color w:val="auto"/>
                      <w:highlight w:val="none"/>
                    </w:rPr>
                  </w:pPr>
                  <w:r>
                    <w:rPr>
                      <w:rFonts w:cs="Times New Roman"/>
                      <w:color w:val="auto"/>
                      <w:lang w:eastAsia="zh-CN"/>
                      <w:highlight w:val="none"/>
                    </w:rPr>
                    <w:t xml:space="preserve">4.7 废铅酸蓄电池的收集、贮存和运输应按HJ519执行。  </w:t>
                  </w:r>
                </w:p>
              </w:tc>
              <w:tc>
                <w:tcPr>
                  <w:tcW w:w="1807" w:type="pct"/>
                </w:tcPr>
                <w:p>
                  <w:pPr>
                    <w:adjustRightInd w:val="0"/>
                    <w:snapToGrid w:val="0"/>
                    <w:jc w:val="both"/>
                    <w:rPr>
                      <w:rFonts w:ascii="Times New Roman" w:eastAsia="宋体" w:cs="Times New Roman" w:hAnsi="Times New Roman" w:hint="eastAsia"/>
                      <w:color w:val="auto"/>
                      <w:lang w:eastAsia="zh-CN"/>
                      <w:highlight w:val="none"/>
                    </w:rPr>
                  </w:pPr>
                  <w:r>
                    <w:rPr>
                      <w:rFonts w:cs="Times New Roman" w:hint="eastAsia"/>
                      <w:color w:val="auto"/>
                      <w:lang w:eastAsia="zh-CN"/>
                      <w:highlight w:val="none"/>
                    </w:rPr>
                    <w:t>本项目应按照要求编制应急预案，采取防范措施并开展应急演练。</w:t>
                  </w:r>
                </w:p>
              </w:tc>
              <w:tc>
                <w:tcPr>
                  <w:tcW w:w="465" w:type="pct"/>
                  <w:vAlign w:val="center"/>
                </w:tcPr>
                <w:p>
                  <w:pPr>
                    <w:adjustRightInd w:val="0"/>
                    <w:snapToGrid w:val="0"/>
                    <w:jc w:val="both"/>
                    <w:rPr>
                      <w:rFonts w:ascii="Times New Roman" w:eastAsia="宋体" w:cs="Times New Roman" w:hAnsi="Times New Roman"/>
                      <w:color w:val="auto"/>
                      <w:highlight w:val="none"/>
                    </w:rPr>
                  </w:pPr>
                  <w:r>
                    <w:rPr>
                      <w:rFonts w:ascii="Times New Roman" w:eastAsia="宋体" w:cs="Times New Roman" w:hAnsi="Times New Roman"/>
                      <w:color w:val="auto"/>
                      <w:highlight w:val="none"/>
                    </w:rPr>
                    <w:t>符合</w:t>
                  </w:r>
                </w:p>
              </w:tc>
            </w:tr>
            <w:tr>
              <w:trPr>
                <w:trHeight w:val="318"/>
              </w:trPr>
              <w:tc>
                <w:tcPr>
                  <w:tcW w:w="513" w:type="pct"/>
                  <w:vAlign w:val="center"/>
                </w:tcPr>
                <w:p>
                  <w:pPr>
                    <w:adjustRightInd w:val="0"/>
                    <w:snapToGrid w:val="0"/>
                    <w:jc w:val="center"/>
                    <w:rPr>
                      <w:rFonts w:ascii="Times New Roman" w:eastAsia="宋体" w:cs="Times New Roman" w:hAnsi="Times New Roman" w:hint="eastAsia"/>
                      <w:color w:val="auto"/>
                      <w:highlight w:val="none"/>
                    </w:rPr>
                  </w:pPr>
                  <w:r>
                    <w:rPr>
                      <w:rFonts w:ascii="Times New Roman" w:eastAsia="宋体" w:cs="Times New Roman" w:hAnsi="Times New Roman" w:hint="eastAsia"/>
                      <w:color w:val="auto"/>
                      <w:lang w:val="en-US" w:eastAsia="zh-CN"/>
                      <w:highlight w:val="none"/>
                    </w:rPr>
                    <w:t>危险废物的收集</w:t>
                  </w:r>
                </w:p>
                <w:p>
                  <w:pPr>
                    <w:adjustRightInd w:val="0"/>
                    <w:snapToGrid w:val="0"/>
                    <w:jc w:val="center"/>
                    <w:rPr>
                      <w:rFonts w:cs="Times New Roman" w:hint="eastAsia"/>
                      <w:color w:val="auto"/>
                      <w:lang w:eastAsia="zh-CN"/>
                      <w:highlight w:val="none"/>
                    </w:rPr>
                  </w:pPr>
                </w:p>
              </w:tc>
              <w:tc>
                <w:tcPr>
                  <w:tcW w:w="2214" w:type="pct"/>
                </w:tcPr>
                <w:p>
                  <w:pPr>
                    <w:adjustRightInd w:val="0"/>
                    <w:snapToGrid w:val="0"/>
                    <w:jc w:val="both"/>
                    <w:rPr>
                      <w:rFonts w:ascii="Times New Roman" w:eastAsia="宋体" w:cs="Times New Roman" w:hAnsi="Times New Roman" w:hint="eastAsia"/>
                      <w:color w:val="auto"/>
                      <w:highlight w:val="none"/>
                    </w:rPr>
                  </w:pPr>
                  <w:r>
                    <w:rPr>
                      <w:rFonts w:ascii="Times New Roman" w:eastAsia="宋体" w:cs="Times New Roman" w:hAnsi="Times New Roman" w:hint="eastAsia"/>
                      <w:color w:val="auto"/>
                      <w:lang w:val="en-US" w:eastAsia="zh-CN"/>
                      <w:highlight w:val="none"/>
                    </w:rPr>
                    <w:t xml:space="preserve">5.4 危险废物收集和转运作业人员应根据工作需要配备必要的个人防护装备，如手套、防护镜、防护服、防毒面具或口罩等。 </w:t>
                  </w:r>
                </w:p>
                <w:p>
                  <w:pPr>
                    <w:adjustRightInd w:val="0"/>
                    <w:snapToGrid w:val="0"/>
                    <w:jc w:val="both"/>
                    <w:rPr>
                      <w:rFonts w:ascii="Times New Roman" w:eastAsia="宋体" w:cs="Times New Roman" w:hAnsi="Times New Roman" w:hint="eastAsia"/>
                      <w:color w:val="auto"/>
                      <w:highlight w:val="none"/>
                    </w:rPr>
                  </w:pPr>
                  <w:r>
                    <w:rPr>
                      <w:rFonts w:ascii="Times New Roman" w:eastAsia="宋体" w:cs="Times New Roman" w:hAnsi="Times New Roman" w:hint="eastAsia"/>
                      <w:color w:val="auto"/>
                      <w:lang w:val="en-US" w:eastAsia="zh-CN"/>
                      <w:highlight w:val="none"/>
                    </w:rPr>
                    <w:t>5.5 在危险废物的收集和转运过程中，应采取相应的安全防护和污染防治措施，包括防爆</w:t>
                  </w:r>
                  <w:r>
                    <w:rPr>
                      <w:rFonts w:cs="Times New Roman" w:hint="eastAsia"/>
                      <w:color w:val="auto"/>
                      <w:lang w:val="en-US" w:eastAsia="zh-CN"/>
                      <w:highlight w:val="none"/>
                    </w:rPr>
                    <w:t>、</w:t>
                  </w:r>
                  <w:r>
                    <w:rPr>
                      <w:rFonts w:ascii="Times New Roman" w:eastAsia="宋体" w:cs="Times New Roman" w:hAnsi="Times New Roman" w:hint="eastAsia"/>
                      <w:color w:val="auto"/>
                      <w:lang w:val="en-US" w:eastAsia="zh-CN"/>
                      <w:highlight w:val="none"/>
                    </w:rPr>
                    <w:t xml:space="preserve">防火、防中毒、防感染、防泄露、防飞扬、防雨或其它防止污染环境的措施。  </w:t>
                  </w:r>
                </w:p>
              </w:tc>
              <w:tc>
                <w:tcPr>
                  <w:tcW w:w="1807" w:type="pct"/>
                </w:tcPr>
                <w:p>
                  <w:pPr>
                    <w:adjustRightInd w:val="0"/>
                    <w:snapToGrid w:val="0"/>
                    <w:jc w:val="both"/>
                    <w:rPr>
                      <w:rFonts w:ascii="Times New Roman" w:eastAsia="宋体" w:cs="Times New Roman" w:hAnsi="Times New Roman" w:hint="eastAsia"/>
                      <w:color w:val="auto"/>
                      <w:lang w:eastAsia="zh-CN"/>
                      <w:highlight w:val="none"/>
                    </w:rPr>
                  </w:pPr>
                  <w:r>
                    <w:rPr>
                      <w:rFonts w:cs="Times New Roman" w:hint="eastAsia"/>
                      <w:color w:val="auto"/>
                      <w:lang w:eastAsia="zh-CN"/>
                      <w:highlight w:val="none"/>
                    </w:rPr>
                    <w:t>本项目操作人员</w:t>
                  </w:r>
                  <w:r>
                    <w:rPr>
                      <w:rFonts w:ascii="Times New Roman" w:eastAsia="宋体" w:cs="Times New Roman" w:hAnsi="Times New Roman" w:hint="eastAsia"/>
                      <w:color w:val="auto"/>
                      <w:lang w:val="en-US" w:eastAsia="zh-CN"/>
                      <w:highlight w:val="none"/>
                    </w:rPr>
                    <w:t>配备必要的个人防护装备，如手套、防护镜、防护服、防毒面具或口罩等</w:t>
                  </w:r>
                  <w:r>
                    <w:rPr>
                      <w:rFonts w:cs="Times New Roman" w:hint="eastAsia"/>
                      <w:color w:val="auto"/>
                      <w:lang w:val="en-US" w:eastAsia="zh-CN"/>
                      <w:highlight w:val="none"/>
                    </w:rPr>
                    <w:t>，</w:t>
                  </w:r>
                  <w:r>
                    <w:rPr>
                      <w:rFonts w:ascii="Times New Roman" w:eastAsia="宋体" w:cs="Times New Roman" w:hAnsi="Times New Roman" w:hint="eastAsia"/>
                      <w:color w:val="auto"/>
                      <w:lang w:val="en-US" w:eastAsia="zh-CN"/>
                      <w:highlight w:val="none"/>
                    </w:rPr>
                    <w:t>采取相应的安全防护和污染防治措施</w:t>
                  </w:r>
                  <w:r>
                    <w:rPr>
                      <w:rFonts w:cs="Times New Roman" w:hint="eastAsia"/>
                      <w:color w:val="auto"/>
                      <w:lang w:val="en-US" w:eastAsia="zh-CN"/>
                      <w:highlight w:val="none"/>
                    </w:rPr>
                    <w:t>。</w:t>
                  </w:r>
                </w:p>
              </w:tc>
              <w:tc>
                <w:tcPr>
                  <w:tcW w:w="465" w:type="pct"/>
                  <w:vAlign w:val="center"/>
                </w:tcPr>
                <w:p>
                  <w:pPr>
                    <w:adjustRightInd w:val="0"/>
                    <w:snapToGrid w:val="0"/>
                    <w:jc w:val="both"/>
                    <w:rPr>
                      <w:rFonts w:ascii="Times New Roman" w:eastAsia="宋体" w:cs="Times New Roman" w:hAnsi="Times New Roman" w:hint="eastAsia"/>
                      <w:color w:val="auto"/>
                      <w:lang w:eastAsia="zh-CN"/>
                      <w:highlight w:val="none"/>
                    </w:rPr>
                  </w:pPr>
                  <w:r>
                    <w:rPr>
                      <w:rFonts w:cs="Times New Roman" w:hint="eastAsia"/>
                      <w:color w:val="auto"/>
                      <w:lang w:eastAsia="zh-CN"/>
                      <w:highlight w:val="none"/>
                    </w:rPr>
                    <w:t>符合</w:t>
                  </w:r>
                </w:p>
              </w:tc>
            </w:tr>
            <w:tr>
              <w:trPr>
                <w:cantSplit/>
                <w:trHeight w:val="318"/>
              </w:trPr>
              <w:tc>
                <w:tcPr>
                  <w:tcW w:w="513" w:type="pct"/>
                  <w:vAlign w:val="center"/>
                </w:tcPr>
                <w:p>
                  <w:pPr>
                    <w:adjustRightInd w:val="0"/>
                    <w:snapToGrid w:val="0"/>
                    <w:jc w:val="center"/>
                    <w:rPr>
                      <w:rFonts w:cs="Times New Roman" w:hint="eastAsia"/>
                      <w:color w:val="auto"/>
                      <w:lang w:eastAsia="zh-CN"/>
                      <w:highlight w:val="none"/>
                    </w:rPr>
                  </w:pPr>
                  <w:r>
                    <w:rPr>
                      <w:rFonts w:ascii="Times New Roman" w:eastAsia="宋体" w:cs="Times New Roman" w:hAnsi="Times New Roman" w:hint="eastAsia"/>
                      <w:color w:val="auto"/>
                      <w:lang w:val="en-US" w:eastAsia="zh-CN"/>
                      <w:highlight w:val="none"/>
                    </w:rPr>
                    <w:t>危险废物的贮存</w:t>
                  </w:r>
                </w:p>
              </w:tc>
              <w:tc>
                <w:tcPr>
                  <w:tcW w:w="2214" w:type="pct"/>
                </w:tcPr>
                <w:p>
                  <w:pPr>
                    <w:adjustRightInd w:val="0"/>
                    <w:snapToGrid w:val="0"/>
                    <w:jc w:val="both"/>
                    <w:rPr>
                      <w:rFonts w:ascii="Times New Roman" w:eastAsia="宋体" w:cs="Times New Roman" w:hAnsi="Times New Roman" w:hint="eastAsia"/>
                      <w:color w:val="auto"/>
                      <w:highlight w:val="none"/>
                    </w:rPr>
                  </w:pPr>
                  <w:r>
                    <w:rPr>
                      <w:rFonts w:ascii="Times New Roman" w:eastAsia="宋体" w:cs="Times New Roman" w:hAnsi="Times New Roman" w:hint="eastAsia"/>
                      <w:color w:val="auto"/>
                      <w:lang w:val="en-US" w:eastAsia="zh-CN"/>
                      <w:highlight w:val="none"/>
                    </w:rPr>
                    <w:t xml:space="preserve">6.1 危险废物贮存可分为产生单位内部贮存、中转贮存及集中性贮存。所对应的贮存设施分别为：产生危险废物的单位用于暂时贮存的设施；拥有危险废物收集经营许可证的单位用于临时贮存废矿物油、废镍镉电池的设施；以及危险废物经营单位所配置的贮存设施。 </w:t>
                  </w:r>
                </w:p>
                <w:p>
                  <w:pPr>
                    <w:adjustRightInd w:val="0"/>
                    <w:snapToGrid w:val="0"/>
                    <w:jc w:val="both"/>
                    <w:rPr>
                      <w:rFonts w:ascii="Times New Roman" w:eastAsia="宋体" w:cs="Times New Roman" w:hAnsi="Times New Roman" w:hint="eastAsia"/>
                      <w:color w:val="auto"/>
                      <w:highlight w:val="none"/>
                    </w:rPr>
                  </w:pPr>
                  <w:r>
                    <w:rPr>
                      <w:rFonts w:ascii="Times New Roman" w:eastAsia="宋体" w:cs="Times New Roman" w:hAnsi="Times New Roman" w:hint="eastAsia"/>
                      <w:color w:val="auto"/>
                      <w:lang w:val="en-US" w:eastAsia="zh-CN"/>
                      <w:highlight w:val="none"/>
                    </w:rPr>
                    <w:t xml:space="preserve">6.2 危险废物贮存设施的选址、设计、建设、运行管理应满足GB18597、GBZ1和GBZ2的有 关要求。 </w:t>
                  </w:r>
                </w:p>
                <w:p>
                  <w:pPr>
                    <w:adjustRightInd w:val="0"/>
                    <w:snapToGrid w:val="0"/>
                    <w:jc w:val="both"/>
                    <w:rPr>
                      <w:rFonts w:ascii="Times New Roman" w:eastAsia="宋体" w:cs="Times New Roman" w:hAnsi="Times New Roman" w:hint="eastAsia"/>
                      <w:color w:val="auto"/>
                      <w:highlight w:val="none"/>
                    </w:rPr>
                  </w:pPr>
                  <w:r>
                    <w:rPr>
                      <w:rFonts w:ascii="Times New Roman" w:eastAsia="宋体" w:cs="Times New Roman" w:hAnsi="Times New Roman" w:hint="eastAsia"/>
                      <w:color w:val="auto"/>
                      <w:lang w:val="en-US" w:eastAsia="zh-CN"/>
                      <w:highlight w:val="none"/>
                    </w:rPr>
                    <w:t xml:space="preserve">6.3 危险废物贮存设施应配备通讯设备、照明设施和消防设施。 </w:t>
                  </w:r>
                </w:p>
                <w:p>
                  <w:pPr>
                    <w:adjustRightInd w:val="0"/>
                    <w:snapToGrid w:val="0"/>
                    <w:jc w:val="both"/>
                    <w:rPr>
                      <w:rFonts w:ascii="Times New Roman" w:eastAsia="宋体" w:cs="Times New Roman" w:hAnsi="Times New Roman" w:hint="eastAsia"/>
                      <w:color w:val="auto"/>
                      <w:lang w:val="en-US" w:eastAsia="zh-CN"/>
                      <w:highlight w:val="none"/>
                    </w:rPr>
                  </w:pPr>
                  <w:r>
                    <w:rPr>
                      <w:rFonts w:ascii="Times New Roman" w:eastAsia="宋体" w:cs="Times New Roman" w:hAnsi="Times New Roman" w:hint="eastAsia"/>
                      <w:color w:val="auto"/>
                      <w:lang w:val="en-US" w:eastAsia="zh-CN"/>
                      <w:highlight w:val="none"/>
                    </w:rPr>
                    <w:t xml:space="preserve">6.4 贮存危险废物时应按危险废物的种类和特性进行分区贮存，每个贮存区域之间宜设置挡墙间隔，并应设置防雨、防火、防雷、防扬尘装置。 </w:t>
                  </w:r>
                </w:p>
                <w:p>
                  <w:pPr>
                    <w:adjustRightInd w:val="0"/>
                    <w:snapToGrid w:val="0"/>
                    <w:jc w:val="both"/>
                    <w:rPr>
                      <w:rFonts w:ascii="Times New Roman" w:eastAsia="宋体" w:cs="Times New Roman" w:hAnsi="Times New Roman" w:hint="eastAsia"/>
                      <w:color w:val="auto"/>
                      <w:highlight w:val="none"/>
                    </w:rPr>
                  </w:pPr>
                  <w:r>
                    <w:rPr>
                      <w:rFonts w:ascii="Times New Roman" w:eastAsia="宋体" w:cs="Times New Roman" w:hAnsi="Times New Roman" w:hint="eastAsia"/>
                      <w:color w:val="auto"/>
                      <w:lang w:val="en-US" w:eastAsia="zh-CN"/>
                      <w:highlight w:val="none"/>
                    </w:rPr>
                    <w:t xml:space="preserve">6.7 危险废物贮存期限应符合《中华人民共和国固体废物污染环境防治法》的有关规定。 </w:t>
                  </w:r>
                </w:p>
                <w:p>
                  <w:pPr>
                    <w:adjustRightInd w:val="0"/>
                    <w:snapToGrid w:val="0"/>
                    <w:jc w:val="both"/>
                    <w:rPr>
                      <w:rFonts w:ascii="Times New Roman" w:eastAsia="宋体" w:cs="Times New Roman" w:hAnsi="Times New Roman" w:hint="eastAsia"/>
                      <w:color w:val="auto"/>
                      <w:highlight w:val="none"/>
                    </w:rPr>
                  </w:pPr>
                  <w:r>
                    <w:rPr>
                      <w:rFonts w:ascii="Times New Roman" w:eastAsia="宋体" w:cs="Times New Roman" w:hAnsi="Times New Roman" w:hint="eastAsia"/>
                      <w:color w:val="auto"/>
                      <w:lang w:val="en-US" w:eastAsia="zh-CN"/>
                      <w:highlight w:val="none"/>
                    </w:rPr>
                    <w:t xml:space="preserve">6.8 危险废物贮存单位应建立危险废物贮存的台帐制度，危险废物出入库交接记录内容应参照本标准附录C执行。 </w:t>
                  </w:r>
                </w:p>
                <w:p>
                  <w:pPr>
                    <w:adjustRightInd w:val="0"/>
                    <w:snapToGrid w:val="0"/>
                    <w:jc w:val="both"/>
                    <w:rPr>
                      <w:rFonts w:ascii="Times New Roman" w:eastAsia="宋体" w:cs="Times New Roman" w:hAnsi="Times New Roman" w:hint="eastAsia"/>
                      <w:color w:val="auto"/>
                      <w:highlight w:val="none"/>
                    </w:rPr>
                  </w:pPr>
                  <w:r>
                    <w:rPr>
                      <w:rFonts w:ascii="Times New Roman" w:eastAsia="宋体" w:cs="Times New Roman" w:hAnsi="Times New Roman" w:hint="eastAsia"/>
                      <w:color w:val="auto"/>
                      <w:lang w:val="en-US" w:eastAsia="zh-CN"/>
                      <w:highlight w:val="none"/>
                    </w:rPr>
                    <w:t xml:space="preserve">6.9 危险废物贮存设施应根据贮存的废物种类和特性按照GB18597附录A设置标志。 </w:t>
                  </w:r>
                </w:p>
                <w:p>
                  <w:pPr>
                    <w:adjustRightInd w:val="0"/>
                    <w:snapToGrid w:val="0"/>
                    <w:jc w:val="both"/>
                    <w:rPr>
                      <w:rFonts w:ascii="Times New Roman" w:eastAsia="宋体" w:cs="Times New Roman" w:hAnsi="Times New Roman" w:hint="eastAsia"/>
                      <w:color w:val="auto"/>
                      <w:highlight w:val="none"/>
                    </w:rPr>
                  </w:pPr>
                  <w:r>
                    <w:rPr>
                      <w:rFonts w:ascii="Times New Roman" w:eastAsia="宋体" w:cs="Times New Roman" w:hAnsi="Times New Roman" w:hint="eastAsia"/>
                      <w:color w:val="auto"/>
                      <w:lang w:val="en-US" w:eastAsia="zh-CN"/>
                      <w:highlight w:val="none"/>
                    </w:rPr>
                    <w:t>6.10 危险废物贮存设施的关闭应按照 GB18597 和《危险废物经营许可证管理办法》的有关规定执行</w:t>
                  </w:r>
                  <w:r>
                    <w:rPr>
                      <w:rFonts w:cs="Times New Roman" w:hint="eastAsia"/>
                      <w:color w:val="auto"/>
                      <w:lang w:val="en-US" w:eastAsia="zh-CN"/>
                      <w:highlight w:val="none"/>
                    </w:rPr>
                    <w:t>。</w:t>
                  </w:r>
                </w:p>
              </w:tc>
              <w:tc>
                <w:tcPr>
                  <w:tcW w:w="1807" w:type="pct"/>
                </w:tcPr>
                <w:p>
                  <w:pPr>
                    <w:adjustRightInd w:val="0"/>
                    <w:snapToGrid w:val="0"/>
                    <w:jc w:val="both"/>
                    <w:rPr>
                      <w:rFonts w:ascii="Times New Roman" w:eastAsia="宋体" w:cs="Times New Roman" w:hAnsi="Times New Roman" w:hint="eastAsia"/>
                      <w:color w:val="auto"/>
                      <w:lang w:eastAsia="zh-CN"/>
                      <w:highlight w:val="none"/>
                    </w:rPr>
                  </w:pPr>
                  <w:r>
                    <w:rPr>
                      <w:rFonts w:cs="Times New Roman" w:hint="eastAsia"/>
                      <w:color w:val="auto"/>
                      <w:lang w:eastAsia="zh-CN"/>
                      <w:highlight w:val="none"/>
                    </w:rPr>
                    <w:t>本项目为废铅蓄电池中转项目，本项目的选址</w:t>
                  </w:r>
                  <w:r>
                    <w:rPr>
                      <w:rFonts w:ascii="Times New Roman" w:eastAsia="宋体" w:cs="Times New Roman" w:hAnsi="Times New Roman" w:hint="eastAsia"/>
                      <w:color w:val="auto"/>
                      <w:lang w:val="en-US" w:eastAsia="zh-CN"/>
                      <w:highlight w:val="none"/>
                    </w:rPr>
                    <w:t>选址、设计、建设、运行管理应满足GB18597、GBZ1和GBZ2的有关要求</w:t>
                  </w:r>
                  <w:r>
                    <w:rPr>
                      <w:rFonts w:cs="Times New Roman" w:hint="eastAsia"/>
                      <w:color w:val="auto"/>
                      <w:lang w:val="en-US" w:eastAsia="zh-CN"/>
                      <w:highlight w:val="none"/>
                    </w:rPr>
                    <w:t>。</w:t>
                  </w:r>
                  <w:r>
                    <w:rPr>
                      <w:rFonts w:ascii="Times New Roman" w:eastAsia="宋体" w:cs="Times New Roman" w:hAnsi="Times New Roman" w:hint="eastAsia"/>
                      <w:color w:val="auto"/>
                      <w:lang w:val="en-US" w:eastAsia="zh-CN"/>
                      <w:highlight w:val="none"/>
                    </w:rPr>
                    <w:t>贮存设施应配备通讯设备、照明设施和消防设施。</w:t>
                  </w:r>
                  <w:r>
                    <w:rPr>
                      <w:rFonts w:cs="Times New Roman" w:hint="eastAsia"/>
                      <w:color w:val="auto"/>
                      <w:lang w:val="en-US" w:eastAsia="zh-CN"/>
                      <w:highlight w:val="none"/>
                    </w:rPr>
                    <w:t>本项目</w:t>
                  </w:r>
                  <w:r>
                    <w:rPr>
                      <w:rFonts w:ascii="Times New Roman" w:eastAsia="宋体" w:cs="Times New Roman" w:hAnsi="Times New Roman" w:hint="eastAsia"/>
                      <w:color w:val="auto"/>
                      <w:lang w:val="en-US" w:eastAsia="zh-CN"/>
                      <w:highlight w:val="none"/>
                    </w:rPr>
                    <w:t>建立危险废物贮存的台帐制度。危险废物贮存设施应根据贮存的废物种类和特性按照GB18597附录A设置标志</w:t>
                  </w:r>
                  <w:r>
                    <w:rPr>
                      <w:rFonts w:cs="Times New Roman" w:hint="eastAsia"/>
                      <w:color w:val="auto"/>
                      <w:lang w:val="en-US" w:eastAsia="zh-CN"/>
                      <w:highlight w:val="none"/>
                    </w:rPr>
                    <w:t>。</w:t>
                  </w:r>
                </w:p>
              </w:tc>
              <w:tc>
                <w:tcPr>
                  <w:tcW w:w="465" w:type="pct"/>
                  <w:vAlign w:val="center"/>
                </w:tcPr>
                <w:p>
                  <w:pPr>
                    <w:adjustRightInd w:val="0"/>
                    <w:snapToGrid w:val="0"/>
                    <w:jc w:val="both"/>
                    <w:rPr>
                      <w:rFonts w:ascii="Times New Roman" w:eastAsia="宋体" w:cs="Times New Roman" w:hAnsi="Times New Roman" w:hint="eastAsia"/>
                      <w:color w:val="auto"/>
                      <w:lang w:eastAsia="zh-CN"/>
                      <w:highlight w:val="none"/>
                    </w:rPr>
                  </w:pPr>
                  <w:r>
                    <w:rPr>
                      <w:rFonts w:cs="Times New Roman" w:hint="eastAsia"/>
                      <w:color w:val="auto"/>
                      <w:lang w:eastAsia="zh-CN"/>
                      <w:highlight w:val="none"/>
                    </w:rPr>
                    <w:t>符合</w:t>
                  </w:r>
                </w:p>
              </w:tc>
            </w:tr>
            <w:tr>
              <w:trPr>
                <w:trHeight w:val="318"/>
              </w:trPr>
              <w:tc>
                <w:tcPr>
                  <w:tcW w:w="513" w:type="pct"/>
                  <w:vAlign w:val="center"/>
                </w:tcPr>
                <w:p>
                  <w:pPr>
                    <w:adjustRightInd w:val="0"/>
                    <w:snapToGrid w:val="0"/>
                    <w:jc w:val="center"/>
                    <w:rPr>
                      <w:rFonts w:ascii="Times New Roman" w:eastAsia="宋体" w:cs="Times New Roman" w:hAnsi="Times New Roman" w:hint="eastAsia"/>
                      <w:color w:val="auto"/>
                      <w:highlight w:val="none"/>
                    </w:rPr>
                  </w:pPr>
                  <w:r>
                    <w:rPr>
                      <w:rFonts w:ascii="Times New Roman" w:eastAsia="宋体" w:cs="Times New Roman" w:hAnsi="Times New Roman" w:hint="eastAsia"/>
                      <w:color w:val="auto"/>
                      <w:lang w:val="en-US" w:eastAsia="zh-CN"/>
                      <w:highlight w:val="none"/>
                    </w:rPr>
                    <w:t>危险废物的运输</w:t>
                  </w:r>
                </w:p>
                <w:p>
                  <w:pPr>
                    <w:adjustRightInd w:val="0"/>
                    <w:snapToGrid w:val="0"/>
                    <w:jc w:val="center"/>
                    <w:rPr>
                      <w:rFonts w:cs="Times New Roman" w:hint="eastAsia"/>
                      <w:color w:val="auto"/>
                      <w:lang w:eastAsia="zh-CN"/>
                      <w:highlight w:val="none"/>
                    </w:rPr>
                  </w:pPr>
                </w:p>
              </w:tc>
              <w:tc>
                <w:tcPr>
                  <w:tcW w:w="2214" w:type="pct"/>
                </w:tcPr>
                <w:p>
                  <w:pPr>
                    <w:adjustRightInd w:val="0"/>
                    <w:snapToGrid w:val="0"/>
                    <w:jc w:val="both"/>
                    <w:rPr>
                      <w:rFonts w:ascii="Times New Roman" w:eastAsia="宋体" w:cs="Times New Roman" w:hAnsi="Times New Roman" w:hint="eastAsia"/>
                      <w:color w:val="auto"/>
                      <w:highlight w:val="none"/>
                    </w:rPr>
                  </w:pPr>
                  <w:r>
                    <w:rPr>
                      <w:rFonts w:ascii="Times New Roman" w:eastAsia="宋体" w:cs="Times New Roman" w:hAnsi="Times New Roman" w:hint="eastAsia"/>
                      <w:color w:val="auto"/>
                      <w:lang w:val="en-US" w:eastAsia="zh-CN"/>
                      <w:highlight w:val="none"/>
                    </w:rPr>
                    <w:t>7.1 危险废物运输应由持有危险废物经营许可证的单位按照其许可证的经营范围组织实施</w:t>
                  </w:r>
                  <w:r>
                    <w:rPr>
                      <w:rFonts w:cs="Times New Roman" w:hint="eastAsia"/>
                      <w:color w:val="auto"/>
                      <w:lang w:val="en-US" w:eastAsia="zh-CN"/>
                      <w:highlight w:val="none"/>
                    </w:rPr>
                    <w:t>，</w:t>
                  </w:r>
                  <w:r>
                    <w:rPr>
                      <w:rFonts w:ascii="Times New Roman" w:eastAsia="宋体" w:cs="Times New Roman" w:hAnsi="Times New Roman" w:hint="eastAsia"/>
                      <w:color w:val="auto"/>
                      <w:lang w:val="en-US" w:eastAsia="zh-CN"/>
                      <w:highlight w:val="none"/>
                    </w:rPr>
                    <w:t xml:space="preserve">承担危险废物运输的单位应获得交通运输部门颁发的危险货物运输资质。 </w:t>
                  </w:r>
                </w:p>
                <w:p>
                  <w:pPr>
                    <w:adjustRightInd w:val="0"/>
                    <w:snapToGrid w:val="0"/>
                    <w:jc w:val="both"/>
                    <w:rPr>
                      <w:rFonts w:ascii="Times New Roman" w:eastAsia="宋体" w:cs="Times New Roman" w:hAnsi="Times New Roman" w:hint="eastAsia"/>
                      <w:color w:val="auto"/>
                      <w:highlight w:val="none"/>
                    </w:rPr>
                  </w:pPr>
                  <w:r>
                    <w:rPr>
                      <w:rFonts w:ascii="Times New Roman" w:eastAsia="宋体" w:cs="Times New Roman" w:hAnsi="Times New Roman" w:hint="eastAsia"/>
                      <w:color w:val="auto"/>
                      <w:lang w:val="en-US" w:eastAsia="zh-CN"/>
                      <w:highlight w:val="none"/>
                    </w:rPr>
                    <w:t xml:space="preserve">7.2 危险废物公路运输应按照《道路危险货物运输管理规定》(交通部令[2005 年]第 9 号)、JT617 以及 JT618 执行；危险废物铁路运输应按《铁路危险货物运输管理规则》(铁运[2006]79号)规定执行；危险废物水路运输应按《水路危险货物运输规则》(交通部令[1996 年]第10号)规定执行。 </w:t>
                  </w:r>
                </w:p>
                <w:p>
                  <w:pPr>
                    <w:adjustRightInd w:val="0"/>
                    <w:snapToGrid w:val="0"/>
                    <w:jc w:val="both"/>
                    <w:rPr>
                      <w:rFonts w:ascii="Times New Roman" w:eastAsia="宋体" w:cs="Times New Roman" w:hAnsi="Times New Roman" w:hint="eastAsia"/>
                      <w:color w:val="auto"/>
                      <w:highlight w:val="none"/>
                    </w:rPr>
                  </w:pPr>
                  <w:r>
                    <w:rPr>
                      <w:rFonts w:ascii="Times New Roman" w:eastAsia="宋体" w:cs="Times New Roman" w:hAnsi="Times New Roman" w:hint="eastAsia"/>
                      <w:color w:val="auto"/>
                      <w:lang w:val="en-US" w:eastAsia="zh-CN"/>
                      <w:highlight w:val="none"/>
                    </w:rPr>
                    <w:t xml:space="preserve">7.3 废弃危险化学品的运输应执行《危险化学品安全管理条例》有关运输的规定。 </w:t>
                  </w:r>
                </w:p>
                <w:p>
                  <w:pPr>
                    <w:adjustRightInd w:val="0"/>
                    <w:snapToGrid w:val="0"/>
                    <w:jc w:val="both"/>
                    <w:rPr>
                      <w:rFonts w:ascii="Times New Roman" w:eastAsia="宋体" w:cs="Times New Roman" w:hAnsi="Times New Roman" w:hint="eastAsia"/>
                      <w:color w:val="auto"/>
                      <w:highlight w:val="none"/>
                    </w:rPr>
                  </w:pPr>
                  <w:r>
                    <w:rPr>
                      <w:rFonts w:ascii="Times New Roman" w:eastAsia="宋体" w:cs="Times New Roman" w:hAnsi="Times New Roman" w:hint="eastAsia"/>
                      <w:color w:val="auto"/>
                      <w:lang w:val="en-US" w:eastAsia="zh-CN"/>
                      <w:highlight w:val="none"/>
                    </w:rPr>
                    <w:t xml:space="preserve">7.4 运输单位承运危险废物时，应在危险废物包装上按照 GB18597 附录 A 设置标志，其中医疗废物包装容器上的标志应按 HJ421 要求设置。 </w:t>
                  </w:r>
                </w:p>
                <w:p>
                  <w:pPr>
                    <w:adjustRightInd w:val="0"/>
                    <w:snapToGrid w:val="0"/>
                    <w:jc w:val="both"/>
                    <w:rPr>
                      <w:rFonts w:ascii="Times New Roman" w:eastAsia="宋体" w:cs="Times New Roman" w:hAnsi="Times New Roman" w:hint="eastAsia"/>
                      <w:color w:val="auto"/>
                      <w:highlight w:val="none"/>
                    </w:rPr>
                  </w:pPr>
                  <w:r>
                    <w:rPr>
                      <w:rFonts w:ascii="Times New Roman" w:eastAsia="宋体" w:cs="Times New Roman" w:hAnsi="Times New Roman" w:hint="eastAsia"/>
                      <w:color w:val="auto"/>
                      <w:lang w:val="en-US" w:eastAsia="zh-CN"/>
                      <w:highlight w:val="none"/>
                    </w:rPr>
                    <w:t xml:space="preserve">7.5 危险废物公路运输时，运输车辆应按 GB13392 设置车辆标志。铁路运输和水路运输危险废物时应在集装箱外按 GB190 规定悬挂标志。 </w:t>
                  </w:r>
                </w:p>
                <w:p>
                  <w:pPr>
                    <w:adjustRightInd w:val="0"/>
                    <w:snapToGrid w:val="0"/>
                    <w:jc w:val="both"/>
                    <w:rPr>
                      <w:rFonts w:ascii="Times New Roman" w:eastAsia="宋体" w:cs="Times New Roman" w:hAnsi="Times New Roman" w:hint="eastAsia"/>
                      <w:color w:val="auto"/>
                      <w:highlight w:val="none"/>
                    </w:rPr>
                  </w:pPr>
                  <w:r>
                    <w:rPr>
                      <w:rFonts w:ascii="Times New Roman" w:eastAsia="宋体" w:cs="Times New Roman" w:hAnsi="Times New Roman" w:hint="eastAsia"/>
                      <w:color w:val="auto"/>
                      <w:lang w:val="en-US" w:eastAsia="zh-CN"/>
                      <w:highlight w:val="none"/>
                    </w:rPr>
                    <w:t xml:space="preserve">7.6 危险废物运输时的中转、装卸过程应遵守如下技术要求： </w:t>
                  </w:r>
                </w:p>
                <w:p>
                  <w:pPr>
                    <w:adjustRightInd w:val="0"/>
                    <w:snapToGrid w:val="0"/>
                    <w:jc w:val="both"/>
                    <w:rPr>
                      <w:rFonts w:ascii="Times New Roman" w:eastAsia="宋体" w:cs="Times New Roman" w:hAnsi="Times New Roman" w:hint="eastAsia"/>
                      <w:color w:val="auto"/>
                      <w:highlight w:val="none"/>
                    </w:rPr>
                  </w:pPr>
                  <w:r>
                    <w:rPr>
                      <w:rFonts w:ascii="Times New Roman" w:eastAsia="宋体" w:cs="Times New Roman" w:hAnsi="Times New Roman" w:hint="eastAsia"/>
                      <w:color w:val="auto"/>
                      <w:lang w:val="en-US" w:eastAsia="zh-CN"/>
                      <w:highlight w:val="none"/>
                    </w:rPr>
                    <w:t xml:space="preserve">(1)卸载区的工作人员应熟悉废物的危险特性，并配备适当的个人防护装备，装卸剧毒废物应配备特殊的防护装备。 </w:t>
                  </w:r>
                </w:p>
                <w:p>
                  <w:pPr>
                    <w:adjustRightInd w:val="0"/>
                    <w:snapToGrid w:val="0"/>
                    <w:jc w:val="both"/>
                    <w:rPr>
                      <w:rFonts w:ascii="Times New Roman" w:eastAsia="宋体" w:cs="Times New Roman" w:hAnsi="Times New Roman" w:hint="eastAsia"/>
                      <w:color w:val="auto"/>
                      <w:highlight w:val="none"/>
                    </w:rPr>
                  </w:pPr>
                  <w:r>
                    <w:rPr>
                      <w:rFonts w:ascii="Times New Roman" w:eastAsia="宋体" w:cs="Times New Roman" w:hAnsi="Times New Roman" w:hint="eastAsia"/>
                      <w:color w:val="auto"/>
                      <w:lang w:val="en-US" w:eastAsia="zh-CN"/>
                      <w:highlight w:val="none"/>
                    </w:rPr>
                    <w:t xml:space="preserve">(2)卸载区应配备必要的消防设备和设施，并设置明显的指示标志。 </w:t>
                  </w:r>
                </w:p>
                <w:p>
                  <w:pPr>
                    <w:adjustRightInd w:val="0"/>
                    <w:snapToGrid w:val="0"/>
                    <w:jc w:val="both"/>
                    <w:rPr>
                      <w:rFonts w:ascii="Times New Roman" w:eastAsia="宋体" w:cs="Times New Roman" w:hAnsi="Times New Roman" w:hint="eastAsia"/>
                      <w:color w:val="auto"/>
                      <w:highlight w:val="none"/>
                    </w:rPr>
                  </w:pPr>
                  <w:r>
                    <w:rPr>
                      <w:rFonts w:ascii="Times New Roman" w:eastAsia="宋体" w:cs="Times New Roman" w:hAnsi="Times New Roman" w:hint="eastAsia"/>
                      <w:color w:val="auto"/>
                      <w:lang w:val="en-US" w:eastAsia="zh-CN"/>
                      <w:highlight w:val="none"/>
                    </w:rPr>
                    <w:t>(3)危险废物装卸区应设置隔离设施，液态废物卸载区应设置收集槽和缓冲罐。</w:t>
                  </w:r>
                </w:p>
              </w:tc>
              <w:tc>
                <w:tcPr>
                  <w:tcW w:w="1807" w:type="pct"/>
                </w:tcPr>
                <w:p>
                  <w:pPr>
                    <w:adjustRightInd w:val="0"/>
                    <w:snapToGrid w:val="0"/>
                    <w:jc w:val="both"/>
                    <w:rPr>
                      <w:rFonts w:ascii="Times New Roman" w:eastAsia="宋体" w:cs="Times New Roman" w:hAnsi="Times New Roman"/>
                      <w:color w:val="auto"/>
                      <w:highlight w:val="none"/>
                    </w:rPr>
                  </w:pPr>
                  <w:r>
                    <w:rPr>
                      <w:rFonts w:cs="Times New Roman" w:hint="eastAsia"/>
                      <w:color w:val="auto"/>
                      <w:lang w:val="en-US" w:eastAsia="zh-CN"/>
                      <w:highlight w:val="none"/>
                    </w:rPr>
                    <w:t>本项目不涉及运输，委托专业、有资质单位进行运输。</w:t>
                  </w:r>
                </w:p>
              </w:tc>
              <w:tc>
                <w:tcPr>
                  <w:tcW w:w="465" w:type="pct"/>
                  <w:vAlign w:val="center"/>
                </w:tcPr>
                <w:p>
                  <w:pPr>
                    <w:adjustRightInd w:val="0"/>
                    <w:snapToGrid w:val="0"/>
                    <w:jc w:val="both"/>
                    <w:rPr>
                      <w:rFonts w:ascii="Times New Roman" w:eastAsia="宋体" w:cs="Times New Roman" w:hAnsi="Times New Roman" w:hint="eastAsia"/>
                      <w:color w:val="auto"/>
                      <w:lang w:eastAsia="zh-CN"/>
                      <w:highlight w:val="none"/>
                    </w:rPr>
                  </w:pPr>
                  <w:r>
                    <w:rPr>
                      <w:rFonts w:cs="Times New Roman" w:hint="eastAsia"/>
                      <w:color w:val="auto"/>
                      <w:lang w:eastAsia="zh-CN"/>
                      <w:highlight w:val="none"/>
                    </w:rPr>
                    <w:t>符合</w:t>
                  </w:r>
                </w:p>
              </w:tc>
            </w:tr>
          </w:tbl>
          <w:p>
            <w:pPr>
              <w:pStyle w:val="69"/>
              <w:numPr>
                <w:ilvl w:val="0"/>
                <w:numId w:val="2"/>
              </w:numPr>
              <w:spacing w:line="360" w:lineRule="auto"/>
              <w:ind w:left="122" w:firstLine="473"/>
              <w:rPr>
                <w:rFonts w:ascii="Times New Roman" w:eastAsia="宋体" w:cs="Times New Roman" w:hAnsi="Times New Roman"/>
                <w:color w:val="auto"/>
                <w:kern w:val="2"/>
                <w:sz w:val="24"/>
                <w:szCs w:val="24"/>
                <w:lang w:val="en-US" w:eastAsia="zh-CN" w:bidi="ar-SA"/>
                <w:highlight w:val="none"/>
              </w:rPr>
            </w:pPr>
            <w:r>
              <w:rPr>
                <w:rFonts w:ascii="Times New Roman" w:eastAsia="宋体" w:cs="Times New Roman" w:hAnsi="Times New Roman" w:hint="eastAsia"/>
                <w:color w:val="auto"/>
                <w:kern w:val="2"/>
                <w:sz w:val="24"/>
                <w:szCs w:val="24"/>
                <w:lang w:val="en-US" w:eastAsia="zh-CN" w:bidi="ar-SA"/>
                <w:highlight w:val="none"/>
              </w:rPr>
              <w:t>与《国务院办公厅关于印发强化危险废物监管和利用处置能力改革实施方案的通知》（国办函[2021]47号）的符合性分析</w:t>
            </w:r>
          </w:p>
          <w:p>
            <w:pPr>
              <w:pStyle w:val="69"/>
              <w:widowControl/>
              <w:kinsoku w:val="0"/>
              <w:autoSpaceDE w:val="0"/>
              <w:autoSpaceDN w:val="0"/>
              <w:adjustRightInd w:val="0"/>
              <w:snapToGrid w:val="0"/>
              <w:spacing w:line="360" w:lineRule="auto"/>
              <w:jc w:val="left"/>
              <w:textAlignment w:val="baseline"/>
              <w:rPr>
                <w:rFonts w:ascii="Times New Roman" w:eastAsia="宋体" w:cs="Times New Roman" w:hAnsi="Times New Roman"/>
                <w:color w:val="auto"/>
                <w:kern w:val="2"/>
                <w:sz w:val="24"/>
                <w:szCs w:val="24"/>
                <w:lang w:val="en-US" w:eastAsia="zh-CN" w:bidi="ar-SA"/>
                <w:highlight w:val="none"/>
              </w:rPr>
            </w:pPr>
          </w:p>
          <w:p>
            <w:pPr>
              <w:ind w:firstLineChars="200" w:firstLine="480"/>
              <w:jc w:val="center"/>
              <w:rPr>
                <w:rFonts w:ascii="Times New Roman" w:eastAsia="宋体" w:cs="Times New Roman" w:hAnsi="Times New Roman" w:hint="eastAsia"/>
                <w:b/>
                <w:bCs/>
                <w:color w:val="auto"/>
                <w:sz w:val="24"/>
                <w:highlight w:val="none"/>
              </w:rPr>
            </w:pPr>
            <w:r>
              <w:rPr>
                <w:rFonts w:ascii="Times New Roman" w:eastAsia="宋体" w:cs="Times New Roman" w:hAnsi="Times New Roman" w:hint="eastAsia"/>
                <w:b/>
                <w:bCs/>
                <w:color w:val="auto"/>
                <w:sz w:val="24"/>
                <w:highlight w:val="none"/>
              </w:rPr>
              <w:t>表1-</w:t>
            </w:r>
            <w:r>
              <w:rPr>
                <w:rFonts w:cs="Times New Roman" w:hint="eastAsia"/>
                <w:b/>
                <w:bCs/>
                <w:color w:val="auto"/>
                <w:sz w:val="24"/>
                <w:lang w:val="en-US" w:eastAsia="zh-CN"/>
                <w:highlight w:val="none"/>
              </w:rPr>
              <w:t>23</w:t>
            </w:r>
            <w:r>
              <w:rPr>
                <w:rFonts w:ascii="Times New Roman" w:eastAsia="宋体" w:cs="Times New Roman" w:hAnsi="Times New Roman" w:hint="eastAsia"/>
                <w:b/>
                <w:bCs/>
                <w:color w:val="auto"/>
                <w:sz w:val="24"/>
                <w:highlight w:val="none"/>
              </w:rPr>
              <w:t xml:space="preserve">  与《国务院办公厅关于印发强化危险废物监管和利用处置能力改革实施方案的通知》（国办函[2021]47号）符合性分析一览表</w:t>
            </w:r>
          </w:p>
          <w:tbl>
            <w:tblPr>
              <w:jc w:val="center"/>
              <w:tblW w:w="4998" w:type="pct"/>
              <w:tblBorders>
                <w:top w:val="single" w:sz="12" w:space="0" w:color="auto"/>
                <w:left w:val="none" w:sz="0" w:space="0" w:color="auto"/>
                <w:bottom w:val="single" w:sz="12" w:space="0" w:color="auto"/>
                <w:right w:val="none" w:sz="0" w:space="0" w:color="auto"/>
                <w:insideH w:val="single" w:sz="4" w:space="0" w:color="auto"/>
                <w:insideV w:val="single" w:sz="4" w:space="0" w:color="auto"/>
              </w:tblBorders>
              <w:tblCellMar>
                <w:top w:w="0" w:type="dxa"/>
                <w:left w:w="108" w:type="dxa"/>
                <w:bottom w:w="0" w:type="dxa"/>
                <w:right w:w="108" w:type="dxa"/>
              </w:tblCellMar>
              <w:tblLook w:val="0600" w:firstRow="0" w:lastRow="0" w:firstColumn="0" w:lastColumn="0" w:noHBand="1" w:noVBand="1"/>
            </w:tblPr>
            <w:tblGrid>
              <w:gridCol w:w="780"/>
              <w:gridCol w:w="3365"/>
              <w:gridCol w:w="2746"/>
              <w:gridCol w:w="707"/>
            </w:tblGrid>
            <w:tr>
              <w:trPr>
                <w:cantSplit/>
                <w:trHeight w:val="318"/>
                <w:tblHeader/>
              </w:trPr>
              <w:tc>
                <w:tcPr>
                  <w:tcW w:w="513" w:type="pct"/>
                  <w:vAlign w:val="center"/>
                </w:tcPr>
                <w:p>
                  <w:pPr>
                    <w:snapToGrid w:val="0"/>
                    <w:jc w:val="center"/>
                    <w:rPr>
                      <w:rFonts w:hint="eastAsia"/>
                      <w:b/>
                      <w:color w:val="auto"/>
                      <w:szCs w:val="21"/>
                    </w:rPr>
                  </w:pPr>
                  <w:r>
                    <w:rPr>
                      <w:rFonts w:hint="eastAsia"/>
                      <w:b/>
                      <w:color w:val="auto"/>
                      <w:szCs w:val="21"/>
                    </w:rPr>
                    <w:t>项目</w:t>
                  </w:r>
                </w:p>
              </w:tc>
              <w:tc>
                <w:tcPr>
                  <w:tcW w:w="2214" w:type="pct"/>
                  <w:vAlign w:val="center"/>
                </w:tcPr>
                <w:p>
                  <w:pPr>
                    <w:snapToGrid w:val="0"/>
                    <w:jc w:val="center"/>
                    <w:rPr>
                      <w:rFonts w:hint="eastAsia"/>
                      <w:b/>
                      <w:color w:val="auto"/>
                      <w:szCs w:val="21"/>
                    </w:rPr>
                  </w:pPr>
                  <w:r>
                    <w:rPr>
                      <w:rFonts w:hint="eastAsia"/>
                      <w:b/>
                      <w:color w:val="auto"/>
                      <w:szCs w:val="21"/>
                    </w:rPr>
                    <w:t>规范要求</w:t>
                  </w:r>
                </w:p>
              </w:tc>
              <w:tc>
                <w:tcPr>
                  <w:tcW w:w="1807" w:type="pct"/>
                  <w:vAlign w:val="center"/>
                </w:tcPr>
                <w:p>
                  <w:pPr>
                    <w:snapToGrid w:val="0"/>
                    <w:jc w:val="center"/>
                    <w:rPr>
                      <w:rFonts w:hint="eastAsia"/>
                      <w:b/>
                      <w:color w:val="auto"/>
                      <w:szCs w:val="21"/>
                    </w:rPr>
                  </w:pPr>
                  <w:r>
                    <w:rPr>
                      <w:rFonts w:hint="eastAsia"/>
                      <w:b/>
                      <w:color w:val="auto"/>
                      <w:szCs w:val="21"/>
                    </w:rPr>
                    <w:t>项目建设条件</w:t>
                  </w:r>
                </w:p>
              </w:tc>
              <w:tc>
                <w:tcPr>
                  <w:tcW w:w="465" w:type="pct"/>
                  <w:vAlign w:val="center"/>
                </w:tcPr>
                <w:p>
                  <w:pPr>
                    <w:snapToGrid w:val="0"/>
                    <w:jc w:val="center"/>
                    <w:rPr>
                      <w:rFonts w:hint="eastAsia"/>
                      <w:b/>
                      <w:color w:val="auto"/>
                      <w:szCs w:val="21"/>
                    </w:rPr>
                  </w:pPr>
                  <w:r>
                    <w:rPr>
                      <w:rFonts w:hint="eastAsia"/>
                      <w:b/>
                      <w:color w:val="auto"/>
                      <w:szCs w:val="21"/>
                    </w:rPr>
                    <w:t>相符性</w:t>
                  </w:r>
                </w:p>
              </w:tc>
            </w:tr>
            <w:tr>
              <w:trPr>
                <w:trHeight w:val="318"/>
              </w:trPr>
              <w:tc>
                <w:tcPr>
                  <w:tcW w:w="513" w:type="pct"/>
                  <w:vAlign w:val="center"/>
                </w:tcPr>
                <w:p>
                  <w:pPr>
                    <w:adjustRightInd w:val="0"/>
                    <w:snapToGrid w:val="0"/>
                    <w:jc w:val="center"/>
                    <w:rPr>
                      <w:rFonts w:ascii="Times New Roman" w:eastAsia="宋体" w:cs="Times New Roman" w:hAnsi="Times New Roman" w:hint="eastAsia"/>
                      <w:color w:val="auto"/>
                      <w:highlight w:val="none"/>
                    </w:rPr>
                  </w:pPr>
                  <w:r>
                    <w:rPr>
                      <w:rFonts w:ascii="Times New Roman" w:eastAsia="宋体" w:cs="Times New Roman" w:hAnsi="Times New Roman" w:hint="eastAsia"/>
                      <w:color w:val="auto"/>
                      <w:highlight w:val="none"/>
                    </w:rPr>
                    <w:t>强化危险废物收集转运等过程监管</w:t>
                  </w:r>
                </w:p>
              </w:tc>
              <w:tc>
                <w:tcPr>
                  <w:tcW w:w="2214" w:type="pct"/>
                </w:tcPr>
                <w:p>
                  <w:pPr>
                    <w:adjustRightInd w:val="0"/>
                    <w:snapToGrid w:val="0"/>
                    <w:jc w:val="both"/>
                    <w:rPr>
                      <w:rFonts w:ascii="Times New Roman" w:eastAsia="宋体" w:cs="Times New Roman" w:hAnsi="Times New Roman" w:hint="eastAsia"/>
                      <w:color w:val="auto"/>
                      <w:highlight w:val="none"/>
                    </w:rPr>
                  </w:pPr>
                  <w:r>
                    <w:rPr>
                      <w:rFonts w:ascii="Times New Roman" w:eastAsia="宋体" w:cs="Times New Roman" w:hAnsi="Times New Roman" w:hint="eastAsia"/>
                      <w:color w:val="auto"/>
                      <w:highlight w:val="none"/>
                    </w:rPr>
                    <w:t>（十一）推动收集转运贮存专业化。深入推进生活垃圾分类，建立有害垃圾收集转运体系。（住房城乡建设部牵头，相关部门参与）支持危险废物专业收集转运和利用处置单位建设区域性收集网点和贮存设施，开展小微企业、科研机构、学校等产生的危险废物有偿收集转运服务。开展工业园区危险废物集中收集贮存试点。鼓励在有条件的高校集中区域开展实验室危险废物分类收集和预处理示范项目建设。（生态环境部、交通运输部、教育部等按职责分工负责）</w:t>
                  </w:r>
                </w:p>
                <w:p>
                  <w:pPr>
                    <w:adjustRightInd w:val="0"/>
                    <w:snapToGrid w:val="0"/>
                    <w:jc w:val="both"/>
                    <w:rPr>
                      <w:rFonts w:ascii="Times New Roman" w:eastAsia="宋体" w:cs="Times New Roman" w:hAnsi="Times New Roman" w:hint="eastAsia"/>
                      <w:color w:val="auto"/>
                      <w:highlight w:val="none"/>
                    </w:rPr>
                  </w:pPr>
                  <w:r>
                    <w:rPr>
                      <w:rFonts w:ascii="Times New Roman" w:eastAsia="宋体" w:cs="Times New Roman" w:hAnsi="Times New Roman" w:hint="eastAsia"/>
                      <w:color w:val="auto"/>
                      <w:highlight w:val="none"/>
                    </w:rPr>
                    <w:t>（十二）推进转移运输便捷化。建立危险废物和医疗废物运输车辆备案制度，完善“点对点”的常备通行路线，实现危险废物和医疗废物运输车辆规范有序、安全便捷通行。（公安部、生态环境部、交通运输部、国家卫生健康委等按职责分工负责）根据企业环境信用记录和环境风险可控程度等，以“白名单”方式简化危险废物跨省转移审批程序。维护危险废物跨区域转移公平竞争市场秩序，各地不得设置不合理行政壁垒。（生态环境部负责）</w:t>
                  </w:r>
                </w:p>
                <w:p>
                  <w:pPr>
                    <w:adjustRightInd w:val="0"/>
                    <w:snapToGrid w:val="0"/>
                    <w:jc w:val="both"/>
                    <w:rPr>
                      <w:rFonts w:ascii="Times New Roman" w:eastAsia="宋体" w:cs="Times New Roman" w:hAnsi="Times New Roman" w:hint="eastAsia"/>
                      <w:color w:val="auto"/>
                      <w:highlight w:val="none"/>
                    </w:rPr>
                  </w:pPr>
                  <w:r>
                    <w:rPr>
                      <w:rFonts w:ascii="Times New Roman" w:eastAsia="宋体" w:cs="Times New Roman" w:hAnsi="Times New Roman" w:hint="eastAsia"/>
                      <w:color w:val="auto"/>
                      <w:highlight w:val="none"/>
                    </w:rPr>
                    <w:t>（十三）严厉打击涉危险废物违法犯罪行为。强化危险废物环境执法，将其作为生态环境保护综合执法重要内容。严厉打击非法排放、倾倒、收集、贮存、转移、利用、处置危险废物等环境违法犯罪行为，实施生态环境损害赔偿制度，强化行政执法与刑事司法、检察公益诉讼的协调联动。（最高人民法院、最高人民检察院、公安部、生态环境部等按职责分工负责）对自查自纠并及时妥善处置历史遗留危险废物的企业，依法从轻处罚。（最高人民法院、最高人民检察院牵头，生态环境部等参与）</w:t>
                  </w:r>
                </w:p>
              </w:tc>
              <w:tc>
                <w:tcPr>
                  <w:tcW w:w="1807" w:type="pct"/>
                </w:tcPr>
                <w:p>
                  <w:pPr>
                    <w:adjustRightInd w:val="0"/>
                    <w:snapToGrid w:val="0"/>
                    <w:jc w:val="both"/>
                    <w:rPr>
                      <w:rFonts w:ascii="Times New Roman" w:eastAsia="宋体" w:cs="Times New Roman" w:hAnsi="Times New Roman"/>
                      <w:color w:val="auto"/>
                      <w:highlight w:val="none"/>
                    </w:rPr>
                  </w:pPr>
                  <w:r>
                    <w:rPr>
                      <w:rFonts w:ascii="Times New Roman" w:eastAsia="宋体" w:cs="Times New Roman" w:hAnsi="Times New Roman"/>
                      <w:color w:val="auto"/>
                      <w:highlight w:val="none"/>
                    </w:rPr>
                    <w:t>本项目</w:t>
                  </w:r>
                  <w:r>
                    <w:rPr>
                      <w:rFonts w:cs="Times New Roman" w:hint="eastAsia"/>
                      <w:color w:val="auto"/>
                      <w:lang w:eastAsia="zh-CN"/>
                      <w:highlight w:val="none"/>
                    </w:rPr>
                    <w:t>为废铅蓄电池中转项目，项目的建设可为园区集中收集活动提供贮存场所</w:t>
                  </w:r>
                  <w:r>
                    <w:rPr>
                      <w:rFonts w:ascii="Times New Roman" w:eastAsia="宋体" w:cs="Times New Roman" w:hAnsi="Times New Roman"/>
                      <w:color w:val="auto"/>
                      <w:highlight w:val="none"/>
                    </w:rPr>
                    <w:t>。</w:t>
                  </w:r>
                </w:p>
                <w:p>
                  <w:pPr>
                    <w:adjustRightInd w:val="0"/>
                    <w:snapToGrid w:val="0"/>
                    <w:jc w:val="both"/>
                    <w:rPr>
                      <w:rFonts w:ascii="Times New Roman" w:eastAsia="宋体" w:cs="Times New Roman" w:hAnsi="Times New Roman" w:hint="eastAsia"/>
                      <w:color w:val="auto"/>
                      <w:lang w:eastAsia="zh-CN"/>
                      <w:highlight w:val="none"/>
                    </w:rPr>
                  </w:pPr>
                  <w:r>
                    <w:rPr>
                      <w:rFonts w:cs="Times New Roman" w:hint="eastAsia"/>
                      <w:color w:val="auto"/>
                      <w:lang w:eastAsia="zh-CN"/>
                      <w:highlight w:val="none"/>
                    </w:rPr>
                    <w:t>本项目不涉及</w:t>
                  </w:r>
                  <w:r>
                    <w:rPr>
                      <w:rFonts w:cs="Times New Roman" w:hint="eastAsia"/>
                      <w:color w:val="auto"/>
                      <w:lang w:val="en-US" w:eastAsia="zh-CN"/>
                      <w:highlight w:val="none"/>
                    </w:rPr>
                    <w:t>运输，委托专业、有资质单位进行运输。</w:t>
                  </w:r>
                </w:p>
              </w:tc>
              <w:tc>
                <w:tcPr>
                  <w:tcW w:w="465" w:type="pct"/>
                  <w:vAlign w:val="center"/>
                </w:tcPr>
                <w:p>
                  <w:pPr>
                    <w:adjustRightInd w:val="0"/>
                    <w:snapToGrid w:val="0"/>
                    <w:jc w:val="both"/>
                    <w:rPr>
                      <w:rFonts w:ascii="Times New Roman" w:eastAsia="宋体" w:cs="Times New Roman" w:hAnsi="Times New Roman" w:hint="eastAsia"/>
                      <w:color w:val="auto"/>
                      <w:highlight w:val="none"/>
                    </w:rPr>
                  </w:pPr>
                  <w:r>
                    <w:rPr>
                      <w:rFonts w:ascii="Times New Roman" w:eastAsia="宋体" w:cs="Times New Roman" w:hAnsi="Times New Roman"/>
                      <w:color w:val="auto"/>
                      <w:highlight w:val="none"/>
                    </w:rPr>
                    <w:t>符合</w:t>
                  </w:r>
                </w:p>
              </w:tc>
            </w:tr>
          </w:tbl>
          <w:p>
            <w:pPr>
              <w:pStyle w:val="69"/>
              <w:numPr>
                <w:ilvl w:val="0"/>
                <w:numId w:val="2"/>
              </w:numPr>
              <w:spacing w:line="360" w:lineRule="auto"/>
              <w:ind w:left="122" w:firstLine="473"/>
              <w:rPr>
                <w:rFonts w:ascii="Times New Roman" w:eastAsia="宋体" w:cs="Times New Roman" w:hAnsi="Times New Roman" w:hint="eastAsia"/>
                <w:color w:val="auto"/>
                <w:kern w:val="2"/>
                <w:sz w:val="24"/>
                <w:szCs w:val="24"/>
                <w:lang w:val="en-US" w:eastAsia="zh-CN" w:bidi="ar-SA"/>
                <w:highlight w:val="none"/>
              </w:rPr>
            </w:pPr>
            <w:r>
              <w:rPr>
                <w:rFonts w:ascii="Times New Roman" w:eastAsia="宋体" w:cs="Times New Roman" w:hAnsi="Times New Roman" w:hint="eastAsia"/>
                <w:color w:val="auto"/>
                <w:kern w:val="2"/>
                <w:sz w:val="24"/>
                <w:szCs w:val="24"/>
                <w:lang w:val="en-US" w:eastAsia="zh-CN" w:bidi="ar-SA"/>
                <w:highlight w:val="none"/>
              </w:rPr>
              <w:t>与《废旧电池回收技术规范》（GB/T39224-2020）的符合性分析</w:t>
            </w:r>
          </w:p>
          <w:p>
            <w:pPr>
              <w:pStyle w:val="69"/>
              <w:widowControl/>
              <w:kinsoku w:val="0"/>
              <w:autoSpaceDE w:val="0"/>
              <w:autoSpaceDN w:val="0"/>
              <w:adjustRightInd w:val="0"/>
              <w:snapToGrid w:val="0"/>
              <w:spacing w:line="360" w:lineRule="auto"/>
              <w:jc w:val="left"/>
              <w:textAlignment w:val="baseline"/>
              <w:rPr>
                <w:rFonts w:ascii="Times New Roman" w:eastAsia="宋体" w:cs="Times New Roman" w:hAnsi="Times New Roman"/>
                <w:color w:val="auto"/>
                <w:kern w:val="2"/>
                <w:sz w:val="24"/>
                <w:szCs w:val="24"/>
                <w:lang w:val="en-US" w:eastAsia="zh-CN" w:bidi="ar-SA"/>
                <w:highlight w:val="none"/>
              </w:rPr>
            </w:pPr>
          </w:p>
          <w:p>
            <w:pPr>
              <w:ind w:firstLineChars="200" w:firstLine="480"/>
              <w:jc w:val="center"/>
              <w:rPr>
                <w:rFonts w:ascii="Times New Roman" w:eastAsia="宋体" w:cs="Times New Roman" w:hAnsi="Times New Roman" w:hint="eastAsia"/>
                <w:b/>
                <w:bCs/>
                <w:color w:val="auto"/>
                <w:sz w:val="24"/>
                <w:highlight w:val="none"/>
              </w:rPr>
            </w:pPr>
            <w:r>
              <w:rPr>
                <w:rFonts w:ascii="Times New Roman" w:eastAsia="宋体" w:cs="Times New Roman" w:hAnsi="Times New Roman" w:hint="eastAsia"/>
                <w:b/>
                <w:bCs/>
                <w:color w:val="auto"/>
                <w:sz w:val="24"/>
                <w:highlight w:val="none"/>
              </w:rPr>
              <w:t>表1-</w:t>
            </w:r>
            <w:r>
              <w:rPr>
                <w:rFonts w:cs="Times New Roman" w:hint="eastAsia"/>
                <w:b/>
                <w:bCs/>
                <w:color w:val="auto"/>
                <w:sz w:val="24"/>
                <w:lang w:val="en-US" w:eastAsia="zh-CN"/>
                <w:highlight w:val="none"/>
              </w:rPr>
              <w:t>24</w:t>
            </w:r>
            <w:r>
              <w:rPr>
                <w:rFonts w:ascii="Times New Roman" w:eastAsia="宋体" w:cs="Times New Roman" w:hAnsi="Times New Roman" w:hint="eastAsia"/>
                <w:b/>
                <w:bCs/>
                <w:color w:val="auto"/>
                <w:sz w:val="24"/>
                <w:highlight w:val="none"/>
              </w:rPr>
              <w:t xml:space="preserve">  与</w:t>
            </w:r>
            <w:r>
              <w:rPr>
                <w:rFonts w:cs="Times New Roman"/>
                <w:b/>
                <w:bCs/>
                <w:color w:val="auto"/>
                <w:sz w:val="24"/>
                <w:highlight w:val="none"/>
              </w:rPr>
              <w:t>《</w:t>
            </w:r>
            <w:r>
              <w:rPr>
                <w:rFonts w:ascii="Times New Roman" w:eastAsia="宋体" w:cs="Times New Roman" w:hAnsi="Times New Roman" w:hint="eastAsia"/>
                <w:b/>
                <w:bCs/>
                <w:color w:val="auto"/>
                <w:sz w:val="24"/>
                <w:highlight w:val="none"/>
              </w:rPr>
              <w:t>废旧电池回收技术规范</w:t>
            </w:r>
            <w:r>
              <w:rPr>
                <w:rFonts w:cs="Times New Roman"/>
                <w:b/>
                <w:bCs/>
                <w:color w:val="auto"/>
                <w:sz w:val="24"/>
                <w:highlight w:val="none"/>
              </w:rPr>
              <w:t>》（</w:t>
            </w:r>
            <w:r>
              <w:rPr>
                <w:rFonts w:ascii="Times New Roman" w:eastAsia="宋体" w:cs="Times New Roman" w:hAnsi="Times New Roman" w:hint="eastAsia"/>
                <w:b/>
                <w:bCs/>
                <w:color w:val="auto"/>
                <w:sz w:val="24"/>
                <w:highlight w:val="none"/>
              </w:rPr>
              <w:t>GB/T39224-2020</w:t>
            </w:r>
            <w:r>
              <w:rPr>
                <w:rFonts w:cs="Times New Roman"/>
                <w:b/>
                <w:bCs/>
                <w:color w:val="auto"/>
                <w:sz w:val="24"/>
                <w:highlight w:val="none"/>
              </w:rPr>
              <w:t>）</w:t>
            </w:r>
            <w:r>
              <w:rPr>
                <w:rFonts w:ascii="Times New Roman" w:eastAsia="宋体" w:cs="Times New Roman" w:hAnsi="Times New Roman" w:hint="eastAsia"/>
                <w:b/>
                <w:bCs/>
                <w:color w:val="auto"/>
                <w:sz w:val="24"/>
                <w:highlight w:val="none"/>
              </w:rPr>
              <w:t>符合性分析一览表</w:t>
            </w:r>
          </w:p>
          <w:tbl>
            <w:tblPr>
              <w:jc w:val="center"/>
              <w:tblW w:w="4998" w:type="pct"/>
              <w:tblBorders>
                <w:top w:val="single" w:sz="12" w:space="0" w:color="auto"/>
                <w:left w:val="none" w:sz="0" w:space="0" w:color="auto"/>
                <w:bottom w:val="single" w:sz="12" w:space="0" w:color="auto"/>
                <w:right w:val="none" w:sz="0" w:space="0" w:color="auto"/>
                <w:insideH w:val="single" w:sz="4" w:space="0" w:color="auto"/>
                <w:insideV w:val="single" w:sz="4" w:space="0" w:color="auto"/>
              </w:tblBorders>
              <w:tblCellMar>
                <w:top w:w="0" w:type="dxa"/>
                <w:left w:w="108" w:type="dxa"/>
                <w:bottom w:w="0" w:type="dxa"/>
                <w:right w:w="108" w:type="dxa"/>
              </w:tblCellMar>
              <w:tblLook w:val="0600" w:firstRow="0" w:lastRow="0" w:firstColumn="0" w:lastColumn="0" w:noHBand="1" w:noVBand="1"/>
            </w:tblPr>
            <w:tblGrid>
              <w:gridCol w:w="780"/>
              <w:gridCol w:w="3365"/>
              <w:gridCol w:w="2746"/>
              <w:gridCol w:w="707"/>
            </w:tblGrid>
            <w:tr>
              <w:trPr>
                <w:cantSplit/>
                <w:trHeight w:val="318"/>
                <w:tblHeader/>
              </w:trPr>
              <w:tc>
                <w:tcPr>
                  <w:tcW w:w="513" w:type="pct"/>
                  <w:vAlign w:val="center"/>
                </w:tcPr>
                <w:p>
                  <w:pPr>
                    <w:snapToGrid w:val="0"/>
                    <w:jc w:val="center"/>
                    <w:rPr>
                      <w:rFonts w:hint="eastAsia"/>
                      <w:b/>
                      <w:color w:val="auto"/>
                      <w:szCs w:val="21"/>
                    </w:rPr>
                  </w:pPr>
                  <w:r>
                    <w:rPr>
                      <w:rFonts w:hint="eastAsia"/>
                      <w:b/>
                      <w:color w:val="auto"/>
                      <w:szCs w:val="21"/>
                    </w:rPr>
                    <w:t>项目</w:t>
                  </w:r>
                </w:p>
              </w:tc>
              <w:tc>
                <w:tcPr>
                  <w:tcW w:w="2214" w:type="pct"/>
                  <w:vAlign w:val="center"/>
                </w:tcPr>
                <w:p>
                  <w:pPr>
                    <w:snapToGrid w:val="0"/>
                    <w:jc w:val="center"/>
                    <w:rPr>
                      <w:rFonts w:hint="eastAsia"/>
                      <w:b/>
                      <w:color w:val="auto"/>
                      <w:szCs w:val="21"/>
                    </w:rPr>
                  </w:pPr>
                  <w:r>
                    <w:rPr>
                      <w:rFonts w:hint="eastAsia"/>
                      <w:b/>
                      <w:color w:val="auto"/>
                      <w:szCs w:val="21"/>
                    </w:rPr>
                    <w:t>规范要求</w:t>
                  </w:r>
                </w:p>
              </w:tc>
              <w:tc>
                <w:tcPr>
                  <w:tcW w:w="1807" w:type="pct"/>
                  <w:vAlign w:val="center"/>
                </w:tcPr>
                <w:p>
                  <w:pPr>
                    <w:snapToGrid w:val="0"/>
                    <w:jc w:val="center"/>
                    <w:rPr>
                      <w:rFonts w:hint="eastAsia"/>
                      <w:b/>
                      <w:color w:val="auto"/>
                      <w:szCs w:val="21"/>
                    </w:rPr>
                  </w:pPr>
                  <w:r>
                    <w:rPr>
                      <w:rFonts w:hint="eastAsia"/>
                      <w:b/>
                      <w:color w:val="auto"/>
                      <w:szCs w:val="21"/>
                    </w:rPr>
                    <w:t>项目建设条件</w:t>
                  </w:r>
                </w:p>
              </w:tc>
              <w:tc>
                <w:tcPr>
                  <w:tcW w:w="465" w:type="pct"/>
                  <w:vAlign w:val="center"/>
                </w:tcPr>
                <w:p>
                  <w:pPr>
                    <w:snapToGrid w:val="0"/>
                    <w:jc w:val="center"/>
                    <w:rPr>
                      <w:rFonts w:hint="eastAsia"/>
                      <w:b/>
                      <w:color w:val="auto"/>
                      <w:szCs w:val="21"/>
                    </w:rPr>
                  </w:pPr>
                  <w:r>
                    <w:rPr>
                      <w:rFonts w:hint="eastAsia"/>
                      <w:b/>
                      <w:color w:val="auto"/>
                      <w:szCs w:val="21"/>
                    </w:rPr>
                    <w:t>相符性</w:t>
                  </w:r>
                </w:p>
              </w:tc>
            </w:tr>
            <w:tr>
              <w:trPr>
                <w:trHeight w:val="318"/>
              </w:trPr>
              <w:tc>
                <w:tcPr>
                  <w:tcW w:w="513" w:type="pct"/>
                  <w:vAlign w:val="center"/>
                </w:tcPr>
                <w:p>
                  <w:pPr>
                    <w:adjustRightInd w:val="0"/>
                    <w:snapToGrid w:val="0"/>
                    <w:jc w:val="center"/>
                    <w:rPr>
                      <w:rFonts w:ascii="Times New Roman" w:eastAsia="宋体" w:cs="Times New Roman" w:hAnsi="Times New Roman" w:hint="eastAsia"/>
                      <w:color w:val="auto"/>
                      <w:highlight w:val="none"/>
                    </w:rPr>
                  </w:pPr>
                  <w:r>
                    <w:rPr>
                      <w:rFonts w:cs="Times New Roman" w:hint="eastAsia"/>
                      <w:color w:val="auto"/>
                      <w:lang w:eastAsia="zh-CN"/>
                      <w:highlight w:val="none"/>
                    </w:rPr>
                    <w:t>总体</w:t>
                  </w:r>
                  <w:r>
                    <w:rPr>
                      <w:rFonts w:ascii="Times New Roman" w:eastAsia="宋体" w:cs="Times New Roman" w:hAnsi="Times New Roman"/>
                      <w:color w:val="auto"/>
                      <w:highlight w:val="none"/>
                    </w:rPr>
                    <w:t>要求</w:t>
                  </w:r>
                </w:p>
              </w:tc>
              <w:tc>
                <w:tcPr>
                  <w:tcW w:w="2214" w:type="pct"/>
                </w:tcPr>
                <w:p>
                  <w:pPr>
                    <w:adjustRightInd w:val="0"/>
                    <w:snapToGrid w:val="0"/>
                    <w:jc w:val="both"/>
                    <w:rPr>
                      <w:rFonts w:ascii="Times New Roman" w:eastAsia="宋体" w:cs="Times New Roman" w:hAnsi="Times New Roman" w:hint="eastAsia"/>
                      <w:color w:val="auto"/>
                      <w:highlight w:val="none"/>
                    </w:rPr>
                  </w:pPr>
                  <w:r>
                    <w:rPr>
                      <w:rFonts w:ascii="Times New Roman" w:eastAsia="宋体" w:cs="Times New Roman" w:hAnsi="Times New Roman" w:hint="eastAsia"/>
                      <w:color w:val="auto"/>
                      <w:highlight w:val="none"/>
                    </w:rPr>
                    <w:t>4.1废旧电池回收企业应按照GB/T 19001、GB/T 24001、GB/T 45001等标准建立并运行管理体系。</w:t>
                  </w:r>
                </w:p>
                <w:p>
                  <w:pPr>
                    <w:adjustRightInd w:val="0"/>
                    <w:snapToGrid w:val="0"/>
                    <w:jc w:val="both"/>
                    <w:rPr>
                      <w:rFonts w:ascii="Times New Roman" w:eastAsia="宋体" w:cs="Times New Roman" w:hAnsi="Times New Roman" w:hint="eastAsia"/>
                      <w:color w:val="auto"/>
                      <w:highlight w:val="none"/>
                    </w:rPr>
                  </w:pPr>
                  <w:r>
                    <w:rPr>
                      <w:rFonts w:ascii="Times New Roman" w:eastAsia="宋体" w:cs="Times New Roman" w:hAnsi="Times New Roman" w:hint="eastAsia"/>
                      <w:color w:val="auto"/>
                      <w:highlight w:val="none"/>
                    </w:rPr>
                    <w:t>4.2废旧电池回收企业应建立劳动保护、消防安全责任管理制度和环境保护管理制度。</w:t>
                  </w:r>
                </w:p>
                <w:p>
                  <w:pPr>
                    <w:adjustRightInd w:val="0"/>
                    <w:snapToGrid w:val="0"/>
                    <w:jc w:val="both"/>
                    <w:rPr>
                      <w:rFonts w:ascii="Times New Roman" w:eastAsia="宋体" w:cs="Times New Roman" w:hAnsi="Times New Roman" w:hint="eastAsia"/>
                      <w:color w:val="auto"/>
                      <w:highlight w:val="none"/>
                    </w:rPr>
                  </w:pPr>
                  <w:r>
                    <w:rPr>
                      <w:rFonts w:ascii="Times New Roman" w:eastAsia="宋体" w:cs="Times New Roman" w:hAnsi="Times New Roman" w:hint="eastAsia"/>
                      <w:color w:val="auto"/>
                      <w:highlight w:val="none"/>
                    </w:rPr>
                    <w:t>4.3废旧电池回收企业应建立安全事故和环境污染预防机制，制定处理安全事故和环境污染事故的应急预案制度。</w:t>
                  </w:r>
                </w:p>
                <w:p>
                  <w:pPr>
                    <w:adjustRightInd w:val="0"/>
                    <w:snapToGrid w:val="0"/>
                    <w:jc w:val="both"/>
                    <w:rPr>
                      <w:rFonts w:ascii="Times New Roman" w:eastAsia="宋体" w:cs="Times New Roman" w:hAnsi="Times New Roman" w:hint="eastAsia"/>
                      <w:color w:val="auto"/>
                      <w:highlight w:val="none"/>
                    </w:rPr>
                  </w:pPr>
                  <w:r>
                    <w:rPr>
                      <w:rFonts w:ascii="Times New Roman" w:eastAsia="宋体" w:cs="Times New Roman" w:hAnsi="Times New Roman" w:hint="eastAsia"/>
                      <w:color w:val="auto"/>
                      <w:highlight w:val="none"/>
                    </w:rPr>
                    <w:t>4.4废旧动力蓄电池回收企业应建立废旧电池回收信息管理系统，记录每批次废旧电池的类别名称、特性、回收时间、地点、数量（重量）、来源、流向、交易情况等信息，上报统计信息，并保存有关信息至少两年。</w:t>
                  </w:r>
                </w:p>
                <w:p>
                  <w:pPr>
                    <w:adjustRightInd w:val="0"/>
                    <w:snapToGrid w:val="0"/>
                    <w:jc w:val="both"/>
                    <w:rPr>
                      <w:rFonts w:ascii="Times New Roman" w:eastAsia="宋体" w:cs="Times New Roman" w:hAnsi="Times New Roman" w:hint="eastAsia"/>
                      <w:color w:val="auto"/>
                      <w:highlight w:val="none"/>
                    </w:rPr>
                  </w:pPr>
                  <w:r>
                    <w:rPr>
                      <w:rFonts w:ascii="Times New Roman" w:eastAsia="宋体" w:cs="Times New Roman" w:hAnsi="Times New Roman" w:hint="eastAsia"/>
                      <w:color w:val="auto"/>
                      <w:highlight w:val="none"/>
                    </w:rPr>
                    <w:t>4.5废旧电池回收过程中，应保持废旧电池的结构和外形完整，严禁私自破损废旧电池，已破损的废旧电池应单独收集、分拣、运输、贮存，防止出现泄漏、腐蚀、火灾等现象。</w:t>
                  </w:r>
                </w:p>
                <w:p>
                  <w:pPr>
                    <w:adjustRightInd w:val="0"/>
                    <w:snapToGrid w:val="0"/>
                    <w:jc w:val="both"/>
                    <w:rPr>
                      <w:rFonts w:ascii="Times New Roman" w:eastAsia="宋体" w:cs="Times New Roman" w:hAnsi="Times New Roman" w:hint="eastAsia"/>
                      <w:color w:val="auto"/>
                      <w:highlight w:val="none"/>
                    </w:rPr>
                  </w:pPr>
                  <w:r>
                    <w:rPr>
                      <w:rFonts w:ascii="Times New Roman" w:eastAsia="宋体" w:cs="Times New Roman" w:hAnsi="Times New Roman" w:hint="eastAsia"/>
                      <w:color w:val="auto"/>
                      <w:highlight w:val="none"/>
                    </w:rPr>
                    <w:t>4.6废旧电池回收过程中产生或夹杂的危险废物，或根据国家规定的危险废物鉴别标准和鉴别方法认定为危险废物的，应符合HJ 2025的有关要求，并交由有相关处理资质的单位进行处理。</w:t>
                  </w:r>
                </w:p>
                <w:p>
                  <w:pPr>
                    <w:adjustRightInd w:val="0"/>
                    <w:snapToGrid w:val="0"/>
                    <w:jc w:val="both"/>
                    <w:rPr>
                      <w:rFonts w:ascii="Times New Roman" w:eastAsia="宋体" w:cs="Times New Roman" w:hAnsi="Times New Roman" w:hint="eastAsia"/>
                      <w:color w:val="auto"/>
                      <w:highlight w:val="none"/>
                    </w:rPr>
                  </w:pPr>
                  <w:r>
                    <w:rPr>
                      <w:rFonts w:ascii="Times New Roman" w:eastAsia="宋体" w:cs="Times New Roman" w:hAnsi="Times New Roman" w:hint="eastAsia"/>
                      <w:color w:val="auto"/>
                      <w:highlight w:val="none"/>
                    </w:rPr>
                    <w:t>4.7应进行岗前培训，能够对电解液泄漏、废旧电池起火、爆炸、交通事故等进行应急处理。</w:t>
                  </w:r>
                </w:p>
                <w:p>
                  <w:pPr>
                    <w:adjustRightInd w:val="0"/>
                    <w:snapToGrid w:val="0"/>
                    <w:jc w:val="both"/>
                    <w:rPr>
                      <w:rFonts w:ascii="Times New Roman" w:eastAsia="宋体" w:cs="Times New Roman" w:hAnsi="Times New Roman" w:hint="eastAsia"/>
                      <w:color w:val="auto"/>
                      <w:highlight w:val="none"/>
                    </w:rPr>
                  </w:pPr>
                  <w:r>
                    <w:rPr>
                      <w:rFonts w:ascii="Times New Roman" w:eastAsia="宋体" w:cs="Times New Roman" w:hAnsi="Times New Roman" w:hint="eastAsia"/>
                      <w:color w:val="auto"/>
                      <w:highlight w:val="none"/>
                    </w:rPr>
                    <w:t>4.8废旧动力蓄电池宜按照国家有关政策及标准等要求开展梯次利用，并应根据电池安全、性能等要求应用于相关目标领域。</w:t>
                  </w:r>
                </w:p>
                <w:p>
                  <w:pPr>
                    <w:adjustRightInd w:val="0"/>
                    <w:snapToGrid w:val="0"/>
                    <w:jc w:val="both"/>
                    <w:rPr>
                      <w:rFonts w:ascii="Times New Roman" w:eastAsia="宋体" w:cs="Times New Roman" w:hAnsi="Times New Roman" w:hint="eastAsia"/>
                      <w:color w:val="auto"/>
                      <w:highlight w:val="none"/>
                    </w:rPr>
                  </w:pPr>
                  <w:r>
                    <w:rPr>
                      <w:rFonts w:ascii="Times New Roman" w:eastAsia="宋体" w:cs="Times New Roman" w:hAnsi="Times New Roman" w:hint="eastAsia"/>
                      <w:color w:val="auto"/>
                      <w:highlight w:val="none"/>
                    </w:rPr>
                    <w:t>4.9回收后的废旧电池应交给具有国家法律法规规定的相关资质的综合利用企业处理。</w:t>
                  </w:r>
                </w:p>
              </w:tc>
              <w:tc>
                <w:tcPr>
                  <w:tcW w:w="1807" w:type="pct"/>
                </w:tcPr>
                <w:p>
                  <w:pPr>
                    <w:adjustRightInd w:val="0"/>
                    <w:snapToGrid w:val="0"/>
                    <w:jc w:val="both"/>
                    <w:rPr>
                      <w:rFonts w:cs="Times New Roman" w:hint="eastAsia"/>
                      <w:color w:val="auto"/>
                      <w:lang w:eastAsia="zh-CN"/>
                      <w:highlight w:val="none"/>
                    </w:rPr>
                  </w:pPr>
                  <w:r>
                    <w:rPr>
                      <w:rFonts w:ascii="Times New Roman" w:eastAsia="宋体" w:cs="Times New Roman" w:hAnsi="Times New Roman"/>
                      <w:color w:val="auto"/>
                      <w:highlight w:val="none"/>
                    </w:rPr>
                    <w:t>本项目</w:t>
                  </w:r>
                  <w:r>
                    <w:rPr>
                      <w:rFonts w:ascii="Times New Roman" w:eastAsia="宋体" w:cs="Times New Roman" w:hAnsi="Times New Roman" w:hint="eastAsia"/>
                      <w:color w:val="auto"/>
                      <w:highlight w:val="none"/>
                    </w:rPr>
                    <w:t>按照GB/T 19001、GB/T 24001、GB/T 45001等标准建立并运行管理体系</w:t>
                  </w:r>
                  <w:r>
                    <w:rPr>
                      <w:rFonts w:cs="Times New Roman" w:hint="eastAsia"/>
                      <w:color w:val="auto"/>
                      <w:lang w:eastAsia="zh-CN"/>
                      <w:highlight w:val="none"/>
                    </w:rPr>
                    <w:t>，同时</w:t>
                  </w:r>
                  <w:r>
                    <w:rPr>
                      <w:rFonts w:ascii="Times New Roman" w:eastAsia="宋体" w:cs="Times New Roman" w:hAnsi="Times New Roman" w:hint="eastAsia"/>
                      <w:color w:val="auto"/>
                      <w:highlight w:val="none"/>
                    </w:rPr>
                    <w:t>建立劳动保护、消防安全责任管理制度和环境保护管理制度</w:t>
                  </w:r>
                  <w:r>
                    <w:rPr>
                      <w:rFonts w:cs="Times New Roman" w:hint="eastAsia"/>
                      <w:color w:val="auto"/>
                      <w:lang w:eastAsia="zh-CN"/>
                      <w:highlight w:val="none"/>
                    </w:rPr>
                    <w:t>，</w:t>
                  </w:r>
                  <w:r>
                    <w:rPr>
                      <w:rFonts w:ascii="Times New Roman" w:eastAsia="宋体" w:cs="Times New Roman" w:hAnsi="Times New Roman" w:hint="eastAsia"/>
                      <w:color w:val="auto"/>
                      <w:highlight w:val="none"/>
                    </w:rPr>
                    <w:t>安全事故和环境污染预防机制，制定处理安全事故和环境污染事故的应急预案制度</w:t>
                  </w:r>
                  <w:r>
                    <w:rPr>
                      <w:rFonts w:cs="Times New Roman" w:hint="eastAsia"/>
                      <w:color w:val="auto"/>
                      <w:lang w:eastAsia="zh-CN"/>
                      <w:highlight w:val="none"/>
                    </w:rPr>
                    <w:t>。</w:t>
                  </w:r>
                </w:p>
                <w:p>
                  <w:pPr>
                    <w:adjustRightInd w:val="0"/>
                    <w:snapToGrid w:val="0"/>
                    <w:jc w:val="both"/>
                    <w:rPr>
                      <w:rFonts w:cs="Times New Roman" w:hint="eastAsia"/>
                      <w:color w:val="auto"/>
                      <w:lang w:eastAsia="zh-CN"/>
                      <w:highlight w:val="none"/>
                    </w:rPr>
                  </w:pPr>
                  <w:r>
                    <w:rPr>
                      <w:rFonts w:cs="Times New Roman" w:hint="eastAsia"/>
                      <w:color w:val="auto"/>
                      <w:lang w:eastAsia="zh-CN"/>
                      <w:highlight w:val="none"/>
                    </w:rPr>
                    <w:t>本项目按要求</w:t>
                  </w:r>
                  <w:r>
                    <w:rPr>
                      <w:rFonts w:ascii="Times New Roman" w:eastAsia="宋体" w:cs="Times New Roman" w:hAnsi="Times New Roman" w:hint="eastAsia"/>
                      <w:color w:val="auto"/>
                      <w:highlight w:val="none"/>
                    </w:rPr>
                    <w:t>建立废旧电池回收信息管理系统，记录每批次废旧电池的类别名称、特性、回收时间、地点、数量（重量）、来源、流向、交易情况等信息，上报统计信息，并保存有关信息至少两年。</w:t>
                  </w:r>
                  <w:r>
                    <w:rPr>
                      <w:rFonts w:cs="Times New Roman" w:hint="eastAsia"/>
                      <w:color w:val="auto"/>
                      <w:lang w:eastAsia="zh-CN"/>
                      <w:highlight w:val="none"/>
                    </w:rPr>
                    <w:t>本项目收集完整的废铅蓄电池，若发现破损电池，单独分拣、收集和贮存。</w:t>
                  </w:r>
                </w:p>
                <w:p>
                  <w:pPr>
                    <w:adjustRightInd w:val="0"/>
                    <w:snapToGrid w:val="0"/>
                    <w:jc w:val="both"/>
                    <w:rPr>
                      <w:rFonts w:eastAsia="宋体" w:cs="Times New Roman" w:hint="eastAsia"/>
                      <w:color w:val="auto"/>
                      <w:lang w:eastAsia="zh-CN"/>
                      <w:highlight w:val="none"/>
                    </w:rPr>
                  </w:pPr>
                  <w:r>
                    <w:rPr>
                      <w:rFonts w:cs="Times New Roman" w:hint="eastAsia"/>
                      <w:color w:val="auto"/>
                      <w:lang w:eastAsia="zh-CN"/>
                      <w:highlight w:val="none"/>
                    </w:rPr>
                    <w:t>本项目对人员进行</w:t>
                  </w:r>
                  <w:r>
                    <w:rPr>
                      <w:rFonts w:ascii="Times New Roman" w:eastAsia="宋体" w:cs="Times New Roman" w:hAnsi="Times New Roman" w:hint="eastAsia"/>
                      <w:color w:val="auto"/>
                      <w:highlight w:val="none"/>
                    </w:rPr>
                    <w:t>岗前培训，能够对电解液泄漏、废旧电池起火等进行应急处理</w:t>
                  </w:r>
                  <w:r>
                    <w:rPr>
                      <w:rFonts w:cs="Times New Roman" w:hint="eastAsia"/>
                      <w:color w:val="auto"/>
                      <w:lang w:eastAsia="zh-CN"/>
                      <w:highlight w:val="none"/>
                    </w:rPr>
                    <w:t>。</w:t>
                  </w:r>
                  <w:r>
                    <w:rPr>
                      <w:rFonts w:ascii="Times New Roman" w:eastAsia="宋体" w:cs="Times New Roman" w:hAnsi="Times New Roman" w:hint="eastAsia"/>
                      <w:color w:val="auto"/>
                      <w:highlight w:val="none"/>
                    </w:rPr>
                    <w:t>废旧动力蓄电池宜按照国家有关政策及标准等要求开展梯次利用，并应根据电池安全、性能等要求应用于相关目标领域。回收后的废旧电池应交给具有国家法律法规规定的相关资质的综合利用企业处理</w:t>
                  </w:r>
                  <w:r>
                    <w:rPr>
                      <w:rFonts w:cs="Times New Roman" w:hint="eastAsia"/>
                      <w:color w:val="auto"/>
                      <w:lang w:eastAsia="zh-CN"/>
                      <w:highlight w:val="none"/>
                    </w:rPr>
                    <w:t>。</w:t>
                  </w:r>
                </w:p>
              </w:tc>
              <w:tc>
                <w:tcPr>
                  <w:tcW w:w="465" w:type="pct"/>
                  <w:vAlign w:val="center"/>
                </w:tcPr>
                <w:p>
                  <w:pPr>
                    <w:adjustRightInd w:val="0"/>
                    <w:snapToGrid w:val="0"/>
                    <w:jc w:val="both"/>
                    <w:rPr>
                      <w:rFonts w:ascii="Times New Roman" w:eastAsia="宋体" w:cs="Times New Roman" w:hAnsi="Times New Roman" w:hint="eastAsia"/>
                      <w:color w:val="auto"/>
                      <w:highlight w:val="none"/>
                    </w:rPr>
                  </w:pPr>
                  <w:r>
                    <w:rPr>
                      <w:rFonts w:ascii="Times New Roman" w:eastAsia="宋体" w:cs="Times New Roman" w:hAnsi="Times New Roman"/>
                      <w:color w:val="auto"/>
                      <w:highlight w:val="none"/>
                    </w:rPr>
                    <w:t>符合</w:t>
                  </w:r>
                </w:p>
              </w:tc>
            </w:tr>
            <w:tr>
              <w:trPr>
                <w:cantSplit/>
                <w:trHeight w:val="318"/>
              </w:trPr>
              <w:tc>
                <w:tcPr>
                  <w:tcW w:w="513" w:type="pct"/>
                  <w:vAlign w:val="center"/>
                </w:tcPr>
                <w:p>
                  <w:pPr>
                    <w:adjustRightInd w:val="0"/>
                    <w:snapToGrid w:val="0"/>
                    <w:jc w:val="center"/>
                    <w:rPr>
                      <w:rFonts w:ascii="Times New Roman" w:eastAsia="宋体" w:cs="Times New Roman" w:hAnsi="Times New Roman" w:hint="eastAsia"/>
                      <w:color w:val="auto"/>
                      <w:highlight w:val="none"/>
                    </w:rPr>
                  </w:pPr>
                  <w:r>
                    <w:rPr>
                      <w:rFonts w:ascii="Times New Roman" w:eastAsia="宋体" w:cs="Times New Roman" w:hAnsi="Times New Roman" w:hint="eastAsia"/>
                      <w:color w:val="auto"/>
                      <w:highlight w:val="none"/>
                    </w:rPr>
                    <w:t>收集要求</w:t>
                  </w:r>
                </w:p>
                <w:p>
                  <w:pPr>
                    <w:adjustRightInd w:val="0"/>
                    <w:snapToGrid w:val="0"/>
                    <w:jc w:val="center"/>
                    <w:rPr>
                      <w:rFonts w:cs="Times New Roman" w:hint="eastAsia"/>
                      <w:color w:val="auto"/>
                      <w:lang w:eastAsia="zh-CN"/>
                      <w:highlight w:val="none"/>
                    </w:rPr>
                  </w:pPr>
                </w:p>
              </w:tc>
              <w:tc>
                <w:tcPr>
                  <w:tcW w:w="2214" w:type="pct"/>
                </w:tcPr>
                <w:p>
                  <w:pPr>
                    <w:adjustRightInd w:val="0"/>
                    <w:snapToGrid w:val="0"/>
                    <w:jc w:val="both"/>
                    <w:rPr>
                      <w:rFonts w:ascii="Times New Roman" w:eastAsia="宋体" w:cs="Times New Roman" w:hAnsi="Times New Roman" w:hint="eastAsia"/>
                      <w:color w:val="auto"/>
                      <w:highlight w:val="none"/>
                    </w:rPr>
                  </w:pPr>
                  <w:r>
                    <w:rPr>
                      <w:rFonts w:ascii="Times New Roman" w:eastAsia="宋体" w:cs="Times New Roman" w:hAnsi="Times New Roman" w:hint="eastAsia"/>
                      <w:color w:val="auto"/>
                      <w:highlight w:val="none"/>
                    </w:rPr>
                    <w:t>5.1废旧电池收集网点建设应符合SB/T 10719相关规定。</w:t>
                  </w:r>
                </w:p>
                <w:p>
                  <w:pPr>
                    <w:adjustRightInd w:val="0"/>
                    <w:snapToGrid w:val="0"/>
                    <w:jc w:val="both"/>
                    <w:rPr>
                      <w:rFonts w:ascii="Times New Roman" w:eastAsia="宋体" w:cs="Times New Roman" w:hAnsi="Times New Roman" w:hint="eastAsia"/>
                      <w:color w:val="auto"/>
                      <w:highlight w:val="none"/>
                    </w:rPr>
                  </w:pPr>
                  <w:r>
                    <w:rPr>
                      <w:rFonts w:ascii="Times New Roman" w:eastAsia="宋体" w:cs="Times New Roman" w:hAnsi="Times New Roman" w:hint="eastAsia"/>
                      <w:color w:val="auto"/>
                      <w:highlight w:val="none"/>
                    </w:rPr>
                    <w:t>5.2废蓄电池的收集宜根据WB/T 1061中的相关规定执行。</w:t>
                  </w:r>
                </w:p>
                <w:p>
                  <w:pPr>
                    <w:adjustRightInd w:val="0"/>
                    <w:snapToGrid w:val="0"/>
                    <w:jc w:val="both"/>
                    <w:rPr>
                      <w:rFonts w:ascii="Times New Roman" w:eastAsia="宋体" w:cs="Times New Roman" w:hAnsi="Times New Roman" w:hint="eastAsia"/>
                      <w:color w:val="auto"/>
                      <w:highlight w:val="none"/>
                    </w:rPr>
                  </w:pPr>
                  <w:r>
                    <w:rPr>
                      <w:rFonts w:ascii="Times New Roman" w:eastAsia="宋体" w:cs="Times New Roman" w:hAnsi="Times New Roman" w:hint="eastAsia"/>
                      <w:color w:val="auto"/>
                      <w:highlight w:val="none"/>
                    </w:rPr>
                    <w:t>5.3收集过程中禁止去除电池原有编码、铭牌、标签、标志等。</w:t>
                  </w:r>
                </w:p>
              </w:tc>
              <w:tc>
                <w:tcPr>
                  <w:tcW w:w="1807" w:type="pct"/>
                </w:tcPr>
                <w:p>
                  <w:pPr>
                    <w:adjustRightInd w:val="0"/>
                    <w:snapToGrid w:val="0"/>
                    <w:jc w:val="both"/>
                    <w:rPr>
                      <w:rFonts w:ascii="Times New Roman" w:eastAsia="宋体" w:cs="Times New Roman" w:hAnsi="Times New Roman" w:hint="eastAsia"/>
                      <w:color w:val="auto"/>
                      <w:lang w:eastAsia="zh-CN"/>
                      <w:highlight w:val="none"/>
                    </w:rPr>
                  </w:pPr>
                  <w:r>
                    <w:rPr>
                      <w:rFonts w:cs="Times New Roman" w:hint="eastAsia"/>
                      <w:color w:val="auto"/>
                      <w:lang w:eastAsia="zh-CN"/>
                      <w:highlight w:val="none"/>
                    </w:rPr>
                    <w:t>本项目主要涉及贮存废铅蓄电池。</w:t>
                  </w:r>
                </w:p>
              </w:tc>
              <w:tc>
                <w:tcPr>
                  <w:tcW w:w="465" w:type="pct"/>
                  <w:vAlign w:val="center"/>
                </w:tcPr>
                <w:p>
                  <w:pPr>
                    <w:adjustRightInd w:val="0"/>
                    <w:snapToGrid w:val="0"/>
                    <w:jc w:val="both"/>
                    <w:rPr>
                      <w:rFonts w:ascii="Times New Roman" w:eastAsia="宋体" w:cs="Times New Roman" w:hAnsi="Times New Roman"/>
                      <w:color w:val="auto"/>
                      <w:highlight w:val="none"/>
                    </w:rPr>
                  </w:pPr>
                  <w:r>
                    <w:rPr>
                      <w:rFonts w:ascii="Times New Roman" w:eastAsia="宋体" w:cs="Times New Roman" w:hAnsi="Times New Roman"/>
                      <w:color w:val="auto"/>
                      <w:highlight w:val="none"/>
                    </w:rPr>
                    <w:t>符合</w:t>
                  </w:r>
                </w:p>
              </w:tc>
            </w:tr>
            <w:tr>
              <w:trPr>
                <w:cantSplit/>
                <w:trHeight w:val="318"/>
              </w:trPr>
              <w:tc>
                <w:tcPr>
                  <w:tcW w:w="513" w:type="pct"/>
                  <w:vAlign w:val="center"/>
                </w:tcPr>
                <w:p>
                  <w:pPr>
                    <w:adjustRightInd w:val="0"/>
                    <w:snapToGrid w:val="0"/>
                    <w:jc w:val="center"/>
                    <w:rPr>
                      <w:rFonts w:cs="Times New Roman" w:hint="eastAsia"/>
                      <w:color w:val="auto"/>
                      <w:lang w:eastAsia="zh-CN"/>
                      <w:highlight w:val="none"/>
                    </w:rPr>
                  </w:pPr>
                  <w:r>
                    <w:rPr>
                      <w:rFonts w:ascii="Times New Roman" w:eastAsia="宋体" w:cs="Times New Roman" w:hAnsi="Times New Roman" w:hint="eastAsia"/>
                      <w:color w:val="auto"/>
                      <w:highlight w:val="none"/>
                    </w:rPr>
                    <w:t>运输要求</w:t>
                  </w:r>
                </w:p>
              </w:tc>
              <w:tc>
                <w:tcPr>
                  <w:tcW w:w="2214" w:type="pct"/>
                </w:tcPr>
                <w:p>
                  <w:pPr>
                    <w:adjustRightInd w:val="0"/>
                    <w:snapToGrid w:val="0"/>
                    <w:jc w:val="both"/>
                    <w:rPr>
                      <w:rFonts w:ascii="Times New Roman" w:eastAsia="宋体" w:cs="Times New Roman" w:hAnsi="Times New Roman" w:hint="eastAsia"/>
                      <w:color w:val="auto"/>
                      <w:highlight w:val="none"/>
                    </w:rPr>
                  </w:pPr>
                  <w:r>
                    <w:rPr>
                      <w:rFonts w:ascii="Times New Roman" w:eastAsia="宋体" w:cs="Times New Roman" w:hAnsi="Times New Roman" w:hint="eastAsia"/>
                      <w:color w:val="auto"/>
                      <w:highlight w:val="none"/>
                    </w:rPr>
                    <w:t>7.1运输过程中，不同种类的废旧电池应带有相应的包装，防止出现暴晒、机械磨损、雨淋、泄漏、遗撒等现象。</w:t>
                  </w:r>
                </w:p>
                <w:p>
                  <w:pPr>
                    <w:adjustRightInd w:val="0"/>
                    <w:snapToGrid w:val="0"/>
                    <w:jc w:val="both"/>
                    <w:rPr>
                      <w:rFonts w:ascii="Times New Roman" w:eastAsia="宋体" w:cs="Times New Roman" w:hAnsi="Times New Roman" w:hint="eastAsia"/>
                      <w:color w:val="auto"/>
                      <w:highlight w:val="none"/>
                    </w:rPr>
                  </w:pPr>
                  <w:r>
                    <w:rPr>
                      <w:rFonts w:ascii="Times New Roman" w:eastAsia="宋体" w:cs="Times New Roman" w:hAnsi="Times New Roman" w:hint="eastAsia"/>
                      <w:color w:val="auto"/>
                      <w:highlight w:val="none"/>
                    </w:rPr>
                    <w:t>7.2可梯次利用废旧电池包或电池模组运输时，宜使用周转托盘。散装的软包电池、圆柱形电池、扣怯电池应使用周转箱运输。</w:t>
                  </w:r>
                </w:p>
                <w:p>
                  <w:pPr>
                    <w:adjustRightInd w:val="0"/>
                    <w:snapToGrid w:val="0"/>
                    <w:jc w:val="both"/>
                    <w:rPr>
                      <w:rFonts w:ascii="Times New Roman" w:eastAsia="宋体" w:cs="Times New Roman" w:hAnsi="Times New Roman" w:hint="eastAsia"/>
                      <w:color w:val="auto"/>
                      <w:highlight w:val="none"/>
                    </w:rPr>
                  </w:pPr>
                  <w:r>
                    <w:rPr>
                      <w:rFonts w:ascii="Times New Roman" w:eastAsia="宋体" w:cs="Times New Roman" w:hAnsi="Times New Roman" w:hint="eastAsia"/>
                      <w:color w:val="auto"/>
                      <w:highlight w:val="none"/>
                    </w:rPr>
                    <w:t>7.3废旧电池运输应符合GB/T 26493的有关规定。</w:t>
                  </w:r>
                </w:p>
                <w:p>
                  <w:pPr>
                    <w:adjustRightInd w:val="0"/>
                    <w:snapToGrid w:val="0"/>
                    <w:jc w:val="both"/>
                    <w:rPr>
                      <w:rFonts w:ascii="Times New Roman" w:eastAsia="宋体" w:cs="Times New Roman" w:hAnsi="Times New Roman" w:hint="eastAsia"/>
                      <w:color w:val="auto"/>
                      <w:highlight w:val="none"/>
                    </w:rPr>
                  </w:pPr>
                  <w:r>
                    <w:rPr>
                      <w:rFonts w:ascii="Times New Roman" w:eastAsia="宋体" w:cs="Times New Roman" w:hAnsi="Times New Roman" w:hint="eastAsia"/>
                      <w:color w:val="auto"/>
                      <w:highlight w:val="none"/>
                    </w:rPr>
                    <w:t>7.4运输过程中禁止擅自倾倒和丢弃废旧电池。</w:t>
                  </w:r>
                </w:p>
                <w:p>
                  <w:pPr>
                    <w:adjustRightInd w:val="0"/>
                    <w:snapToGrid w:val="0"/>
                    <w:jc w:val="both"/>
                    <w:rPr>
                      <w:rFonts w:ascii="Times New Roman" w:eastAsia="宋体" w:cs="Times New Roman" w:hAnsi="Times New Roman" w:hint="eastAsia"/>
                      <w:color w:val="auto"/>
                      <w:highlight w:val="none"/>
                    </w:rPr>
                  </w:pPr>
                  <w:r>
                    <w:rPr>
                      <w:rFonts w:ascii="Times New Roman" w:eastAsia="宋体" w:cs="Times New Roman" w:hAnsi="Times New Roman" w:hint="eastAsia"/>
                      <w:color w:val="auto"/>
                      <w:highlight w:val="none"/>
                    </w:rPr>
                    <w:t>7.5车用退役动力电池的包装运输宜根据GB/T 38698.1中的相关规定执行。</w:t>
                  </w:r>
                </w:p>
              </w:tc>
              <w:tc>
                <w:tcPr>
                  <w:tcW w:w="1807" w:type="pct"/>
                </w:tcPr>
                <w:p>
                  <w:pPr>
                    <w:adjustRightInd w:val="0"/>
                    <w:snapToGrid w:val="0"/>
                    <w:jc w:val="both"/>
                    <w:rPr>
                      <w:rFonts w:ascii="Times New Roman" w:eastAsia="宋体" w:cs="Times New Roman" w:hAnsi="Times New Roman"/>
                      <w:color w:val="auto"/>
                      <w:highlight w:val="none"/>
                    </w:rPr>
                  </w:pPr>
                  <w:r>
                    <w:rPr>
                      <w:rFonts w:cs="Times New Roman" w:hint="eastAsia"/>
                      <w:color w:val="auto"/>
                      <w:lang w:val="en-US" w:eastAsia="zh-CN"/>
                      <w:highlight w:val="none"/>
                    </w:rPr>
                    <w:t>本项目不涉及运输，委托专业、有资质单位进行运输。</w:t>
                  </w:r>
                </w:p>
              </w:tc>
              <w:tc>
                <w:tcPr>
                  <w:tcW w:w="465" w:type="pct"/>
                  <w:vAlign w:val="center"/>
                </w:tcPr>
                <w:p>
                  <w:pPr>
                    <w:adjustRightInd w:val="0"/>
                    <w:snapToGrid w:val="0"/>
                    <w:jc w:val="both"/>
                    <w:rPr>
                      <w:rFonts w:ascii="Times New Roman" w:eastAsia="宋体" w:cs="Times New Roman" w:hAnsi="Times New Roman"/>
                      <w:color w:val="auto"/>
                      <w:highlight w:val="none"/>
                    </w:rPr>
                  </w:pPr>
                  <w:r>
                    <w:rPr>
                      <w:rFonts w:ascii="Times New Roman" w:eastAsia="宋体" w:cs="Times New Roman" w:hAnsi="Times New Roman"/>
                      <w:color w:val="auto"/>
                      <w:highlight w:val="none"/>
                    </w:rPr>
                    <w:t>符合</w:t>
                  </w:r>
                </w:p>
              </w:tc>
            </w:tr>
            <w:tr>
              <w:trPr>
                <w:trHeight w:val="318"/>
              </w:trPr>
              <w:tc>
                <w:tcPr>
                  <w:tcW w:w="513" w:type="pct"/>
                  <w:vAlign w:val="center"/>
                </w:tcPr>
                <w:p>
                  <w:pPr>
                    <w:adjustRightInd w:val="0"/>
                    <w:snapToGrid w:val="0"/>
                    <w:jc w:val="center"/>
                    <w:rPr>
                      <w:rFonts w:cs="Times New Roman" w:hint="eastAsia"/>
                      <w:color w:val="auto"/>
                      <w:lang w:eastAsia="zh-CN"/>
                      <w:highlight w:val="none"/>
                    </w:rPr>
                  </w:pPr>
                  <w:r>
                    <w:rPr>
                      <w:rFonts w:ascii="Times New Roman" w:eastAsia="宋体" w:cs="Times New Roman" w:hAnsi="Times New Roman" w:hint="eastAsia"/>
                      <w:color w:val="auto"/>
                      <w:highlight w:val="none"/>
                    </w:rPr>
                    <w:t>贮存要求</w:t>
                  </w:r>
                </w:p>
              </w:tc>
              <w:tc>
                <w:tcPr>
                  <w:tcW w:w="2214" w:type="pct"/>
                </w:tcPr>
                <w:p>
                  <w:pPr>
                    <w:adjustRightInd w:val="0"/>
                    <w:snapToGrid w:val="0"/>
                    <w:jc w:val="both"/>
                    <w:rPr>
                      <w:rFonts w:ascii="Times New Roman" w:eastAsia="宋体" w:cs="Times New Roman" w:hAnsi="Times New Roman" w:hint="eastAsia"/>
                      <w:color w:val="auto"/>
                      <w:highlight w:val="none"/>
                    </w:rPr>
                  </w:pPr>
                  <w:r>
                    <w:rPr>
                      <w:rFonts w:ascii="Times New Roman" w:eastAsia="宋体" w:cs="Times New Roman" w:hAnsi="Times New Roman" w:hint="eastAsia"/>
                      <w:color w:val="auto"/>
                      <w:highlight w:val="none"/>
                    </w:rPr>
                    <w:t>8.1暂时贮存场所应具有独立的集中场地和足够的贮存空间，贮存量不应超过10 t。</w:t>
                  </w:r>
                </w:p>
                <w:p>
                  <w:pPr>
                    <w:adjustRightInd w:val="0"/>
                    <w:snapToGrid w:val="0"/>
                    <w:jc w:val="both"/>
                    <w:rPr>
                      <w:rFonts w:ascii="Times New Roman" w:eastAsia="宋体" w:cs="Times New Roman" w:hAnsi="Times New Roman" w:hint="eastAsia"/>
                      <w:color w:val="auto"/>
                      <w:highlight w:val="none"/>
                    </w:rPr>
                  </w:pPr>
                  <w:r>
                    <w:rPr>
                      <w:rFonts w:ascii="Times New Roman" w:eastAsia="宋体" w:cs="Times New Roman" w:hAnsi="Times New Roman" w:hint="eastAsia"/>
                      <w:color w:val="auto"/>
                      <w:highlight w:val="none"/>
                    </w:rPr>
                    <w:t>8.2集中贮存场所应选择在城市工业地块内，并符合当地环境保护和区域发展规划；新建的集中贮存场所建设项目应通过环境影响评价。贮存规模应与贮存场所的容量相匹配，贮存场所面积应不小于500 m</w:t>
                  </w:r>
                  <w:r>
                    <w:rPr>
                      <w:rFonts w:ascii="Times New Roman" w:eastAsia="宋体" w:cs="Times New Roman" w:hAnsi="Times New Roman" w:hint="eastAsia"/>
                      <w:color w:val="auto"/>
                      <w:vertAlign w:val="superscript"/>
                      <w:highlight w:val="none"/>
                    </w:rPr>
                    <w:t>2</w:t>
                  </w:r>
                  <w:r>
                    <w:rPr>
                      <w:rFonts w:cs="Times New Roman" w:hint="eastAsia"/>
                      <w:color w:val="auto"/>
                      <w:lang w:eastAsia="zh-CN"/>
                      <w:highlight w:val="none"/>
                    </w:rPr>
                    <w:t>，</w:t>
                  </w:r>
                  <w:r>
                    <w:rPr>
                      <w:rFonts w:ascii="Times New Roman" w:eastAsia="宋体" w:cs="Times New Roman" w:hAnsi="Times New Roman" w:hint="eastAsia"/>
                      <w:color w:val="auto"/>
                      <w:highlight w:val="none"/>
                    </w:rPr>
                    <w:t>废旧电池贮存时间不应超过1年。</w:t>
                  </w:r>
                </w:p>
                <w:p>
                  <w:pPr>
                    <w:adjustRightInd w:val="0"/>
                    <w:snapToGrid w:val="0"/>
                    <w:jc w:val="both"/>
                    <w:rPr>
                      <w:rFonts w:ascii="Times New Roman" w:eastAsia="宋体" w:cs="Times New Roman" w:hAnsi="Times New Roman" w:hint="eastAsia"/>
                      <w:color w:val="auto"/>
                      <w:highlight w:val="none"/>
                    </w:rPr>
                  </w:pPr>
                  <w:r>
                    <w:rPr>
                      <w:rFonts w:ascii="Times New Roman" w:eastAsia="宋体" w:cs="Times New Roman" w:hAnsi="Times New Roman" w:hint="eastAsia"/>
                      <w:color w:val="auto"/>
                      <w:highlight w:val="none"/>
                    </w:rPr>
                    <w:t>8.3暂时贮存场地和集中贮存场地均应具备防雨防汛功能，且地面硬化、防渗漏，污染控制应符合GB 18599相关要求。</w:t>
                  </w:r>
                </w:p>
                <w:p>
                  <w:pPr>
                    <w:adjustRightInd w:val="0"/>
                    <w:snapToGrid w:val="0"/>
                    <w:jc w:val="both"/>
                    <w:rPr>
                      <w:rFonts w:ascii="Times New Roman" w:eastAsia="宋体" w:cs="Times New Roman" w:hAnsi="Times New Roman" w:hint="eastAsia"/>
                      <w:color w:val="auto"/>
                      <w:highlight w:val="none"/>
                    </w:rPr>
                  </w:pPr>
                  <w:r>
                    <w:rPr>
                      <w:rFonts w:ascii="Times New Roman" w:eastAsia="宋体" w:cs="Times New Roman" w:hAnsi="Times New Roman" w:hint="eastAsia"/>
                      <w:color w:val="auto"/>
                      <w:highlight w:val="none"/>
                    </w:rPr>
                    <w:t>8.4贮存场所应按GB 50016和GB 50140要求设置消防安全设施，按照GB 2894和GB 15630要求设立消防安全和警示标志，并定期清理、清运。</w:t>
                  </w:r>
                </w:p>
                <w:p>
                  <w:pPr>
                    <w:adjustRightInd w:val="0"/>
                    <w:snapToGrid w:val="0"/>
                    <w:jc w:val="both"/>
                    <w:rPr>
                      <w:rFonts w:ascii="Times New Roman" w:eastAsia="宋体" w:cs="Times New Roman" w:hAnsi="Times New Roman" w:hint="eastAsia"/>
                      <w:color w:val="auto"/>
                      <w:highlight w:val="none"/>
                    </w:rPr>
                  </w:pPr>
                  <w:r>
                    <w:rPr>
                      <w:rFonts w:ascii="Times New Roman" w:eastAsia="宋体" w:cs="Times New Roman" w:hAnsi="Times New Roman" w:hint="eastAsia"/>
                      <w:color w:val="auto"/>
                      <w:highlight w:val="none"/>
                    </w:rPr>
                    <w:t>8.5废旧电池应存放在封闭或半封闭通风良好的环境中，不应露天堆放，废旧电池堆放应保持一定距离，并远离易燃、易爆等危险品仓库及高压输电线防护区域。</w:t>
                  </w:r>
                </w:p>
                <w:p>
                  <w:pPr>
                    <w:adjustRightInd w:val="0"/>
                    <w:snapToGrid w:val="0"/>
                    <w:jc w:val="both"/>
                    <w:rPr>
                      <w:rFonts w:ascii="Times New Roman" w:eastAsia="宋体" w:cs="Times New Roman" w:hAnsi="Times New Roman" w:hint="eastAsia"/>
                      <w:color w:val="auto"/>
                      <w:highlight w:val="none"/>
                    </w:rPr>
                  </w:pPr>
                  <w:r>
                    <w:rPr>
                      <w:rFonts w:ascii="Times New Roman" w:eastAsia="宋体" w:cs="Times New Roman" w:hAnsi="Times New Roman" w:hint="eastAsia"/>
                      <w:color w:val="auto"/>
                      <w:highlight w:val="none"/>
                    </w:rPr>
                    <w:t>8.6废旧电池贮存应符合GB/T 26493的有关规定。</w:t>
                  </w:r>
                </w:p>
                <w:p>
                  <w:pPr>
                    <w:adjustRightInd w:val="0"/>
                    <w:snapToGrid w:val="0"/>
                    <w:jc w:val="both"/>
                    <w:rPr>
                      <w:rFonts w:ascii="Times New Roman" w:eastAsia="宋体" w:cs="Times New Roman" w:hAnsi="Times New Roman" w:hint="eastAsia"/>
                      <w:color w:val="auto"/>
                      <w:highlight w:val="none"/>
                    </w:rPr>
                  </w:pPr>
                  <w:r>
                    <w:rPr>
                      <w:rFonts w:ascii="Times New Roman" w:eastAsia="宋体" w:cs="Times New Roman" w:hAnsi="Times New Roman" w:hint="eastAsia"/>
                      <w:color w:val="auto"/>
                      <w:highlight w:val="none"/>
                    </w:rPr>
                    <w:t>8.7漏电的废旧电池应先进行绝缘等防护处理后放置在绝缘、防火、隔热的容器。</w:t>
                  </w:r>
                </w:p>
                <w:p>
                  <w:pPr>
                    <w:adjustRightInd w:val="0"/>
                    <w:snapToGrid w:val="0"/>
                    <w:jc w:val="both"/>
                    <w:rPr>
                      <w:rFonts w:ascii="Times New Roman" w:eastAsia="宋体" w:cs="Times New Roman" w:hAnsi="Times New Roman" w:hint="eastAsia"/>
                      <w:color w:val="auto"/>
                      <w:highlight w:val="none"/>
                    </w:rPr>
                  </w:pPr>
                  <w:r>
                    <w:rPr>
                      <w:rFonts w:ascii="Times New Roman" w:eastAsia="宋体" w:cs="Times New Roman" w:hAnsi="Times New Roman" w:hint="eastAsia"/>
                      <w:color w:val="auto"/>
                      <w:highlight w:val="none"/>
                    </w:rPr>
                    <w:t>8.8废旧锂离子电池贮存前应进行安全性检测，避光贮存，应控制贮存场所的环境温度，避免因高温自燃等引起的安全与环境风险。</w:t>
                  </w:r>
                </w:p>
              </w:tc>
              <w:tc>
                <w:tcPr>
                  <w:tcW w:w="1807" w:type="pct"/>
                </w:tcPr>
                <w:p>
                  <w:pPr>
                    <w:adjustRightInd w:val="0"/>
                    <w:snapToGrid w:val="0"/>
                    <w:jc w:val="both"/>
                    <w:rPr>
                      <w:rFonts w:ascii="Times New Roman" w:eastAsia="宋体" w:cs="Times New Roman" w:hAnsi="Times New Roman" w:hint="eastAsia"/>
                      <w:color w:val="auto"/>
                      <w:highlight w:val="none"/>
                    </w:rPr>
                  </w:pPr>
                  <w:r>
                    <w:rPr>
                      <w:rFonts w:cs="Times New Roman" w:hint="eastAsia"/>
                      <w:color w:val="auto"/>
                      <w:lang w:eastAsia="zh-CN"/>
                      <w:highlight w:val="none"/>
                    </w:rPr>
                    <w:t>本项目设有独立的贮存区域，库房面积为</w:t>
                  </w:r>
                  <w:r>
                    <w:rPr>
                      <w:rFonts w:cs="Times New Roman" w:hint="eastAsia"/>
                      <w:color w:val="auto"/>
                      <w:lang w:val="en-US" w:eastAsia="zh-CN"/>
                      <w:highlight w:val="none"/>
                    </w:rPr>
                    <w:t>1140m</w:t>
                  </w:r>
                  <w:r>
                    <w:rPr>
                      <w:rFonts w:cs="Times New Roman" w:hint="eastAsia"/>
                      <w:color w:val="auto"/>
                      <w:vertAlign w:val="superscript"/>
                      <w:lang w:val="en-US" w:eastAsia="zh-CN"/>
                      <w:highlight w:val="none"/>
                    </w:rPr>
                    <w:t>2</w:t>
                  </w:r>
                  <w:r>
                    <w:rPr>
                      <w:rFonts w:cs="Times New Roman" w:hint="eastAsia"/>
                      <w:color w:val="auto"/>
                      <w:lang w:val="en-US" w:eastAsia="zh-CN"/>
                      <w:highlight w:val="none"/>
                    </w:rPr>
                    <w:t>，</w:t>
                  </w:r>
                  <w:r>
                    <w:rPr>
                      <w:rFonts w:cs="Times New Roman" w:hint="eastAsia"/>
                      <w:color w:val="auto"/>
                      <w:lang w:eastAsia="zh-CN"/>
                      <w:highlight w:val="none"/>
                    </w:rPr>
                    <w:t>贮存量为</w:t>
                  </w:r>
                  <w:r>
                    <w:rPr>
                      <w:rFonts w:cs="Times New Roman" w:hint="eastAsia"/>
                      <w:color w:val="auto"/>
                      <w:lang w:val="en-US" w:eastAsia="zh-CN"/>
                      <w:highlight w:val="none"/>
                    </w:rPr>
                    <w:t>100t。本项目选址符合环保要求，</w:t>
                  </w:r>
                  <w:r>
                    <w:rPr>
                      <w:rFonts w:ascii="Times New Roman" w:eastAsia="宋体" w:cs="Times New Roman" w:hAnsi="Times New Roman" w:hint="eastAsia"/>
                      <w:color w:val="auto"/>
                      <w:highlight w:val="none"/>
                    </w:rPr>
                    <w:t>具备防雨防汛功能，且地面硬化、防渗漏，污染控制应符合GB 18599相关要求。</w:t>
                  </w:r>
                </w:p>
                <w:p>
                  <w:pPr>
                    <w:adjustRightInd w:val="0"/>
                    <w:snapToGrid w:val="0"/>
                    <w:jc w:val="both"/>
                    <w:rPr>
                      <w:rFonts w:ascii="Times New Roman" w:eastAsia="宋体" w:cs="Times New Roman" w:hAnsi="Times New Roman" w:hint="eastAsia"/>
                      <w:color w:val="auto"/>
                      <w:highlight w:val="none"/>
                    </w:rPr>
                  </w:pPr>
                  <w:r>
                    <w:rPr>
                      <w:rFonts w:cs="Times New Roman" w:hint="eastAsia"/>
                      <w:color w:val="auto"/>
                      <w:lang w:eastAsia="zh-CN"/>
                      <w:highlight w:val="none"/>
                    </w:rPr>
                    <w:t>本项目废铅蓄电池贮存在库房内，库房</w:t>
                  </w:r>
                  <w:r>
                    <w:rPr>
                      <w:rFonts w:ascii="Times New Roman" w:eastAsia="宋体" w:cs="Times New Roman" w:hAnsi="Times New Roman" w:hint="eastAsia"/>
                      <w:color w:val="auto"/>
                      <w:highlight w:val="none"/>
                    </w:rPr>
                    <w:t>按GB 50016和GB 50140要求设置消防安全设施，按照GB 2894和GB 15630要求设立消防安全和警示标志，</w:t>
                  </w:r>
                  <w:r>
                    <w:rPr>
                      <w:rFonts w:cs="Times New Roman" w:hint="eastAsia"/>
                      <w:color w:val="auto"/>
                      <w:lang w:eastAsia="zh-CN"/>
                      <w:highlight w:val="none"/>
                    </w:rPr>
                    <w:t>定期进行转运</w:t>
                  </w:r>
                  <w:r>
                    <w:rPr>
                      <w:rFonts w:ascii="Times New Roman" w:eastAsia="宋体" w:cs="Times New Roman" w:hAnsi="Times New Roman" w:hint="eastAsia"/>
                      <w:color w:val="auto"/>
                      <w:highlight w:val="none"/>
                    </w:rPr>
                    <w:t>。</w:t>
                  </w:r>
                </w:p>
                <w:p>
                  <w:pPr>
                    <w:adjustRightInd w:val="0"/>
                    <w:snapToGrid w:val="0"/>
                    <w:jc w:val="both"/>
                    <w:rPr>
                      <w:rFonts w:ascii="Times New Roman" w:eastAsia="宋体" w:cs="Times New Roman" w:hAnsi="Times New Roman"/>
                      <w:color w:val="auto"/>
                      <w:lang w:val="en-US" w:eastAsia="zh-CN"/>
                      <w:highlight w:val="none"/>
                    </w:rPr>
                  </w:pPr>
                </w:p>
              </w:tc>
              <w:tc>
                <w:tcPr>
                  <w:tcW w:w="465" w:type="pct"/>
                  <w:vAlign w:val="center"/>
                </w:tcPr>
                <w:p>
                  <w:pPr>
                    <w:adjustRightInd w:val="0"/>
                    <w:snapToGrid w:val="0"/>
                    <w:jc w:val="both"/>
                    <w:rPr>
                      <w:rFonts w:ascii="Times New Roman" w:eastAsia="宋体" w:cs="Times New Roman" w:hAnsi="Times New Roman"/>
                      <w:color w:val="auto"/>
                      <w:highlight w:val="none"/>
                    </w:rPr>
                  </w:pPr>
                  <w:r>
                    <w:rPr>
                      <w:rFonts w:ascii="Times New Roman" w:eastAsia="宋体" w:cs="Times New Roman" w:hAnsi="Times New Roman"/>
                      <w:color w:val="auto"/>
                      <w:highlight w:val="none"/>
                    </w:rPr>
                    <w:t>符合</w:t>
                  </w:r>
                </w:p>
              </w:tc>
            </w:tr>
          </w:tbl>
          <w:p>
            <w:pPr>
              <w:pStyle w:val="69"/>
              <w:spacing w:line="360" w:lineRule="auto"/>
              <w:ind w:left="122" w:firstLine="473"/>
              <w:rPr>
                <w:rFonts w:ascii="Times New Roman" w:eastAsia="宋体" w:cs="Times New Roman" w:hAnsi="Times New Roman"/>
                <w:color w:val="auto"/>
                <w:kern w:val="2"/>
                <w:sz w:val="24"/>
                <w:szCs w:val="24"/>
                <w:lang w:val="en-US" w:eastAsia="zh-CN" w:bidi="ar-SA"/>
                <w:highlight w:val="none"/>
              </w:rPr>
            </w:pPr>
            <w:r>
              <w:rPr>
                <w:rFonts w:ascii="Times New Roman" w:eastAsia="宋体" w:cs="Times New Roman" w:hAnsi="Times New Roman" w:hint="eastAsia"/>
                <w:color w:val="auto"/>
                <w:kern w:val="2"/>
                <w:sz w:val="24"/>
                <w:szCs w:val="24"/>
                <w:lang w:val="en-US" w:eastAsia="zh-CN" w:bidi="ar-SA"/>
                <w:highlight w:val="none"/>
              </w:rPr>
              <w:t>（</w:t>
            </w:r>
            <w:r>
              <w:rPr>
                <w:rFonts w:ascii="Times New Roman" w:cs="Times New Roman" w:hAnsi="Times New Roman" w:hint="eastAsia"/>
                <w:color w:val="auto"/>
                <w:kern w:val="2"/>
                <w:sz w:val="24"/>
                <w:szCs w:val="24"/>
                <w:lang w:val="en-US" w:eastAsia="zh-CN" w:bidi="ar-SA"/>
                <w:highlight w:val="none"/>
              </w:rPr>
              <w:t>12</w:t>
            </w:r>
            <w:r>
              <w:rPr>
                <w:rFonts w:ascii="Times New Roman" w:eastAsia="宋体" w:cs="Times New Roman" w:hAnsi="Times New Roman" w:hint="eastAsia"/>
                <w:color w:val="auto"/>
                <w:kern w:val="2"/>
                <w:sz w:val="24"/>
                <w:szCs w:val="24"/>
                <w:lang w:val="en-US" w:eastAsia="zh-CN" w:bidi="ar-SA"/>
                <w:highlight w:val="none"/>
              </w:rPr>
              <w:t>）与</w:t>
            </w:r>
            <w:r>
              <w:rPr>
                <w:rFonts w:ascii="Times New Roman" w:cs="Times New Roman" w:hAnsi="Times New Roman"/>
                <w:color w:val="auto"/>
                <w:kern w:val="2"/>
                <w:sz w:val="24"/>
                <w:szCs w:val="24"/>
                <w:lang w:eastAsia="zh-CN" w:bidi="ar-SA"/>
                <w:highlight w:val="none"/>
              </w:rPr>
              <w:t>《</w:t>
            </w:r>
            <w:r>
              <w:rPr>
                <w:rFonts w:ascii="Times New Roman" w:eastAsia="宋体" w:cs="Times New Roman" w:hAnsi="Times New Roman" w:hint="eastAsia"/>
                <w:color w:val="auto"/>
                <w:kern w:val="2"/>
                <w:sz w:val="24"/>
                <w:szCs w:val="24"/>
                <w:lang w:val="en-US" w:eastAsia="zh-CN" w:bidi="ar-SA"/>
                <w:highlight w:val="none"/>
              </w:rPr>
              <w:t>废铅蓄电池污染防治行动方案</w:t>
            </w:r>
            <w:r>
              <w:rPr>
                <w:rFonts w:ascii="Times New Roman" w:cs="Times New Roman" w:hAnsi="Times New Roman"/>
                <w:color w:val="auto"/>
                <w:kern w:val="2"/>
                <w:sz w:val="24"/>
                <w:szCs w:val="24"/>
                <w:lang w:eastAsia="zh-CN" w:bidi="ar-SA"/>
                <w:highlight w:val="none"/>
              </w:rPr>
              <w:t>》（</w:t>
            </w:r>
            <w:r>
              <w:rPr>
                <w:rFonts w:ascii="Times New Roman" w:eastAsia="宋体" w:cs="Times New Roman" w:hAnsi="Times New Roman" w:hint="eastAsia"/>
                <w:color w:val="auto"/>
                <w:kern w:val="2"/>
                <w:sz w:val="24"/>
                <w:szCs w:val="24"/>
                <w:lang w:val="en-US" w:eastAsia="zh-CN" w:bidi="ar-SA"/>
                <w:highlight w:val="none"/>
              </w:rPr>
              <w:t>环办固体〔2019〕3号</w:t>
            </w:r>
            <w:r>
              <w:rPr>
                <w:rFonts w:ascii="Times New Roman" w:cs="Times New Roman" w:hAnsi="Times New Roman"/>
                <w:color w:val="auto"/>
                <w:kern w:val="2"/>
                <w:sz w:val="24"/>
                <w:szCs w:val="24"/>
                <w:lang w:eastAsia="zh-CN" w:bidi="ar-SA"/>
                <w:highlight w:val="none"/>
              </w:rPr>
              <w:t>）</w:t>
            </w:r>
            <w:r>
              <w:rPr>
                <w:rFonts w:ascii="Times New Roman" w:cs="Times New Roman" w:hAnsi="Times New Roman" w:hint="eastAsia"/>
                <w:color w:val="auto"/>
                <w:kern w:val="2"/>
                <w:sz w:val="24"/>
                <w:szCs w:val="24"/>
                <w:lang w:val="en-US" w:bidi="ar-SA"/>
                <w:highlight w:val="none"/>
              </w:rPr>
              <w:t>的</w:t>
            </w:r>
            <w:r>
              <w:rPr>
                <w:rFonts w:ascii="Times New Roman" w:eastAsia="宋体" w:cs="Times New Roman" w:hAnsi="Times New Roman" w:hint="eastAsia"/>
                <w:color w:val="auto"/>
                <w:kern w:val="2"/>
                <w:sz w:val="24"/>
                <w:szCs w:val="24"/>
                <w:lang w:val="en-US" w:eastAsia="zh-CN" w:bidi="ar-SA"/>
                <w:highlight w:val="none"/>
              </w:rPr>
              <w:t>符合性分析</w:t>
            </w:r>
          </w:p>
          <w:p>
            <w:pPr>
              <w:ind w:firstLineChars="200" w:firstLine="480"/>
              <w:jc w:val="center"/>
              <w:rPr>
                <w:rFonts w:ascii="Times New Roman" w:eastAsia="宋体" w:cs="Times New Roman" w:hAnsi="Times New Roman" w:hint="eastAsia"/>
                <w:b/>
                <w:bCs/>
                <w:color w:val="auto"/>
                <w:sz w:val="24"/>
                <w:highlight w:val="none"/>
              </w:rPr>
            </w:pPr>
            <w:r>
              <w:rPr>
                <w:rFonts w:ascii="Times New Roman" w:eastAsia="宋体" w:cs="Times New Roman" w:hAnsi="Times New Roman" w:hint="eastAsia"/>
                <w:b/>
                <w:bCs/>
                <w:color w:val="auto"/>
                <w:sz w:val="24"/>
                <w:highlight w:val="none"/>
              </w:rPr>
              <w:t>表1-</w:t>
            </w:r>
            <w:r>
              <w:rPr>
                <w:rFonts w:cs="Times New Roman" w:hint="eastAsia"/>
                <w:b/>
                <w:bCs/>
                <w:color w:val="auto"/>
                <w:sz w:val="24"/>
                <w:lang w:val="en-US" w:eastAsia="zh-CN"/>
                <w:highlight w:val="none"/>
              </w:rPr>
              <w:t>25</w:t>
            </w:r>
            <w:r>
              <w:rPr>
                <w:rFonts w:ascii="Times New Roman" w:eastAsia="宋体" w:cs="Times New Roman" w:hAnsi="Times New Roman" w:hint="eastAsia"/>
                <w:b/>
                <w:bCs/>
                <w:color w:val="auto"/>
                <w:sz w:val="24"/>
                <w:highlight w:val="none"/>
              </w:rPr>
              <w:t xml:space="preserve">  与《废铅蓄电池污染防治行动方案》（环办固体〔2019〕3号）符合性分析一览表</w:t>
            </w:r>
          </w:p>
          <w:tbl>
            <w:tblPr>
              <w:jc w:val="center"/>
              <w:tblW w:w="4998" w:type="pct"/>
              <w:tblBorders>
                <w:top w:val="single" w:sz="12" w:space="0" w:color="auto"/>
                <w:left w:val="none" w:sz="0" w:space="0" w:color="auto"/>
                <w:bottom w:val="single" w:sz="12" w:space="0" w:color="auto"/>
                <w:right w:val="none" w:sz="0" w:space="0" w:color="auto"/>
                <w:insideH w:val="single" w:sz="4" w:space="0" w:color="auto"/>
                <w:insideV w:val="single" w:sz="4" w:space="0" w:color="auto"/>
              </w:tblBorders>
              <w:tblCellMar>
                <w:top w:w="0" w:type="dxa"/>
                <w:left w:w="108" w:type="dxa"/>
                <w:bottom w:w="0" w:type="dxa"/>
                <w:right w:w="108" w:type="dxa"/>
              </w:tblCellMar>
              <w:tblLook w:val="0600" w:firstRow="0" w:lastRow="0" w:firstColumn="0" w:lastColumn="0" w:noHBand="1" w:noVBand="1"/>
            </w:tblPr>
            <w:tblGrid>
              <w:gridCol w:w="846"/>
              <w:gridCol w:w="3333"/>
              <w:gridCol w:w="2720"/>
              <w:gridCol w:w="700"/>
            </w:tblGrid>
            <w:tr>
              <w:trPr>
                <w:cantSplit/>
                <w:trHeight w:val="318"/>
                <w:tblHeader/>
              </w:trPr>
              <w:tc>
                <w:tcPr>
                  <w:tcW w:w="513" w:type="pct"/>
                  <w:vAlign w:val="center"/>
                </w:tcPr>
                <w:p>
                  <w:pPr>
                    <w:snapToGrid w:val="0"/>
                    <w:jc w:val="center"/>
                    <w:rPr>
                      <w:rFonts w:hint="eastAsia"/>
                      <w:b/>
                      <w:color w:val="auto"/>
                      <w:szCs w:val="21"/>
                    </w:rPr>
                  </w:pPr>
                  <w:r>
                    <w:rPr>
                      <w:rFonts w:hint="eastAsia"/>
                      <w:b/>
                      <w:color w:val="auto"/>
                      <w:szCs w:val="21"/>
                    </w:rPr>
                    <w:t>项目</w:t>
                  </w:r>
                </w:p>
              </w:tc>
              <w:tc>
                <w:tcPr>
                  <w:tcW w:w="2214" w:type="pct"/>
                  <w:vAlign w:val="center"/>
                </w:tcPr>
                <w:p>
                  <w:pPr>
                    <w:snapToGrid w:val="0"/>
                    <w:jc w:val="center"/>
                    <w:rPr>
                      <w:rFonts w:hint="eastAsia"/>
                      <w:b/>
                      <w:color w:val="auto"/>
                      <w:szCs w:val="21"/>
                    </w:rPr>
                  </w:pPr>
                  <w:r>
                    <w:rPr>
                      <w:rFonts w:hint="eastAsia"/>
                      <w:b/>
                      <w:color w:val="auto"/>
                      <w:szCs w:val="21"/>
                    </w:rPr>
                    <w:t>规范要求</w:t>
                  </w:r>
                </w:p>
              </w:tc>
              <w:tc>
                <w:tcPr>
                  <w:tcW w:w="1807" w:type="pct"/>
                  <w:vAlign w:val="center"/>
                </w:tcPr>
                <w:p>
                  <w:pPr>
                    <w:snapToGrid w:val="0"/>
                    <w:jc w:val="center"/>
                    <w:rPr>
                      <w:rFonts w:hint="eastAsia"/>
                      <w:b/>
                      <w:color w:val="auto"/>
                      <w:szCs w:val="21"/>
                    </w:rPr>
                  </w:pPr>
                  <w:r>
                    <w:rPr>
                      <w:rFonts w:hint="eastAsia"/>
                      <w:b/>
                      <w:color w:val="auto"/>
                      <w:szCs w:val="21"/>
                    </w:rPr>
                    <w:t>项目建设条件</w:t>
                  </w:r>
                </w:p>
              </w:tc>
              <w:tc>
                <w:tcPr>
                  <w:tcW w:w="465" w:type="pct"/>
                  <w:vAlign w:val="center"/>
                </w:tcPr>
                <w:p>
                  <w:pPr>
                    <w:snapToGrid w:val="0"/>
                    <w:jc w:val="center"/>
                    <w:rPr>
                      <w:rFonts w:hint="eastAsia"/>
                      <w:b/>
                      <w:color w:val="auto"/>
                      <w:szCs w:val="21"/>
                    </w:rPr>
                  </w:pPr>
                  <w:r>
                    <w:rPr>
                      <w:rFonts w:hint="eastAsia"/>
                      <w:b/>
                      <w:color w:val="auto"/>
                      <w:szCs w:val="21"/>
                    </w:rPr>
                    <w:t>相符性</w:t>
                  </w:r>
                </w:p>
              </w:tc>
            </w:tr>
            <w:tr>
              <w:trPr>
                <w:cantSplit/>
                <w:trHeight w:val="318"/>
              </w:trPr>
              <w:tc>
                <w:tcPr>
                  <w:tcW w:w="513" w:type="pct"/>
                  <w:vAlign w:val="center"/>
                </w:tcPr>
                <w:p>
                  <w:pPr>
                    <w:adjustRightInd w:val="0"/>
                    <w:snapToGrid w:val="0"/>
                    <w:jc w:val="center"/>
                    <w:rPr>
                      <w:rFonts w:ascii="Times New Roman" w:eastAsia="宋体" w:cs="Times New Roman" w:hAnsi="Times New Roman" w:hint="eastAsia"/>
                      <w:color w:val="auto"/>
                      <w:highlight w:val="none"/>
                    </w:rPr>
                  </w:pPr>
                  <w:r>
                    <w:rPr>
                      <w:rFonts w:ascii="Times New Roman" w:eastAsia="宋体" w:cs="Times New Roman" w:hAnsi="Times New Roman" w:hint="eastAsia"/>
                      <w:color w:val="auto"/>
                      <w:lang w:val="en-US" w:eastAsia="zh-CN"/>
                      <w:highlight w:val="none"/>
                    </w:rPr>
                    <w:t>（九）开展废铅蓄电池集中收集和跨区域转运制度试点</w:t>
                  </w:r>
                </w:p>
              </w:tc>
              <w:tc>
                <w:tcPr>
                  <w:tcW w:w="2214" w:type="pct"/>
                </w:tcPr>
                <w:p>
                  <w:pPr>
                    <w:adjustRightInd w:val="0"/>
                    <w:snapToGrid w:val="0"/>
                    <w:jc w:val="both"/>
                    <w:rPr>
                      <w:rFonts w:ascii="Times New Roman" w:eastAsia="宋体" w:cs="Times New Roman" w:hAnsi="Times New Roman" w:hint="eastAsia"/>
                      <w:color w:val="auto"/>
                      <w:highlight w:val="none"/>
                    </w:rPr>
                  </w:pPr>
                  <w:r>
                    <w:rPr>
                      <w:rFonts w:ascii="Times New Roman" w:eastAsia="宋体" w:cs="Times New Roman" w:hAnsi="Times New Roman" w:hint="eastAsia"/>
                      <w:color w:val="auto"/>
                      <w:lang w:val="en-US" w:eastAsia="zh-CN"/>
                      <w:highlight w:val="none"/>
                    </w:rPr>
                    <w:t>为探索完善废铅蓄电池收集、转移管理制度，选择有条件的地区，开展废铅蓄电池集中收集和跨区域转运制度试点，对未破损的密封式免维护废铅蓄电池在收集、贮存、转移等环节有条件豁免或简化管理要求，降低成本，提高效率，推动建立规范有序的收集处理体系。</w:t>
                  </w:r>
                </w:p>
              </w:tc>
              <w:tc>
                <w:tcPr>
                  <w:tcW w:w="1807" w:type="pct"/>
                </w:tcPr>
                <w:p>
                  <w:pPr>
                    <w:adjustRightInd w:val="0"/>
                    <w:snapToGrid w:val="0"/>
                    <w:jc w:val="both"/>
                    <w:rPr>
                      <w:rFonts w:ascii="Times New Roman" w:eastAsia="宋体" w:cs="Times New Roman" w:hAnsi="Times New Roman" w:hint="eastAsia"/>
                      <w:color w:val="auto"/>
                      <w:lang w:eastAsia="zh-CN"/>
                      <w:highlight w:val="none"/>
                    </w:rPr>
                  </w:pPr>
                  <w:r>
                    <w:rPr>
                      <w:rFonts w:ascii="Times New Roman" w:eastAsia="宋体" w:cs="Times New Roman" w:hAnsi="Times New Roman"/>
                      <w:color w:val="auto"/>
                      <w:highlight w:val="none"/>
                    </w:rPr>
                    <w:t>本项目</w:t>
                  </w:r>
                  <w:r>
                    <w:rPr>
                      <w:rFonts w:cs="Times New Roman" w:hint="eastAsia"/>
                      <w:color w:val="auto"/>
                      <w:lang w:eastAsia="zh-CN"/>
                      <w:highlight w:val="none"/>
                    </w:rPr>
                    <w:t>为废铅蓄电池中转项目，主要收集未破损的密封式废铅蓄电池。</w:t>
                  </w:r>
                </w:p>
              </w:tc>
              <w:tc>
                <w:tcPr>
                  <w:tcW w:w="465" w:type="pct"/>
                  <w:vAlign w:val="center"/>
                </w:tcPr>
                <w:p>
                  <w:pPr>
                    <w:adjustRightInd w:val="0"/>
                    <w:snapToGrid w:val="0"/>
                    <w:jc w:val="both"/>
                    <w:rPr>
                      <w:rFonts w:ascii="Times New Roman" w:eastAsia="宋体" w:cs="Times New Roman" w:hAnsi="Times New Roman" w:hint="eastAsia"/>
                      <w:color w:val="auto"/>
                      <w:highlight w:val="none"/>
                    </w:rPr>
                  </w:pPr>
                  <w:r>
                    <w:rPr>
                      <w:rFonts w:ascii="Times New Roman" w:eastAsia="宋体" w:cs="Times New Roman" w:hAnsi="Times New Roman"/>
                      <w:color w:val="auto"/>
                      <w:highlight w:val="none"/>
                    </w:rPr>
                    <w:t>符合</w:t>
                  </w:r>
                </w:p>
              </w:tc>
            </w:tr>
            <w:tr>
              <w:trPr>
                <w:trHeight w:val="318"/>
              </w:trPr>
              <w:tc>
                <w:tcPr>
                  <w:tcW w:w="513" w:type="pct"/>
                  <w:vAlign w:val="center"/>
                </w:tcPr>
                <w:p>
                  <w:pPr>
                    <w:adjustRightInd w:val="0"/>
                    <w:snapToGrid w:val="0"/>
                    <w:jc w:val="center"/>
                    <w:rPr>
                      <w:rFonts w:cs="Times New Roman" w:hint="eastAsia"/>
                      <w:color w:val="auto"/>
                      <w:lang w:eastAsia="zh-CN"/>
                      <w:highlight w:val="none"/>
                    </w:rPr>
                  </w:pPr>
                  <w:r>
                    <w:rPr>
                      <w:rFonts w:ascii="Times New Roman" w:eastAsia="宋体" w:cs="Times New Roman" w:hAnsi="Times New Roman" w:hint="eastAsia"/>
                      <w:color w:val="auto"/>
                      <w:lang w:val="en-US" w:eastAsia="zh-CN"/>
                      <w:highlight w:val="none"/>
                    </w:rPr>
                    <w:t>（十三）严厉打击和严肃查处涉废铅蓄电池企业违法犯罪行为。</w:t>
                  </w:r>
                </w:p>
              </w:tc>
              <w:tc>
                <w:tcPr>
                  <w:tcW w:w="2214" w:type="pct"/>
                </w:tcPr>
                <w:p>
                  <w:pPr>
                    <w:adjustRightInd w:val="0"/>
                    <w:snapToGrid w:val="0"/>
                    <w:jc w:val="both"/>
                    <w:rPr>
                      <w:rFonts w:ascii="Times New Roman" w:eastAsia="宋体" w:cs="Times New Roman" w:hAnsi="Times New Roman" w:hint="eastAsia"/>
                      <w:color w:val="auto"/>
                      <w:highlight w:val="none"/>
                    </w:rPr>
                  </w:pPr>
                  <w:r>
                    <w:rPr>
                      <w:rFonts w:ascii="Times New Roman" w:eastAsia="宋体" w:cs="Times New Roman" w:hAnsi="Times New Roman" w:hint="eastAsia"/>
                      <w:color w:val="auto"/>
                      <w:lang w:val="en-US" w:eastAsia="zh-CN"/>
                      <w:highlight w:val="none"/>
                    </w:rPr>
                    <w:t>严厉打击非法收集拆解废铅蓄电池、非法冶炼再生铅等环境违法犯罪行为。（生态环境部、公安部负责长期落实）加强对铅蓄电池生产企业、原生铅企业和再生铅企业的涉废铅蓄电池违法行为检查，对无危险废物经营许可证接收废铅蓄电池，不按规定执行危险废物转移联单制度，非法处置废酸液，以及非法接收“倒酸”电池、再生粗铅、铅膏铅板等行为依法予以查处。</w:t>
                  </w:r>
                </w:p>
              </w:tc>
              <w:tc>
                <w:tcPr>
                  <w:tcW w:w="1807" w:type="pct"/>
                </w:tcPr>
                <w:p>
                  <w:pPr>
                    <w:adjustRightInd w:val="0"/>
                    <w:snapToGrid w:val="0"/>
                    <w:jc w:val="both"/>
                    <w:rPr>
                      <w:rFonts w:ascii="Times New Roman" w:eastAsia="宋体" w:cs="Times New Roman" w:hAnsi="Times New Roman" w:hint="eastAsia"/>
                      <w:color w:val="auto"/>
                      <w:lang w:eastAsia="zh-CN"/>
                      <w:highlight w:val="none"/>
                    </w:rPr>
                  </w:pPr>
                  <w:r>
                    <w:rPr>
                      <w:rFonts w:cs="Times New Roman" w:hint="eastAsia"/>
                      <w:color w:val="auto"/>
                      <w:lang w:eastAsia="zh-CN"/>
                      <w:highlight w:val="none"/>
                    </w:rPr>
                    <w:t>本项目将按要求申领危险废物经营许可证，并按规定执行危险废物转移联单。本项目不涉及拆解废铅蓄电池。</w:t>
                  </w:r>
                </w:p>
              </w:tc>
              <w:tc>
                <w:tcPr>
                  <w:tcW w:w="465" w:type="pct"/>
                  <w:vAlign w:val="center"/>
                </w:tcPr>
                <w:p>
                  <w:pPr>
                    <w:adjustRightInd w:val="0"/>
                    <w:snapToGrid w:val="0"/>
                    <w:jc w:val="both"/>
                    <w:rPr>
                      <w:rFonts w:ascii="Times New Roman" w:eastAsia="宋体" w:cs="Times New Roman" w:hAnsi="Times New Roman" w:hint="eastAsia"/>
                      <w:color w:val="auto"/>
                      <w:lang w:eastAsia="zh-CN"/>
                      <w:highlight w:val="none"/>
                    </w:rPr>
                  </w:pPr>
                  <w:r>
                    <w:rPr>
                      <w:rFonts w:cs="Times New Roman" w:hint="eastAsia"/>
                      <w:color w:val="auto"/>
                      <w:lang w:eastAsia="zh-CN"/>
                      <w:highlight w:val="none"/>
                    </w:rPr>
                    <w:t>符合</w:t>
                  </w:r>
                </w:p>
              </w:tc>
            </w:tr>
          </w:tbl>
          <w:p>
            <w:pPr>
              <w:pStyle w:val="69"/>
              <w:spacing w:line="360" w:lineRule="auto"/>
              <w:ind w:left="122" w:firstLine="473"/>
              <w:rPr>
                <w:rFonts w:ascii="Times New Roman" w:eastAsia="宋体" w:cs="Times New Roman" w:hAnsi="Times New Roman"/>
                <w:color w:val="auto"/>
                <w:kern w:val="2"/>
                <w:sz w:val="24"/>
                <w:szCs w:val="24"/>
                <w:lang w:val="en-US" w:eastAsia="zh-CN" w:bidi="ar-SA"/>
                <w:highlight w:val="none"/>
              </w:rPr>
            </w:pPr>
            <w:r>
              <w:rPr>
                <w:rFonts w:ascii="Times New Roman" w:eastAsia="宋体" w:cs="Times New Roman" w:hAnsi="Times New Roman" w:hint="eastAsia"/>
                <w:color w:val="auto"/>
                <w:kern w:val="2"/>
                <w:sz w:val="24"/>
                <w:szCs w:val="24"/>
                <w:lang w:val="en-US" w:eastAsia="zh-CN" w:bidi="ar-SA"/>
                <w:highlight w:val="none"/>
              </w:rPr>
              <w:t>（</w:t>
            </w:r>
            <w:r>
              <w:rPr>
                <w:rFonts w:ascii="Times New Roman" w:cs="Times New Roman" w:hAnsi="Times New Roman" w:hint="eastAsia"/>
                <w:color w:val="auto"/>
                <w:kern w:val="2"/>
                <w:sz w:val="24"/>
                <w:szCs w:val="24"/>
                <w:lang w:val="en-US" w:eastAsia="zh-CN" w:bidi="ar-SA"/>
                <w:highlight w:val="none"/>
              </w:rPr>
              <w:t>13</w:t>
            </w:r>
            <w:r>
              <w:rPr>
                <w:rFonts w:ascii="Times New Roman" w:eastAsia="宋体" w:cs="Times New Roman" w:hAnsi="Times New Roman" w:hint="eastAsia"/>
                <w:color w:val="auto"/>
                <w:kern w:val="2"/>
                <w:sz w:val="24"/>
                <w:szCs w:val="24"/>
                <w:lang w:val="en-US" w:eastAsia="zh-CN" w:bidi="ar-SA"/>
                <w:highlight w:val="none"/>
              </w:rPr>
              <w:t>）与</w:t>
            </w:r>
            <w:r>
              <w:rPr>
                <w:rFonts w:ascii="Times New Roman" w:cs="Times New Roman" w:hAnsi="Times New Roman"/>
                <w:color w:val="auto"/>
                <w:kern w:val="2"/>
                <w:sz w:val="24"/>
                <w:szCs w:val="24"/>
                <w:lang w:eastAsia="zh-CN" w:bidi="ar-SA"/>
                <w:highlight w:val="none"/>
              </w:rPr>
              <w:t>《河北省废铅蓄电池集中收集和跨区域转运制度试点工作方案》</w:t>
            </w:r>
            <w:r>
              <w:rPr>
                <w:rFonts w:ascii="Times New Roman" w:cs="Times New Roman" w:hAnsi="Times New Roman" w:hint="eastAsia"/>
                <w:color w:val="auto"/>
                <w:kern w:val="2"/>
                <w:sz w:val="24"/>
                <w:szCs w:val="24"/>
                <w:lang w:val="en-US" w:bidi="ar-SA"/>
                <w:highlight w:val="none"/>
              </w:rPr>
              <w:t>的</w:t>
            </w:r>
            <w:r>
              <w:rPr>
                <w:rFonts w:ascii="Times New Roman" w:eastAsia="宋体" w:cs="Times New Roman" w:hAnsi="Times New Roman" w:hint="eastAsia"/>
                <w:color w:val="auto"/>
                <w:kern w:val="2"/>
                <w:sz w:val="24"/>
                <w:szCs w:val="24"/>
                <w:lang w:val="en-US" w:eastAsia="zh-CN" w:bidi="ar-SA"/>
                <w:highlight w:val="none"/>
              </w:rPr>
              <w:t>符合性分析</w:t>
            </w:r>
          </w:p>
          <w:p>
            <w:pPr>
              <w:ind w:firstLineChars="200" w:firstLine="480"/>
              <w:jc w:val="center"/>
              <w:rPr>
                <w:rFonts w:ascii="Times New Roman" w:eastAsia="宋体" w:cs="Times New Roman" w:hAnsi="Times New Roman" w:hint="eastAsia"/>
                <w:b/>
                <w:bCs/>
                <w:color w:val="auto"/>
                <w:sz w:val="24"/>
                <w:highlight w:val="none"/>
              </w:rPr>
            </w:pPr>
            <w:r>
              <w:rPr>
                <w:rFonts w:ascii="Times New Roman" w:eastAsia="宋体" w:cs="Times New Roman" w:hAnsi="Times New Roman" w:hint="eastAsia"/>
                <w:b/>
                <w:bCs/>
                <w:color w:val="auto"/>
                <w:sz w:val="24"/>
                <w:highlight w:val="none"/>
              </w:rPr>
              <w:t>表1-</w:t>
            </w:r>
            <w:r>
              <w:rPr>
                <w:rFonts w:cs="Times New Roman" w:hint="eastAsia"/>
                <w:b/>
                <w:bCs/>
                <w:color w:val="auto"/>
                <w:sz w:val="24"/>
                <w:lang w:val="en-US" w:eastAsia="zh-CN"/>
                <w:highlight w:val="none"/>
              </w:rPr>
              <w:t>26</w:t>
            </w:r>
            <w:r>
              <w:rPr>
                <w:rFonts w:ascii="Times New Roman" w:eastAsia="宋体" w:cs="Times New Roman" w:hAnsi="Times New Roman" w:hint="eastAsia"/>
                <w:b/>
                <w:bCs/>
                <w:color w:val="auto"/>
                <w:sz w:val="24"/>
                <w:highlight w:val="none"/>
              </w:rPr>
              <w:t xml:space="preserve">  与《河北省废铅蓄电池集中收集和跨区域转运制度试点工作方案》符合性分析一览表</w:t>
            </w:r>
          </w:p>
          <w:tbl>
            <w:tblPr>
              <w:jc w:val="center"/>
              <w:tblW w:w="4998" w:type="pct"/>
              <w:tblBorders>
                <w:top w:val="single" w:sz="12" w:space="0" w:color="auto"/>
                <w:left w:val="none" w:sz="0" w:space="0" w:color="auto"/>
                <w:bottom w:val="single" w:sz="12" w:space="0" w:color="auto"/>
                <w:right w:val="none" w:sz="0" w:space="0" w:color="auto"/>
                <w:insideH w:val="single" w:sz="4" w:space="0" w:color="auto"/>
                <w:insideV w:val="single" w:sz="4" w:space="0" w:color="auto"/>
              </w:tblBorders>
              <w:tblCellMar>
                <w:top w:w="0" w:type="dxa"/>
                <w:left w:w="108" w:type="dxa"/>
                <w:bottom w:w="0" w:type="dxa"/>
                <w:right w:w="108" w:type="dxa"/>
              </w:tblCellMar>
              <w:tblLook w:val="0600" w:firstRow="0" w:lastRow="0" w:firstColumn="0" w:lastColumn="0" w:noHBand="1" w:noVBand="1"/>
            </w:tblPr>
            <w:tblGrid>
              <w:gridCol w:w="780"/>
              <w:gridCol w:w="3365"/>
              <w:gridCol w:w="2746"/>
              <w:gridCol w:w="707"/>
            </w:tblGrid>
            <w:tr>
              <w:trPr>
                <w:cantSplit/>
                <w:trHeight w:val="318"/>
                <w:tblHeader/>
              </w:trPr>
              <w:tc>
                <w:tcPr>
                  <w:tcW w:w="513" w:type="pct"/>
                  <w:vAlign w:val="center"/>
                </w:tcPr>
                <w:p>
                  <w:pPr>
                    <w:snapToGrid w:val="0"/>
                    <w:jc w:val="center"/>
                    <w:rPr>
                      <w:rFonts w:hint="eastAsia"/>
                      <w:b/>
                      <w:color w:val="auto"/>
                      <w:szCs w:val="21"/>
                    </w:rPr>
                  </w:pPr>
                  <w:r>
                    <w:rPr>
                      <w:rFonts w:hint="eastAsia"/>
                      <w:b/>
                      <w:color w:val="auto"/>
                      <w:szCs w:val="21"/>
                    </w:rPr>
                    <w:t>项目</w:t>
                  </w:r>
                </w:p>
              </w:tc>
              <w:tc>
                <w:tcPr>
                  <w:tcW w:w="2214" w:type="pct"/>
                  <w:vAlign w:val="center"/>
                </w:tcPr>
                <w:p>
                  <w:pPr>
                    <w:snapToGrid w:val="0"/>
                    <w:jc w:val="center"/>
                    <w:rPr>
                      <w:rFonts w:hint="eastAsia"/>
                      <w:b/>
                      <w:color w:val="auto"/>
                      <w:szCs w:val="21"/>
                    </w:rPr>
                  </w:pPr>
                  <w:r>
                    <w:rPr>
                      <w:rFonts w:hint="eastAsia"/>
                      <w:b/>
                      <w:color w:val="auto"/>
                      <w:szCs w:val="21"/>
                    </w:rPr>
                    <w:t>规范要求</w:t>
                  </w:r>
                </w:p>
              </w:tc>
              <w:tc>
                <w:tcPr>
                  <w:tcW w:w="1807" w:type="pct"/>
                  <w:vAlign w:val="center"/>
                </w:tcPr>
                <w:p>
                  <w:pPr>
                    <w:snapToGrid w:val="0"/>
                    <w:jc w:val="center"/>
                    <w:rPr>
                      <w:rFonts w:hint="eastAsia"/>
                      <w:b/>
                      <w:color w:val="auto"/>
                      <w:szCs w:val="21"/>
                    </w:rPr>
                  </w:pPr>
                  <w:r>
                    <w:rPr>
                      <w:rFonts w:hint="eastAsia"/>
                      <w:b/>
                      <w:color w:val="auto"/>
                      <w:szCs w:val="21"/>
                    </w:rPr>
                    <w:t>项目建设条件</w:t>
                  </w:r>
                </w:p>
              </w:tc>
              <w:tc>
                <w:tcPr>
                  <w:tcW w:w="465" w:type="pct"/>
                  <w:vAlign w:val="center"/>
                </w:tcPr>
                <w:p>
                  <w:pPr>
                    <w:snapToGrid w:val="0"/>
                    <w:jc w:val="center"/>
                    <w:rPr>
                      <w:rFonts w:hint="eastAsia"/>
                      <w:b/>
                      <w:color w:val="auto"/>
                      <w:szCs w:val="21"/>
                    </w:rPr>
                  </w:pPr>
                  <w:r>
                    <w:rPr>
                      <w:rFonts w:hint="eastAsia"/>
                      <w:b/>
                      <w:color w:val="auto"/>
                      <w:szCs w:val="21"/>
                    </w:rPr>
                    <w:t>相符性</w:t>
                  </w:r>
                </w:p>
              </w:tc>
            </w:tr>
            <w:tr>
              <w:trPr>
                <w:cantSplit/>
                <w:trHeight w:val="318"/>
              </w:trPr>
              <w:tc>
                <w:tcPr>
                  <w:tcW w:w="513" w:type="pct"/>
                  <w:vAlign w:val="center"/>
                </w:tcPr>
                <w:p>
                  <w:pPr>
                    <w:adjustRightInd w:val="0"/>
                    <w:snapToGrid w:val="0"/>
                    <w:jc w:val="center"/>
                    <w:rPr>
                      <w:rFonts w:ascii="Times New Roman" w:eastAsia="宋体" w:cs="Times New Roman" w:hAnsi="Times New Roman" w:hint="eastAsia"/>
                      <w:color w:val="auto"/>
                      <w:highlight w:val="none"/>
                    </w:rPr>
                  </w:pPr>
                  <w:r>
                    <w:rPr>
                      <w:rFonts w:ascii="Times New Roman" w:eastAsia="宋体" w:cs="Times New Roman" w:hAnsi="Times New Roman" w:hint="eastAsia"/>
                      <w:color w:val="auto"/>
                      <w:lang w:val="en-US" w:eastAsia="zh-CN"/>
                      <w:highlight w:val="none"/>
                    </w:rPr>
                    <w:t>建立废铅蓄电池集中收集体系</w:t>
                  </w:r>
                </w:p>
              </w:tc>
              <w:tc>
                <w:tcPr>
                  <w:tcW w:w="2214" w:type="pct"/>
                </w:tcPr>
                <w:p>
                  <w:pPr>
                    <w:adjustRightInd w:val="0"/>
                    <w:snapToGrid w:val="0"/>
                    <w:jc w:val="both"/>
                    <w:rPr>
                      <w:rFonts w:ascii="Times New Roman" w:eastAsia="宋体" w:cs="Times New Roman" w:hAnsi="Times New Roman" w:hint="eastAsia"/>
                      <w:color w:val="auto"/>
                      <w:highlight w:val="none"/>
                    </w:rPr>
                  </w:pPr>
                  <w:r>
                    <w:rPr>
                      <w:rFonts w:ascii="Times New Roman" w:eastAsia="宋体" w:cs="Times New Roman" w:hAnsi="Times New Roman" w:hint="eastAsia"/>
                      <w:color w:val="auto"/>
                      <w:lang w:val="en-US" w:eastAsia="zh-CN"/>
                      <w:highlight w:val="none"/>
                    </w:rPr>
                    <w:t>收集网点可以利用现有场所暂时存放少量的废铅蓄电池，但应当划分出专门存放区域，采取防止废铅蓄电池破损及酸液泄漏的措施，并在显著位置张贴废铅蓄电池收集提示性信息。根据环境风险大小将废铅蓄电池分为两类管理</w:t>
                  </w:r>
                  <w:r>
                    <w:rPr>
                      <w:rFonts w:cs="Times New Roman" w:hint="eastAsia"/>
                      <w:color w:val="auto"/>
                      <w:lang w:val="en-US" w:eastAsia="zh-CN"/>
                      <w:highlight w:val="none"/>
                    </w:rPr>
                    <w:t>：</w:t>
                  </w:r>
                  <w:r>
                    <w:rPr>
                      <w:rFonts w:ascii="Times New Roman" w:eastAsia="宋体" w:cs="Times New Roman" w:hAnsi="Times New Roman" w:hint="eastAsia"/>
                      <w:color w:val="auto"/>
                      <w:lang w:val="en-US" w:eastAsia="zh-CN"/>
                      <w:highlight w:val="none"/>
                    </w:rPr>
                    <w:t>未破损的密封式免维护废铅蓄电池</w:t>
                  </w:r>
                  <w:r>
                    <w:rPr>
                      <w:rFonts w:ascii="Times New Roman" w:eastAsia="宋体" w:cs="Times New Roman" w:hAnsi="Times New Roman"/>
                      <w:color w:val="auto"/>
                      <w:lang w:val="en-US" w:eastAsia="zh-CN"/>
                      <w:highlight w:val="none"/>
                    </w:rPr>
                    <w:t>（</w:t>
                  </w:r>
                  <w:r>
                    <w:rPr>
                      <w:rFonts w:ascii="Times New Roman" w:eastAsia="宋体" w:cs="Times New Roman" w:hAnsi="Times New Roman" w:hint="eastAsia"/>
                      <w:color w:val="auto"/>
                      <w:lang w:val="en-US" w:eastAsia="zh-CN"/>
                      <w:highlight w:val="none"/>
                    </w:rPr>
                    <w:t>以下简称第I类废铅蓄电池</w:t>
                  </w:r>
                  <w:r>
                    <w:rPr>
                      <w:rFonts w:ascii="Times New Roman" w:eastAsia="宋体" w:cs="Times New Roman" w:hAnsi="Times New Roman"/>
                      <w:color w:val="auto"/>
                      <w:lang w:val="en-US" w:eastAsia="zh-CN"/>
                      <w:highlight w:val="none"/>
                    </w:rPr>
                    <w:t>）</w:t>
                  </w:r>
                  <w:r>
                    <w:rPr>
                      <w:rFonts w:cs="Times New Roman" w:hint="eastAsia"/>
                      <w:color w:val="auto"/>
                      <w:lang w:val="en-US" w:eastAsia="zh-CN"/>
                      <w:highlight w:val="none"/>
                    </w:rPr>
                    <w:t>；</w:t>
                  </w:r>
                  <w:r>
                    <w:rPr>
                      <w:rFonts w:ascii="Times New Roman" w:eastAsia="宋体" w:cs="Times New Roman" w:hAnsi="Times New Roman" w:hint="eastAsia"/>
                      <w:color w:val="auto"/>
                      <w:lang w:val="en-US" w:eastAsia="zh-CN"/>
                      <w:highlight w:val="none"/>
                    </w:rPr>
                    <w:t>开口式废铅蓄电池和破损的密封式免维护废铅蓄电池</w:t>
                  </w:r>
                  <w:r>
                    <w:rPr>
                      <w:rFonts w:ascii="Times New Roman" w:eastAsia="宋体" w:cs="Times New Roman" w:hAnsi="Times New Roman"/>
                      <w:color w:val="auto"/>
                      <w:lang w:val="en-US" w:eastAsia="zh-CN"/>
                      <w:highlight w:val="none"/>
                    </w:rPr>
                    <w:t>（</w:t>
                  </w:r>
                  <w:r>
                    <w:rPr>
                      <w:rFonts w:ascii="Times New Roman" w:eastAsia="宋体" w:cs="Times New Roman" w:hAnsi="Times New Roman" w:hint="eastAsia"/>
                      <w:color w:val="auto"/>
                      <w:lang w:val="en-US" w:eastAsia="zh-CN"/>
                      <w:highlight w:val="none"/>
                    </w:rPr>
                    <w:t>以下简称第II类废铅蓄电池</w:t>
                  </w:r>
                  <w:r>
                    <w:rPr>
                      <w:rFonts w:ascii="Times New Roman" w:eastAsia="宋体" w:cs="Times New Roman" w:hAnsi="Times New Roman"/>
                      <w:color w:val="auto"/>
                      <w:lang w:val="en-US" w:eastAsia="zh-CN"/>
                      <w:highlight w:val="none"/>
                    </w:rPr>
                    <w:t>）</w:t>
                  </w:r>
                  <w:r>
                    <w:rPr>
                      <w:rFonts w:ascii="Times New Roman" w:eastAsia="宋体" w:cs="Times New Roman" w:hAnsi="Times New Roman" w:hint="eastAsia"/>
                      <w:color w:val="auto"/>
                      <w:lang w:val="en-US" w:eastAsia="zh-CN"/>
                      <w:highlight w:val="none"/>
                    </w:rPr>
                    <w:t>。第II类废铅蓄电池应当放置在耐腐蚀、不易破损变形的专用容器内，防止酸液泄漏造成环境污染。</w:t>
                  </w:r>
                </w:p>
              </w:tc>
              <w:tc>
                <w:tcPr>
                  <w:tcW w:w="1807" w:type="pct"/>
                </w:tcPr>
                <w:p>
                  <w:pPr>
                    <w:adjustRightInd w:val="0"/>
                    <w:snapToGrid w:val="0"/>
                    <w:jc w:val="both"/>
                    <w:rPr>
                      <w:rFonts w:ascii="Times New Roman" w:eastAsia="宋体" w:cs="Times New Roman" w:hAnsi="Times New Roman" w:hint="eastAsia"/>
                      <w:color w:val="auto"/>
                      <w:lang w:eastAsia="zh-CN"/>
                      <w:highlight w:val="none"/>
                    </w:rPr>
                  </w:pPr>
                  <w:r>
                    <w:rPr>
                      <w:rFonts w:ascii="Times New Roman" w:eastAsia="宋体" w:cs="Times New Roman" w:hAnsi="Times New Roman"/>
                      <w:color w:val="auto"/>
                      <w:highlight w:val="none"/>
                    </w:rPr>
                    <w:t>本项目</w:t>
                  </w:r>
                  <w:r>
                    <w:rPr>
                      <w:rFonts w:cs="Times New Roman" w:hint="eastAsia"/>
                      <w:color w:val="auto"/>
                      <w:lang w:eastAsia="zh-CN"/>
                      <w:highlight w:val="none"/>
                    </w:rPr>
                    <w:t>为废铅蓄电池中转项目，主要收集未破损的密封式废铅蓄电池（</w:t>
                  </w:r>
                  <w:r>
                    <w:rPr>
                      <w:rFonts w:ascii="Times New Roman" w:eastAsia="宋体" w:cs="Times New Roman" w:hAnsi="Times New Roman" w:hint="eastAsia"/>
                      <w:color w:val="auto"/>
                      <w:lang w:val="en-US" w:eastAsia="zh-CN"/>
                      <w:highlight w:val="none"/>
                    </w:rPr>
                    <w:t>第I类废铅蓄电池</w:t>
                  </w:r>
                  <w:r>
                    <w:rPr>
                      <w:rFonts w:cs="Times New Roman" w:hint="eastAsia"/>
                      <w:color w:val="auto"/>
                      <w:lang w:eastAsia="zh-CN"/>
                      <w:highlight w:val="none"/>
                    </w:rPr>
                    <w:t>），分拣过程中发现的破损电池按</w:t>
                  </w:r>
                  <w:r>
                    <w:rPr>
                      <w:rFonts w:ascii="Times New Roman" w:eastAsia="宋体" w:cs="Times New Roman" w:hAnsi="Times New Roman" w:hint="eastAsia"/>
                      <w:color w:val="auto"/>
                      <w:lang w:val="en-US" w:eastAsia="zh-CN"/>
                      <w:highlight w:val="none"/>
                    </w:rPr>
                    <w:t>第II类废铅蓄电池</w:t>
                  </w:r>
                  <w:r>
                    <w:rPr>
                      <w:rFonts w:cs="Times New Roman" w:hint="eastAsia"/>
                      <w:color w:val="auto"/>
                      <w:lang w:val="en-US" w:eastAsia="zh-CN"/>
                      <w:highlight w:val="none"/>
                    </w:rPr>
                    <w:t>管理，</w:t>
                  </w:r>
                  <w:r>
                    <w:rPr>
                      <w:rFonts w:ascii="Times New Roman" w:eastAsia="宋体" w:cs="Times New Roman" w:hAnsi="Times New Roman" w:hint="eastAsia"/>
                      <w:color w:val="auto"/>
                      <w:lang w:val="en-US" w:eastAsia="zh-CN"/>
                      <w:highlight w:val="none"/>
                    </w:rPr>
                    <w:t>放置在耐腐蚀、不易破损变形的专用容器内，防止酸液泄漏造成环境污染</w:t>
                  </w:r>
                  <w:r>
                    <w:rPr>
                      <w:rFonts w:cs="Times New Roman" w:hint="eastAsia"/>
                      <w:color w:val="auto"/>
                      <w:lang w:eastAsia="zh-CN"/>
                      <w:highlight w:val="none"/>
                    </w:rPr>
                    <w:t>。</w:t>
                  </w:r>
                </w:p>
              </w:tc>
              <w:tc>
                <w:tcPr>
                  <w:tcW w:w="465" w:type="pct"/>
                  <w:vAlign w:val="center"/>
                </w:tcPr>
                <w:p>
                  <w:pPr>
                    <w:adjustRightInd w:val="0"/>
                    <w:snapToGrid w:val="0"/>
                    <w:jc w:val="both"/>
                    <w:rPr>
                      <w:rFonts w:ascii="Times New Roman" w:eastAsia="宋体" w:cs="Times New Roman" w:hAnsi="Times New Roman" w:hint="eastAsia"/>
                      <w:color w:val="auto"/>
                      <w:highlight w:val="none"/>
                    </w:rPr>
                  </w:pPr>
                  <w:r>
                    <w:rPr>
                      <w:rFonts w:ascii="Times New Roman" w:eastAsia="宋体" w:cs="Times New Roman" w:hAnsi="Times New Roman"/>
                      <w:color w:val="auto"/>
                      <w:highlight w:val="none"/>
                    </w:rPr>
                    <w:t>符合</w:t>
                  </w:r>
                </w:p>
              </w:tc>
            </w:tr>
            <w:tr>
              <w:trPr>
                <w:cantSplit/>
                <w:trHeight w:val="318"/>
              </w:trPr>
              <w:tc>
                <w:tcPr>
                  <w:tcW w:w="513" w:type="pct"/>
                  <w:vAlign w:val="center"/>
                </w:tcPr>
                <w:p>
                  <w:pPr>
                    <w:adjustRightInd w:val="0"/>
                    <w:snapToGrid w:val="0"/>
                    <w:jc w:val="center"/>
                    <w:rPr>
                      <w:rFonts w:cs="Times New Roman" w:hint="eastAsia"/>
                      <w:color w:val="auto"/>
                      <w:lang w:eastAsia="zh-CN"/>
                      <w:highlight w:val="none"/>
                    </w:rPr>
                  </w:pPr>
                  <w:r>
                    <w:rPr>
                      <w:rFonts w:ascii="Times New Roman" w:eastAsia="宋体" w:cs="Times New Roman" w:hAnsi="Times New Roman" w:hint="eastAsia"/>
                      <w:color w:val="auto"/>
                      <w:lang w:val="en-US" w:eastAsia="zh-CN"/>
                      <w:highlight w:val="none"/>
                    </w:rPr>
                    <w:t>规范废铅蓄电池转运管理要求</w:t>
                  </w:r>
                </w:p>
              </w:tc>
              <w:tc>
                <w:tcPr>
                  <w:tcW w:w="2214" w:type="pct"/>
                </w:tcPr>
                <w:p>
                  <w:pPr>
                    <w:adjustRightInd w:val="0"/>
                    <w:snapToGrid w:val="0"/>
                    <w:jc w:val="both"/>
                    <w:rPr>
                      <w:rFonts w:ascii="Times New Roman" w:eastAsia="宋体" w:cs="Times New Roman" w:hAnsi="Times New Roman" w:hint="eastAsia"/>
                      <w:color w:val="auto"/>
                      <w:highlight w:val="none"/>
                    </w:rPr>
                  </w:pPr>
                  <w:r>
                    <w:rPr>
                      <w:rFonts w:ascii="Times New Roman" w:eastAsia="宋体" w:cs="Times New Roman" w:hAnsi="Times New Roman" w:hint="eastAsia"/>
                      <w:color w:val="auto"/>
                      <w:lang w:val="en-US" w:eastAsia="zh-CN"/>
                      <w:highlight w:val="none"/>
                    </w:rPr>
                    <w:t>收集网点向集中转运点转移第I类废铅蓄电池，应当做好台账记录，如实记录废铅蓄电池的数量、重量、来源、去向等信息。收集网点向集中转运点转移第I类废铅蓄电池的，以及企业事业工业源产废单位向集中转运点、集中转运点向废铅蓄电池利用处置单位转移废铅蓄电池的，应填写危险废物转移联单，危险废物转移联单中，应根据《危险货物道路运输规则》</w:t>
                  </w:r>
                  <w:r>
                    <w:rPr>
                      <w:rFonts w:ascii="Times New Roman" w:eastAsia="宋体" w:cs="Times New Roman" w:hAnsi="Times New Roman"/>
                      <w:color w:val="auto"/>
                      <w:lang w:val="en-US" w:eastAsia="zh-CN"/>
                      <w:highlight w:val="none"/>
                    </w:rPr>
                    <w:t>（</w:t>
                  </w:r>
                  <w:r>
                    <w:rPr>
                      <w:rFonts w:ascii="Times New Roman" w:eastAsia="宋体" w:cs="Times New Roman" w:hAnsi="Times New Roman" w:hint="eastAsia"/>
                      <w:color w:val="auto"/>
                      <w:lang w:val="en-US" w:eastAsia="zh-CN"/>
                      <w:highlight w:val="none"/>
                    </w:rPr>
                    <w:t>JT/T617</w:t>
                  </w:r>
                  <w:r>
                    <w:rPr>
                      <w:rFonts w:ascii="Times New Roman" w:eastAsia="宋体" w:cs="Times New Roman" w:hAnsi="Times New Roman"/>
                      <w:color w:val="auto"/>
                      <w:lang w:val="en-US" w:eastAsia="zh-CN"/>
                      <w:highlight w:val="none"/>
                    </w:rPr>
                    <w:t>）</w:t>
                  </w:r>
                  <w:r>
                    <w:rPr>
                      <w:rFonts w:ascii="Times New Roman" w:eastAsia="宋体" w:cs="Times New Roman" w:hAnsi="Times New Roman" w:hint="eastAsia"/>
                      <w:color w:val="auto"/>
                      <w:lang w:val="en-US" w:eastAsia="zh-CN"/>
                      <w:highlight w:val="none"/>
                    </w:rPr>
                    <w:t>注明废铅蓄电池对应的危险货物联合国编号。</w:t>
                  </w:r>
                </w:p>
              </w:tc>
              <w:tc>
                <w:tcPr>
                  <w:tcW w:w="1807" w:type="pct"/>
                </w:tcPr>
                <w:p>
                  <w:pPr>
                    <w:adjustRightInd w:val="0"/>
                    <w:snapToGrid w:val="0"/>
                    <w:jc w:val="both"/>
                    <w:rPr>
                      <w:rFonts w:ascii="Times New Roman" w:eastAsia="宋体" w:cs="Times New Roman" w:hAnsi="Times New Roman" w:hint="eastAsia"/>
                      <w:color w:val="auto"/>
                      <w:lang w:eastAsia="zh-CN"/>
                      <w:highlight w:val="none"/>
                    </w:rPr>
                  </w:pPr>
                  <w:r>
                    <w:rPr>
                      <w:rFonts w:cs="Times New Roman" w:hint="eastAsia"/>
                      <w:color w:val="auto"/>
                      <w:lang w:eastAsia="zh-CN"/>
                      <w:highlight w:val="none"/>
                    </w:rPr>
                    <w:t>本项目不涉及运输，委托专业、有资质单位进行运输。</w:t>
                  </w:r>
                </w:p>
              </w:tc>
              <w:tc>
                <w:tcPr>
                  <w:tcW w:w="465" w:type="pct"/>
                  <w:vAlign w:val="center"/>
                </w:tcPr>
                <w:p>
                  <w:pPr>
                    <w:adjustRightInd w:val="0"/>
                    <w:snapToGrid w:val="0"/>
                    <w:jc w:val="both"/>
                    <w:rPr>
                      <w:rFonts w:ascii="Times New Roman" w:eastAsia="宋体" w:cs="Times New Roman" w:hAnsi="Times New Roman" w:hint="eastAsia"/>
                      <w:color w:val="auto"/>
                      <w:lang w:eastAsia="zh-CN"/>
                      <w:highlight w:val="none"/>
                    </w:rPr>
                  </w:pPr>
                  <w:r>
                    <w:rPr>
                      <w:rFonts w:cs="Times New Roman" w:hint="eastAsia"/>
                      <w:color w:val="auto"/>
                      <w:lang w:eastAsia="zh-CN"/>
                      <w:highlight w:val="none"/>
                    </w:rPr>
                    <w:t>符合</w:t>
                  </w:r>
                </w:p>
              </w:tc>
            </w:tr>
            <w:tr>
              <w:trPr>
                <w:trHeight w:val="318"/>
              </w:trPr>
              <w:tc>
                <w:tcPr>
                  <w:tcW w:w="513" w:type="pct"/>
                  <w:vMerge w:val="restart"/>
                  <w:vAlign w:val="center"/>
                </w:tcPr>
                <w:p>
                  <w:pPr>
                    <w:adjustRightInd w:val="0"/>
                    <w:snapToGrid w:val="0"/>
                    <w:jc w:val="center"/>
                    <w:rPr>
                      <w:rFonts w:ascii="Times New Roman" w:eastAsia="宋体" w:cs="Times New Roman" w:hAnsi="Times New Roman" w:hint="eastAsia"/>
                      <w:color w:val="auto"/>
                      <w:lang w:val="en-US" w:eastAsia="zh-CN"/>
                      <w:highlight w:val="none"/>
                    </w:rPr>
                  </w:pPr>
                  <w:r>
                    <w:rPr>
                      <w:rFonts w:ascii="Times New Roman" w:eastAsia="宋体" w:cs="Times New Roman" w:hAnsi="Times New Roman" w:hint="eastAsia"/>
                      <w:color w:val="auto"/>
                      <w:lang w:val="en-US" w:eastAsia="zh-CN"/>
                      <w:highlight w:val="none"/>
                    </w:rPr>
                    <w:t>强化废铅蓄电池收集转运信息化监督管理</w:t>
                  </w:r>
                </w:p>
              </w:tc>
              <w:tc>
                <w:tcPr>
                  <w:tcW w:w="2214" w:type="pct"/>
                </w:tcPr>
                <w:p>
                  <w:pPr>
                    <w:adjustRightInd w:val="0"/>
                    <w:snapToGrid w:val="0"/>
                    <w:jc w:val="both"/>
                    <w:rPr>
                      <w:rFonts w:ascii="Times New Roman" w:eastAsia="宋体" w:cs="Times New Roman" w:hAnsi="Times New Roman" w:hint="eastAsia"/>
                      <w:color w:val="auto"/>
                      <w:lang w:val="en-US" w:eastAsia="zh-CN"/>
                      <w:highlight w:val="none"/>
                    </w:rPr>
                  </w:pPr>
                  <w:r>
                    <w:rPr>
                      <w:rFonts w:ascii="Times New Roman" w:eastAsia="宋体" w:cs="Times New Roman" w:hAnsi="Times New Roman" w:hint="eastAsia"/>
                      <w:color w:val="auto"/>
                      <w:lang w:val="en-US" w:eastAsia="zh-CN"/>
                      <w:highlight w:val="none"/>
                    </w:rPr>
                    <w:t>试点单位应建立废铅蓄电池收集处理数据信息管理系统，如实记录收集、贮存、转移废铅蓄电池的数量、重量、来源、去向等信息，并实现与全国固体废物管理信息系统和我省固体废物信息平台的数据对接。废铅蓄电池转移需要填写危险废物转移联单的，应当通过我省固体废物信息平台运行危险废物电子转移联单</w:t>
                  </w:r>
                  <w:r>
                    <w:rPr>
                      <w:rFonts w:cs="Times New Roman" w:hint="eastAsia"/>
                      <w:color w:val="auto"/>
                      <w:lang w:val="en-US" w:eastAsia="zh-CN"/>
                      <w:highlight w:val="none"/>
                    </w:rPr>
                    <w:t>。</w:t>
                  </w:r>
                </w:p>
              </w:tc>
              <w:tc>
                <w:tcPr>
                  <w:tcW w:w="1807" w:type="pct"/>
                </w:tcPr>
                <w:p>
                  <w:pPr>
                    <w:adjustRightInd w:val="0"/>
                    <w:snapToGrid w:val="0"/>
                    <w:jc w:val="both"/>
                    <w:rPr>
                      <w:rFonts w:cs="Times New Roman" w:hint="eastAsia"/>
                      <w:color w:val="auto"/>
                      <w:lang w:eastAsia="zh-CN"/>
                      <w:highlight w:val="none"/>
                    </w:rPr>
                  </w:pPr>
                  <w:r>
                    <w:rPr>
                      <w:rFonts w:cs="Times New Roman" w:hint="eastAsia"/>
                      <w:color w:val="auto"/>
                      <w:lang w:eastAsia="zh-CN"/>
                      <w:highlight w:val="none"/>
                    </w:rPr>
                    <w:t>本项目</w:t>
                  </w:r>
                  <w:r>
                    <w:rPr>
                      <w:rFonts w:ascii="Times New Roman" w:eastAsia="宋体" w:cs="Times New Roman" w:hAnsi="Times New Roman" w:hint="eastAsia"/>
                      <w:color w:val="auto"/>
                      <w:lang w:val="en-US" w:eastAsia="zh-CN"/>
                      <w:highlight w:val="none"/>
                    </w:rPr>
                    <w:t>如实记录收集、贮存、转移废铅蓄电池的数量、重量、来源、去向等信息</w:t>
                  </w:r>
                  <w:r>
                    <w:rPr>
                      <w:rFonts w:cs="Times New Roman" w:hint="eastAsia"/>
                      <w:color w:val="auto"/>
                      <w:lang w:val="en-US" w:eastAsia="zh-CN"/>
                      <w:highlight w:val="none"/>
                    </w:rPr>
                    <w:t>，</w:t>
                  </w:r>
                  <w:r>
                    <w:rPr>
                      <w:rFonts w:ascii="Times New Roman" w:eastAsia="宋体" w:cs="Times New Roman" w:hAnsi="Times New Roman" w:hint="eastAsia"/>
                      <w:color w:val="auto"/>
                      <w:lang w:val="en-US" w:eastAsia="zh-CN"/>
                      <w:highlight w:val="none"/>
                    </w:rPr>
                    <w:t>转移</w:t>
                  </w:r>
                  <w:r>
                    <w:rPr>
                      <w:rFonts w:cs="Times New Roman" w:hint="eastAsia"/>
                      <w:color w:val="auto"/>
                      <w:lang w:val="en-US" w:eastAsia="zh-CN"/>
                      <w:highlight w:val="none"/>
                    </w:rPr>
                    <w:t>过程填写</w:t>
                  </w:r>
                  <w:r>
                    <w:rPr>
                      <w:rFonts w:ascii="Times New Roman" w:eastAsia="宋体" w:cs="Times New Roman" w:hAnsi="Times New Roman" w:hint="eastAsia"/>
                      <w:color w:val="auto"/>
                      <w:lang w:val="en-US" w:eastAsia="zh-CN"/>
                      <w:highlight w:val="none"/>
                    </w:rPr>
                    <w:t>危险废物转移联单</w:t>
                  </w:r>
                  <w:r>
                    <w:rPr>
                      <w:rFonts w:cs="Times New Roman" w:hint="eastAsia"/>
                      <w:color w:val="auto"/>
                      <w:lang w:val="en-US" w:eastAsia="zh-CN"/>
                      <w:highlight w:val="none"/>
                    </w:rPr>
                    <w:t>。</w:t>
                  </w:r>
                </w:p>
              </w:tc>
              <w:tc>
                <w:tcPr>
                  <w:tcW w:w="465" w:type="pct"/>
                  <w:vAlign w:val="center"/>
                </w:tcPr>
                <w:p>
                  <w:pPr>
                    <w:adjustRightInd w:val="0"/>
                    <w:snapToGrid w:val="0"/>
                    <w:jc w:val="both"/>
                    <w:rPr>
                      <w:rFonts w:cs="Times New Roman" w:hint="eastAsia"/>
                      <w:color w:val="auto"/>
                      <w:lang w:eastAsia="zh-CN"/>
                      <w:highlight w:val="none"/>
                    </w:rPr>
                  </w:pPr>
                  <w:r>
                    <w:rPr>
                      <w:rFonts w:cs="Times New Roman" w:hint="eastAsia"/>
                      <w:color w:val="auto"/>
                      <w:lang w:eastAsia="zh-CN"/>
                      <w:highlight w:val="none"/>
                    </w:rPr>
                    <w:t>符合</w:t>
                  </w:r>
                </w:p>
              </w:tc>
            </w:tr>
            <w:tr>
              <w:trPr>
                <w:trHeight w:val="318"/>
              </w:trPr>
              <w:tc>
                <w:tcPr>
                  <w:tcW w:w="513" w:type="pct"/>
                  <w:vMerge/>
                  <w:vAlign w:val="center"/>
                </w:tcPr>
                <w:p/>
              </w:tc>
              <w:tc>
                <w:tcPr>
                  <w:tcW w:w="2214" w:type="pct"/>
                </w:tcPr>
                <w:p>
                  <w:pPr>
                    <w:adjustRightInd w:val="0"/>
                    <w:snapToGrid w:val="0"/>
                    <w:jc w:val="both"/>
                    <w:rPr>
                      <w:rFonts w:ascii="Times New Roman" w:eastAsia="宋体" w:cs="Times New Roman" w:hAnsi="Times New Roman" w:hint="eastAsia"/>
                      <w:color w:val="auto"/>
                      <w:lang w:val="en-US" w:eastAsia="zh-CN"/>
                      <w:highlight w:val="none"/>
                    </w:rPr>
                  </w:pPr>
                  <w:r>
                    <w:rPr>
                      <w:rFonts w:ascii="Times New Roman" w:eastAsia="宋体" w:cs="Times New Roman" w:hAnsi="Times New Roman" w:hint="eastAsia"/>
                      <w:color w:val="auto"/>
                      <w:lang w:val="en-US" w:eastAsia="zh-CN"/>
                      <w:highlight w:val="none"/>
                    </w:rPr>
                    <w:t>各收集试点单位的集中转运点应按照原省环保厅《关于建设全省危险废物智能监控体系的通知》</w:t>
                  </w:r>
                  <w:r>
                    <w:rPr>
                      <w:rFonts w:ascii="Times New Roman" w:eastAsia="宋体" w:cs="Times New Roman" w:hAnsi="Times New Roman"/>
                      <w:color w:val="auto"/>
                      <w:lang w:val="en-US" w:eastAsia="zh-CN"/>
                      <w:highlight w:val="none"/>
                    </w:rPr>
                    <w:t>（</w:t>
                  </w:r>
                  <w:r>
                    <w:rPr>
                      <w:rFonts w:ascii="Times New Roman" w:eastAsia="宋体" w:cs="Times New Roman" w:hAnsi="Times New Roman" w:hint="eastAsia"/>
                      <w:color w:val="auto"/>
                      <w:lang w:val="en-US" w:eastAsia="zh-CN"/>
                      <w:highlight w:val="none"/>
                    </w:rPr>
                    <w:t>冀环办发[2017]112号</w:t>
                  </w:r>
                  <w:r>
                    <w:rPr>
                      <w:rFonts w:ascii="Times New Roman" w:eastAsia="宋体" w:cs="Times New Roman" w:hAnsi="Times New Roman"/>
                      <w:color w:val="auto"/>
                      <w:lang w:val="en-US" w:eastAsia="zh-CN"/>
                      <w:highlight w:val="none"/>
                    </w:rPr>
                    <w:t>）</w:t>
                  </w:r>
                  <w:r>
                    <w:rPr>
                      <w:rFonts w:ascii="Times New Roman" w:eastAsia="宋体" w:cs="Times New Roman" w:hAnsi="Times New Roman" w:hint="eastAsia"/>
                      <w:color w:val="auto"/>
                      <w:lang w:val="en-US" w:eastAsia="zh-CN"/>
                      <w:highlight w:val="none"/>
                    </w:rPr>
                    <w:t>要求建设智能监控系统。鼓励有条件的收集网点配置视频录像设备，通过平台将收集到的废铅蓄电池信息、运输车辆信息、收集网点和回收中心信息及跨区域转移信息集成，实现废铅蓄电池流转全过程可视化管理。</w:t>
                  </w:r>
                </w:p>
              </w:tc>
              <w:tc>
                <w:tcPr>
                  <w:tcW w:w="1807" w:type="pct"/>
                </w:tcPr>
                <w:p>
                  <w:pPr>
                    <w:adjustRightInd w:val="0"/>
                    <w:snapToGrid w:val="0"/>
                    <w:jc w:val="both"/>
                    <w:rPr>
                      <w:rFonts w:cs="Times New Roman" w:hint="eastAsia"/>
                      <w:color w:val="auto"/>
                      <w:lang w:eastAsia="zh-CN"/>
                      <w:highlight w:val="none"/>
                    </w:rPr>
                  </w:pPr>
                  <w:r>
                    <w:rPr>
                      <w:rFonts w:cs="Times New Roman" w:hint="eastAsia"/>
                      <w:color w:val="auto"/>
                      <w:lang w:eastAsia="zh-CN"/>
                      <w:highlight w:val="none"/>
                    </w:rPr>
                    <w:t>本项目按要求</w:t>
                  </w:r>
                  <w:r>
                    <w:rPr>
                      <w:rFonts w:ascii="Times New Roman" w:eastAsia="宋体" w:cs="Times New Roman" w:hAnsi="Times New Roman" w:hint="eastAsia"/>
                      <w:color w:val="auto"/>
                      <w:lang w:val="en-US" w:eastAsia="zh-CN"/>
                      <w:highlight w:val="none"/>
                    </w:rPr>
                    <w:t>建设智能监控系统</w:t>
                  </w:r>
                  <w:r>
                    <w:rPr>
                      <w:rFonts w:cs="Times New Roman" w:hint="eastAsia"/>
                      <w:color w:val="auto"/>
                      <w:lang w:val="en-US" w:eastAsia="zh-CN"/>
                      <w:highlight w:val="none"/>
                    </w:rPr>
                    <w:t>。</w:t>
                  </w:r>
                </w:p>
              </w:tc>
              <w:tc>
                <w:tcPr>
                  <w:tcW w:w="465" w:type="pct"/>
                  <w:vAlign w:val="center"/>
                </w:tcPr>
                <w:p>
                  <w:pPr>
                    <w:adjustRightInd w:val="0"/>
                    <w:snapToGrid w:val="0"/>
                    <w:jc w:val="both"/>
                    <w:rPr>
                      <w:rFonts w:cs="Times New Roman" w:hint="eastAsia"/>
                      <w:color w:val="auto"/>
                      <w:lang w:eastAsia="zh-CN"/>
                      <w:highlight w:val="none"/>
                    </w:rPr>
                  </w:pPr>
                  <w:r>
                    <w:rPr>
                      <w:rFonts w:cs="Times New Roman" w:hint="eastAsia"/>
                      <w:color w:val="auto"/>
                      <w:lang w:eastAsia="zh-CN"/>
                      <w:highlight w:val="none"/>
                    </w:rPr>
                    <w:t>符合</w:t>
                  </w:r>
                </w:p>
              </w:tc>
            </w:tr>
          </w:tbl>
          <w:p>
            <w:pPr>
              <w:tabs>
                <w:tab w:val="left" w:pos="6521"/>
              </w:tabs>
              <w:spacing w:line="460" w:lineRule="exact"/>
              <w:ind w:firstLineChars="200" w:firstLine="480"/>
              <w:rPr>
                <w:rFonts w:ascii="Times New Roman" w:cs="Times New Roman" w:hAnsi="Times New Roman"/>
                <w:color w:val="auto"/>
                <w:sz w:val="24"/>
                <w:highlight w:val="yellow"/>
              </w:rPr>
            </w:pPr>
            <w:r>
              <w:rPr>
                <w:rFonts w:ascii="Times New Roman" w:cs="Times New Roman" w:hAnsi="Times New Roman"/>
                <w:color w:val="auto"/>
                <w:sz w:val="24"/>
                <w:highlight w:val="none"/>
              </w:rPr>
              <w:t>综上所述，本项目符合</w:t>
            </w:r>
            <w:r>
              <w:rPr>
                <w:rFonts w:ascii="Times New Roman" w:eastAsia="宋体" w:cs="Times New Roman" w:hAnsi="Times New Roman" w:hint="eastAsia"/>
                <w:color w:val="auto"/>
                <w:kern w:val="2"/>
                <w:sz w:val="24"/>
                <w:szCs w:val="24"/>
                <w:lang w:val="en-US" w:eastAsia="zh-CN" w:bidi="ar-SA"/>
                <w:highlight w:val="none"/>
              </w:rPr>
              <w:t>《危险废物贮存污染控制标准》（GB 18597-2023）</w:t>
            </w:r>
            <w:r>
              <w:rPr>
                <w:rFonts w:cs="Times New Roman" w:hint="eastAsia"/>
                <w:color w:val="auto"/>
                <w:kern w:val="2"/>
                <w:sz w:val="24"/>
                <w:szCs w:val="24"/>
                <w:lang w:val="en-US" w:eastAsia="zh-CN" w:bidi="ar-SA"/>
                <w:highlight w:val="none"/>
              </w:rPr>
              <w:t>、</w:t>
            </w:r>
            <w:r>
              <w:rPr>
                <w:rFonts w:ascii="Times New Roman" w:cs="Times New Roman" w:hAnsi="Times New Roman"/>
                <w:color w:val="auto"/>
                <w:sz w:val="24"/>
                <w:highlight w:val="none"/>
              </w:rPr>
              <w:t>《电池废料贮运规范》（GB/T26493-2011）</w:t>
            </w:r>
            <w:r>
              <w:rPr>
                <w:rFonts w:cs="Times New Roman" w:hint="eastAsia"/>
                <w:color w:val="auto"/>
                <w:sz w:val="24"/>
                <w:lang w:eastAsia="zh-CN"/>
                <w:highlight w:val="none"/>
              </w:rPr>
              <w:t>、</w:t>
            </w:r>
            <w:r>
              <w:rPr>
                <w:rFonts w:ascii="Times New Roman" w:cs="Times New Roman" w:hAnsi="Times New Roman"/>
                <w:color w:val="auto"/>
                <w:sz w:val="24"/>
                <w:highlight w:val="none"/>
              </w:rPr>
              <w:t>《废电池污染防治技术政策》</w:t>
            </w:r>
            <w:r>
              <w:rPr>
                <w:rFonts w:cs="Times New Roman" w:hint="eastAsia"/>
                <w:color w:val="auto"/>
                <w:sz w:val="24"/>
                <w:lang w:eastAsia="zh-CN"/>
                <w:highlight w:val="none"/>
              </w:rPr>
              <w:t>、</w:t>
            </w:r>
            <w:r>
              <w:rPr>
                <w:rFonts w:ascii="Times New Roman" w:eastAsia="宋体" w:cs="Times New Roman" w:hAnsi="Times New Roman"/>
                <w:color w:val="auto"/>
                <w:kern w:val="2"/>
                <w:sz w:val="24"/>
                <w:szCs w:val="24"/>
                <w:lang w:val="en-US" w:eastAsia="zh-CN" w:bidi="ar-SA"/>
                <w:highlight w:val="none"/>
              </w:rPr>
              <w:t>《废铅蓄电池危险废物经营单位审查和许可指南（试行）》</w:t>
            </w:r>
            <w:r>
              <w:rPr>
                <w:rFonts w:ascii="Times New Roman" w:eastAsia="宋体" w:cs="Times New Roman" w:hAnsi="Times New Roman" w:hint="eastAsia"/>
                <w:color w:val="auto"/>
                <w:kern w:val="2"/>
                <w:sz w:val="24"/>
                <w:szCs w:val="24"/>
                <w:lang w:val="en-US" w:eastAsia="zh-CN" w:bidi="ar-SA"/>
                <w:highlight w:val="none"/>
              </w:rPr>
              <w:t>、</w:t>
            </w:r>
            <w:r>
              <w:rPr>
                <w:rFonts w:ascii="Times New Roman" w:cs="Times New Roman" w:hAnsi="Times New Roman"/>
                <w:color w:val="auto"/>
                <w:sz w:val="24"/>
                <w:highlight w:val="none"/>
              </w:rPr>
              <w:t>《废铅酸蓄电池回收技术规范》（GB/T37281-2019）</w:t>
            </w:r>
            <w:r>
              <w:rPr>
                <w:rFonts w:cs="Times New Roman" w:hint="eastAsia"/>
                <w:color w:val="auto"/>
                <w:sz w:val="24"/>
                <w:lang w:eastAsia="zh-CN"/>
                <w:highlight w:val="none"/>
              </w:rPr>
              <w:t>、</w:t>
            </w:r>
            <w:r>
              <w:rPr>
                <w:rFonts w:ascii="Times New Roman" w:eastAsia="宋体" w:cs="Times New Roman" w:hAnsi="Times New Roman" w:hint="eastAsia"/>
                <w:color w:val="auto"/>
                <w:kern w:val="2"/>
                <w:sz w:val="24"/>
                <w:szCs w:val="24"/>
                <w:lang w:val="en-US" w:eastAsia="zh-CN" w:bidi="ar-SA"/>
                <w:highlight w:val="none"/>
              </w:rPr>
              <w:t>《废铅蓄电池处理污染控制技术规范》（HJ 519—2020）</w:t>
            </w:r>
            <w:r>
              <w:rPr>
                <w:rFonts w:cs="Times New Roman" w:hint="eastAsia"/>
                <w:color w:val="auto"/>
                <w:kern w:val="2"/>
                <w:sz w:val="24"/>
                <w:szCs w:val="24"/>
                <w:lang w:val="en-US" w:eastAsia="zh-CN" w:bidi="ar-SA"/>
                <w:highlight w:val="none"/>
              </w:rPr>
              <w:t>、</w:t>
            </w:r>
            <w:r>
              <w:rPr>
                <w:rFonts w:ascii="Times New Roman" w:eastAsia="宋体" w:cs="Times New Roman" w:hAnsi="Times New Roman" w:hint="eastAsia"/>
                <w:color w:val="auto"/>
                <w:kern w:val="2"/>
                <w:sz w:val="24"/>
                <w:szCs w:val="24"/>
                <w:lang w:val="en-US" w:eastAsia="zh-CN" w:bidi="ar-SA"/>
                <w:highlight w:val="none"/>
              </w:rPr>
              <w:t>《河北省环境保护厅办公室关于建设全省危险废物智能监控体系的通知》（冀环办发【2017】112号）</w:t>
            </w:r>
            <w:r>
              <w:rPr>
                <w:rFonts w:cs="Times New Roman" w:hint="eastAsia"/>
                <w:color w:val="auto"/>
                <w:kern w:val="2"/>
                <w:sz w:val="24"/>
                <w:szCs w:val="24"/>
                <w:lang w:val="en-US" w:eastAsia="zh-CN" w:bidi="ar-SA"/>
                <w:highlight w:val="none"/>
              </w:rPr>
              <w:t>、</w:t>
            </w:r>
            <w:r>
              <w:rPr>
                <w:rFonts w:ascii="Times New Roman" w:eastAsia="宋体" w:cs="Times New Roman" w:hAnsi="Times New Roman" w:hint="eastAsia"/>
                <w:color w:val="auto"/>
                <w:kern w:val="2"/>
                <w:sz w:val="24"/>
                <w:szCs w:val="24"/>
                <w:lang w:val="en-US" w:eastAsia="zh-CN" w:bidi="ar-SA"/>
                <w:highlight w:val="none"/>
              </w:rPr>
              <w:t>《河北省废铅蓄电池污染专项整治工作方案》（冀土领办[2019]1号）</w:t>
            </w:r>
            <w:r>
              <w:rPr>
                <w:rFonts w:cs="Times New Roman" w:hint="eastAsia"/>
                <w:color w:val="auto"/>
                <w:kern w:val="2"/>
                <w:sz w:val="24"/>
                <w:szCs w:val="24"/>
                <w:lang w:val="en-US" w:eastAsia="zh-CN" w:bidi="ar-SA"/>
                <w:highlight w:val="none"/>
              </w:rPr>
              <w:t>、</w:t>
            </w:r>
            <w:r>
              <w:rPr>
                <w:rFonts w:ascii="Times New Roman" w:eastAsia="宋体" w:cs="Times New Roman" w:hAnsi="Times New Roman" w:hint="eastAsia"/>
                <w:color w:val="auto"/>
                <w:kern w:val="2"/>
                <w:sz w:val="24"/>
                <w:szCs w:val="24"/>
                <w:lang w:val="en-US" w:eastAsia="zh-CN" w:bidi="ar-SA"/>
                <w:highlight w:val="none"/>
              </w:rPr>
              <w:t>《关于进一步加强全省废铅蓄电池环境管理工作的指导意见》</w:t>
            </w:r>
            <w:r>
              <w:rPr>
                <w:rFonts w:cs="Times New Roman" w:hint="eastAsia"/>
                <w:color w:val="auto"/>
                <w:kern w:val="2"/>
                <w:sz w:val="24"/>
                <w:szCs w:val="24"/>
                <w:lang w:val="en-US" w:eastAsia="zh-CN" w:bidi="ar-SA"/>
                <w:highlight w:val="none"/>
              </w:rPr>
              <w:t>（</w:t>
            </w:r>
            <w:r>
              <w:rPr>
                <w:rFonts w:ascii="Times New Roman" w:eastAsia="宋体" w:cs="Times New Roman" w:hAnsi="Times New Roman" w:hint="eastAsia"/>
                <w:color w:val="auto"/>
                <w:kern w:val="2"/>
                <w:sz w:val="24"/>
                <w:szCs w:val="24"/>
                <w:lang w:val="en-US" w:eastAsia="zh-CN" w:bidi="ar-SA"/>
                <w:highlight w:val="none"/>
              </w:rPr>
              <w:t>冀环固体〔2021〕368号</w:t>
            </w:r>
            <w:r>
              <w:rPr>
                <w:rFonts w:cs="Times New Roman" w:hint="eastAsia"/>
                <w:color w:val="auto"/>
                <w:kern w:val="2"/>
                <w:sz w:val="24"/>
                <w:szCs w:val="24"/>
                <w:lang w:val="en-US" w:eastAsia="zh-CN" w:bidi="ar-SA"/>
                <w:highlight w:val="none"/>
              </w:rPr>
              <w:t>）、《</w:t>
            </w:r>
            <w:r>
              <w:rPr>
                <w:rFonts w:ascii="Times New Roman" w:eastAsia="宋体" w:cs="Times New Roman" w:hAnsi="Times New Roman" w:hint="eastAsia"/>
                <w:color w:val="auto"/>
                <w:kern w:val="2"/>
                <w:sz w:val="24"/>
                <w:szCs w:val="24"/>
                <w:lang w:val="en-US" w:eastAsia="zh-CN" w:bidi="ar-SA"/>
                <w:highlight w:val="none"/>
              </w:rPr>
              <w:t>危险废物收集 贮存 运输技术规范</w:t>
            </w:r>
            <w:r>
              <w:rPr>
                <w:rFonts w:cs="Times New Roman" w:hint="eastAsia"/>
                <w:color w:val="auto"/>
                <w:kern w:val="2"/>
                <w:sz w:val="24"/>
                <w:szCs w:val="24"/>
                <w:lang w:val="en-US" w:eastAsia="zh-CN" w:bidi="ar-SA"/>
                <w:highlight w:val="none"/>
              </w:rPr>
              <w:t>》（</w:t>
            </w:r>
            <w:r>
              <w:rPr>
                <w:rFonts w:ascii="Times New Roman" w:eastAsia="宋体" w:cs="Times New Roman" w:hAnsi="Times New Roman" w:hint="eastAsia"/>
                <w:color w:val="auto"/>
                <w:kern w:val="2"/>
                <w:sz w:val="24"/>
                <w:szCs w:val="24"/>
                <w:lang w:val="en-US" w:eastAsia="zh-CN" w:bidi="ar-SA"/>
                <w:highlight w:val="none"/>
              </w:rPr>
              <w:t>HJ 2025-2012</w:t>
            </w:r>
            <w:r>
              <w:rPr>
                <w:rFonts w:cs="Times New Roman" w:hint="eastAsia"/>
                <w:color w:val="auto"/>
                <w:kern w:val="2"/>
                <w:sz w:val="24"/>
                <w:szCs w:val="24"/>
                <w:lang w:val="en-US" w:eastAsia="zh-CN" w:bidi="ar-SA"/>
                <w:highlight w:val="none"/>
              </w:rPr>
              <w:t>）、</w:t>
            </w:r>
            <w:r>
              <w:rPr>
                <w:rFonts w:ascii="Times New Roman" w:eastAsia="宋体" w:cs="Times New Roman" w:hAnsi="Times New Roman" w:hint="eastAsia"/>
                <w:color w:val="auto"/>
                <w:kern w:val="2"/>
                <w:sz w:val="24"/>
                <w:szCs w:val="24"/>
                <w:lang w:val="en-US" w:eastAsia="zh-CN" w:bidi="ar-SA"/>
                <w:highlight w:val="none"/>
              </w:rPr>
              <w:t>《国务院办公厅关于印发强化危险废物监管和利用处置能力改革实施方案的通知》（国办函[2021]47号）</w:t>
            </w:r>
            <w:r>
              <w:rPr>
                <w:rFonts w:cs="Times New Roman" w:hint="eastAsia"/>
                <w:color w:val="auto"/>
                <w:kern w:val="2"/>
                <w:sz w:val="24"/>
                <w:szCs w:val="24"/>
                <w:lang w:val="en-US" w:eastAsia="zh-CN" w:bidi="ar-SA"/>
                <w:highlight w:val="none"/>
              </w:rPr>
              <w:t>、《</w:t>
            </w:r>
            <w:r>
              <w:rPr>
                <w:rFonts w:ascii="Times New Roman" w:eastAsia="宋体" w:cs="Times New Roman" w:hAnsi="Times New Roman" w:hint="eastAsia"/>
                <w:color w:val="auto"/>
                <w:kern w:val="2"/>
                <w:sz w:val="24"/>
                <w:szCs w:val="24"/>
                <w:lang w:val="en-US" w:eastAsia="zh-CN" w:bidi="ar-SA"/>
                <w:highlight w:val="none"/>
              </w:rPr>
              <w:t>废旧电池回收技术规范</w:t>
            </w:r>
            <w:r>
              <w:rPr>
                <w:rFonts w:cs="Times New Roman" w:hint="eastAsia"/>
                <w:color w:val="auto"/>
                <w:kern w:val="2"/>
                <w:sz w:val="24"/>
                <w:szCs w:val="24"/>
                <w:lang w:val="en-US" w:eastAsia="zh-CN" w:bidi="ar-SA"/>
                <w:highlight w:val="none"/>
              </w:rPr>
              <w:t>》（</w:t>
            </w:r>
            <w:r>
              <w:rPr>
                <w:rFonts w:ascii="Times New Roman" w:eastAsia="宋体" w:cs="Times New Roman" w:hAnsi="Times New Roman" w:hint="eastAsia"/>
                <w:color w:val="auto"/>
                <w:kern w:val="2"/>
                <w:sz w:val="24"/>
                <w:szCs w:val="24"/>
                <w:lang w:val="en-US" w:eastAsia="zh-CN" w:bidi="ar-SA"/>
                <w:highlight w:val="none"/>
              </w:rPr>
              <w:t>GB/T39224-2020</w:t>
            </w:r>
            <w:r>
              <w:rPr>
                <w:rFonts w:cs="Times New Roman" w:hint="eastAsia"/>
                <w:color w:val="auto"/>
                <w:kern w:val="2"/>
                <w:sz w:val="24"/>
                <w:szCs w:val="24"/>
                <w:lang w:val="en-US" w:eastAsia="zh-CN" w:bidi="ar-SA"/>
                <w:highlight w:val="none"/>
              </w:rPr>
              <w:t>）、《</w:t>
            </w:r>
            <w:r>
              <w:rPr>
                <w:rFonts w:ascii="Times New Roman" w:eastAsia="宋体" w:cs="Times New Roman" w:hAnsi="Times New Roman" w:hint="eastAsia"/>
                <w:color w:val="auto"/>
                <w:kern w:val="2"/>
                <w:sz w:val="24"/>
                <w:szCs w:val="24"/>
                <w:lang w:val="en-US" w:eastAsia="zh-CN" w:bidi="ar-SA"/>
                <w:highlight w:val="none"/>
              </w:rPr>
              <w:t>废铅蓄电池污染防治行动方案</w:t>
            </w:r>
            <w:r>
              <w:rPr>
                <w:rFonts w:cs="Times New Roman" w:hint="eastAsia"/>
                <w:color w:val="auto"/>
                <w:kern w:val="2"/>
                <w:sz w:val="24"/>
                <w:szCs w:val="24"/>
                <w:lang w:val="en-US" w:eastAsia="zh-CN" w:bidi="ar-SA"/>
                <w:highlight w:val="none"/>
              </w:rPr>
              <w:t>》（</w:t>
            </w:r>
            <w:r>
              <w:rPr>
                <w:rFonts w:ascii="Times New Roman" w:eastAsia="宋体" w:cs="Times New Roman" w:hAnsi="Times New Roman" w:hint="eastAsia"/>
                <w:color w:val="auto"/>
                <w:kern w:val="2"/>
                <w:sz w:val="24"/>
                <w:szCs w:val="24"/>
                <w:lang w:val="en-US" w:eastAsia="zh-CN" w:bidi="ar-SA"/>
                <w:highlight w:val="none"/>
              </w:rPr>
              <w:t>环办固体〔2019〕3号</w:t>
            </w:r>
            <w:r>
              <w:rPr>
                <w:rFonts w:cs="Times New Roman" w:hint="eastAsia"/>
                <w:color w:val="auto"/>
                <w:kern w:val="2"/>
                <w:sz w:val="24"/>
                <w:szCs w:val="24"/>
                <w:lang w:val="en-US" w:eastAsia="zh-CN" w:bidi="ar-SA"/>
                <w:highlight w:val="none"/>
              </w:rPr>
              <w:t>）、《河北省废铅蓄电池集中收集和跨区域转运制度试点工作方案》等</w:t>
            </w:r>
            <w:r>
              <w:rPr>
                <w:rFonts w:ascii="Times New Roman" w:cs="Times New Roman" w:hAnsi="Times New Roman"/>
                <w:color w:val="auto"/>
                <w:sz w:val="24"/>
                <w:highlight w:val="none"/>
              </w:rPr>
              <w:t>相关要求。</w:t>
            </w: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tc>
      </w:tr>
    </w:tbl>
    <w:p>
      <w:pPr>
        <w:pStyle w:val="35"/>
        <w:jc w:val="center"/>
        <w:rPr>
          <w:rFonts w:ascii="黑体" w:eastAsia="黑体" w:hAnsi="黑体" w:hint="eastAsia"/>
          <w:snapToGrid w:val="0"/>
          <w:color w:val="auto"/>
          <w:sz w:val="30"/>
          <w:szCs w:val="30"/>
          <w:highlight w:val="none"/>
        </w:rPr>
        <w:sectPr>
          <w:footerReference w:type="default" r:id="rId4"/>
          <w:pgSz w:w="11906" w:h="16838"/>
          <w:pgMar w:top="1134" w:right="1134" w:bottom="1134" w:left="1134" w:header="851" w:footer="851" w:gutter="0"/>
          <w:pgBorders>
            <w:top w:val="none" w:sz="0" w:space="0" w:color="auto"/>
            <w:left w:val="none" w:sz="0" w:space="0" w:color="auto"/>
            <w:bottom w:val="none" w:sz="0" w:space="0" w:color="auto"/>
            <w:right w:val="none" w:sz="0" w:space="0" w:color="auto"/>
          </w:pgBorders>
          <w:pgNumType w:start="1"/>
          <w:cols w:num="1" w:space="720"/>
          <w:docGrid w:linePitch="312" w:charSpace="0"/>
        </w:sectPr>
      </w:pPr>
    </w:p>
    <w:p>
      <w:pPr>
        <w:pStyle w:val="35"/>
        <w:jc w:val="center"/>
        <w:outlineLvl w:val="0"/>
        <w:rPr>
          <w:rFonts w:ascii="黑体" w:eastAsia="黑体" w:hAnsi="黑体" w:hint="eastAsia"/>
          <w:snapToGrid w:val="0"/>
          <w:color w:val="auto"/>
          <w:sz w:val="30"/>
          <w:szCs w:val="30"/>
          <w:highlight w:val="none"/>
        </w:rPr>
      </w:pPr>
      <w:bookmarkStart w:id="32" w:name="_Toc2463"/>
      <w:bookmarkStart w:id="33" w:name="_Toc9990"/>
      <w:bookmarkStart w:id="34" w:name="_Toc7286"/>
      <w:bookmarkStart w:id="35" w:name="_Toc20783"/>
      <w:bookmarkStart w:id="36" w:name="_Toc25921"/>
      <w:r>
        <w:rPr>
          <w:rFonts w:ascii="黑体" w:eastAsia="黑体" w:hAnsi="黑体" w:hint="eastAsia"/>
          <w:snapToGrid w:val="0"/>
          <w:color w:val="auto"/>
          <w:sz w:val="30"/>
          <w:szCs w:val="30"/>
          <w:highlight w:val="none"/>
        </w:rPr>
        <w:t>二、建设项目工程分析</w:t>
      </w:r>
      <w:bookmarkEnd w:id="32"/>
      <w:bookmarkEnd w:id="33"/>
      <w:bookmarkEnd w:id="34"/>
      <w:bookmarkEnd w:id="35"/>
      <w:bookmarkEnd w:id="36"/>
    </w:p>
    <w:tbl>
      <w:tblPr>
        <w:jc w:val="center"/>
        <w:tblW w:w="4999" w:type="pct"/>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top w:w="0" w:type="dxa"/>
          <w:left w:w="108" w:type="dxa"/>
          <w:bottom w:w="0" w:type="dxa"/>
          <w:right w:w="108" w:type="dxa"/>
        </w:tblCellMar>
        <w:tblLook w:val="0600" w:firstRow="0" w:lastRow="0" w:firstColumn="0" w:lastColumn="0" w:noHBand="1" w:noVBand="1"/>
      </w:tblPr>
      <w:tblGrid>
        <w:gridCol w:w="719"/>
        <w:gridCol w:w="8330"/>
      </w:tblGrid>
      <w:tr>
        <w:trPr>
          <w:trHeight w:val="90"/>
        </w:trPr>
        <w:tc>
          <w:tcPr>
            <w:tcW w:w="397" w:type="pct"/>
            <w:vAlign w:val="center"/>
          </w:tcPr>
          <w:p>
            <w:pPr>
              <w:pStyle w:val="35"/>
              <w:adjustRightInd w:val="0"/>
              <w:snapToGrid w:val="0"/>
              <w:spacing w:before="0" w:beforeAutospacing="0" w:after="0" w:afterAutospacing="0"/>
              <w:jc w:val="center"/>
              <w:rPr>
                <w:rFonts w:cs="宋体" w:hint="eastAsia"/>
                <w:color w:val="auto"/>
                <w:szCs w:val="24"/>
                <w:highlight w:val="none"/>
              </w:rPr>
            </w:pPr>
            <w:r>
              <w:rPr>
                <w:rFonts w:cs="宋体" w:hint="eastAsia"/>
                <w:color w:val="auto"/>
                <w:szCs w:val="24"/>
                <w:highlight w:val="none"/>
              </w:rPr>
              <w:t>建设内容</w:t>
            </w:r>
          </w:p>
        </w:tc>
        <w:tc>
          <w:tcPr>
            <w:tcW w:w="4602" w:type="pct"/>
            <w:vAlign w:val="center"/>
          </w:tcPr>
          <w:p>
            <w:pPr>
              <w:keepNext w:val="0"/>
              <w:keepLines w:val="0"/>
              <w:pageBreakBefore w:val="0"/>
              <w:kinsoku/>
              <w:wordWrap/>
              <w:overflowPunct/>
              <w:topLinePunct w:val="0"/>
              <w:autoSpaceDE/>
              <w:autoSpaceDN/>
              <w:bidi w:val="0"/>
              <w:spacing w:line="460" w:lineRule="exact"/>
              <w:ind w:firstLineChars="200" w:firstLine="480"/>
              <w:rPr>
                <w:rFonts w:eastAsia="宋体"/>
                <w:b/>
                <w:color w:val="auto"/>
                <w:sz w:val="24"/>
                <w:lang w:val="en-US" w:eastAsia="zh-CN"/>
                <w:highlight w:val="none"/>
              </w:rPr>
            </w:pPr>
            <w:r>
              <w:rPr>
                <w:rFonts w:hint="eastAsia"/>
                <w:b/>
                <w:color w:val="auto"/>
                <w:sz w:val="24"/>
                <w:lang w:val="en-US" w:eastAsia="zh-CN"/>
                <w:highlight w:val="none"/>
              </w:rPr>
              <w:t>1、项目由来</w:t>
            </w:r>
          </w:p>
          <w:p>
            <w:pPr>
              <w:keepNext w:val="0"/>
              <w:keepLines w:val="0"/>
              <w:pageBreakBefore w:val="0"/>
              <w:widowControl/>
              <w:suppressLineNumbers w:val="0"/>
              <w:kinsoku/>
              <w:wordWrap/>
              <w:overflowPunct/>
              <w:topLinePunct w:val="0"/>
              <w:autoSpaceDE/>
              <w:autoSpaceDN/>
              <w:bidi w:val="0"/>
              <w:spacing w:line="460" w:lineRule="exact"/>
              <w:ind w:firstLineChars="200" w:firstLine="480"/>
              <w:jc w:val="both"/>
              <w:textAlignment w:val="auto"/>
              <w:rPr>
                <w:color w:val="auto"/>
                <w:sz w:val="24"/>
                <w:lang w:val="en-US" w:eastAsia="zh-CN"/>
                <w:highlight w:val="yellow"/>
              </w:rPr>
            </w:pPr>
            <w:r>
              <w:rPr>
                <w:rFonts w:hint="eastAsia"/>
                <w:color w:val="auto"/>
                <w:sz w:val="24"/>
                <w:lang w:eastAsia="zh-CN"/>
                <w:highlight w:val="none"/>
              </w:rPr>
              <w:t>铅蓄电池凭借性能稳定、成本低廉、适配大电流放电等优势，广泛应用于车辆、通信基站、不间断电源、基础设施的‌备用电源‌和‌应急动力源、储能设备等领域。随着我国机动车保有量持续增长、通信与储能产业不断发展、数据中心和电子政务系统逐步提升，铅蓄电池的需求量也不断攀升。铅蓄电池设计使用寿命普遍在2～4年，因此，每年持续产生大量退役废旧电池，形成稳定、刚性的资源供给市场。为此，河北嘉道环保科技有限公司拟投资</w:t>
            </w:r>
            <w:r>
              <w:rPr>
                <w:rFonts w:hint="eastAsia"/>
                <w:color w:val="auto"/>
                <w:sz w:val="24"/>
                <w:lang w:val="en-US" w:eastAsia="zh-CN"/>
                <w:highlight w:val="none"/>
              </w:rPr>
              <w:t>150万元建设</w:t>
            </w:r>
            <w:r>
              <w:rPr>
                <w:rFonts w:hint="eastAsia"/>
                <w:color w:val="auto"/>
                <w:sz w:val="24"/>
                <w:lang w:eastAsia="zh-CN"/>
                <w:highlight w:val="none"/>
              </w:rPr>
              <w:t>废旧电池中转项目。本项目废旧铅蓄电池主要来源于园区、医院、机关单位等部门退役的废铅蓄电池，由专业单位转运至本项目厂区。本项目仅对废旧铅蓄电池进行贮存，不涉及运输和拆解，贮存后由有资质单位进行后续处理。</w:t>
            </w:r>
          </w:p>
          <w:p>
            <w:pPr>
              <w:keepNext w:val="0"/>
              <w:keepLines w:val="0"/>
              <w:pageBreakBefore w:val="0"/>
              <w:widowControl/>
              <w:suppressLineNumbers w:val="0"/>
              <w:kinsoku/>
              <w:wordWrap/>
              <w:overflowPunct/>
              <w:topLinePunct w:val="0"/>
              <w:autoSpaceDE/>
              <w:autoSpaceDN/>
              <w:bidi w:val="0"/>
              <w:spacing w:line="460" w:lineRule="exact"/>
              <w:ind w:firstLineChars="200" w:firstLine="480"/>
              <w:jc w:val="both"/>
              <w:textAlignment w:val="auto"/>
              <w:rPr>
                <w:rFonts w:ascii="Times New Roman" w:eastAsia="宋体" w:cs="Times New Roman" w:hAnsi="Times New Roman"/>
                <w:color w:val="auto"/>
                <w:kern w:val="0"/>
                <w:sz w:val="24"/>
                <w:szCs w:val="20"/>
                <w:lang w:val="en-US" w:eastAsia="zh-CN" w:bidi="ar-SA"/>
                <w:highlight w:val="none"/>
              </w:rPr>
            </w:pPr>
            <w:r>
              <w:rPr>
                <w:rFonts w:ascii="Times New Roman" w:eastAsia="宋体" w:cs="Times New Roman" w:hAnsi="Times New Roman"/>
                <w:color w:val="auto"/>
                <w:kern w:val="0"/>
                <w:sz w:val="24"/>
                <w:szCs w:val="20"/>
                <w:lang w:val="en-US" w:eastAsia="zh-CN" w:bidi="ar-SA"/>
                <w:highlight w:val="none"/>
              </w:rPr>
              <w:t>根据《中华人民共和国环境影响评价法》《建设项目环境保护管理条例》（国务院第682号令）及《建设项目环境影响评价分类管理目录（2021年版）》的有关规定，项目属于</w:t>
            </w:r>
            <w:r>
              <w:rPr>
                <w:rFonts w:cs="Times New Roman" w:hint="eastAsia"/>
                <w:color w:val="auto"/>
                <w:kern w:val="0"/>
                <w:sz w:val="24"/>
                <w:szCs w:val="20"/>
                <w:lang w:val="en-US" w:eastAsia="zh-CN" w:bidi="ar-SA"/>
                <w:highlight w:val="none"/>
              </w:rPr>
              <w:t>“</w:t>
            </w:r>
            <w:r>
              <w:rPr>
                <w:rFonts w:hint="eastAsia"/>
                <w:color w:val="auto"/>
                <w:sz w:val="24"/>
                <w:szCs w:val="24"/>
              </w:rPr>
              <w:t>四十七、生态保护和环境治理业101危险废物（不含医疗废物）利用及处置—其他</w:t>
            </w:r>
            <w:r>
              <w:rPr>
                <w:rFonts w:hint="eastAsia"/>
                <w:color w:val="auto"/>
                <w:sz w:val="24"/>
                <w:szCs w:val="24"/>
                <w:lang w:eastAsia="zh-CN"/>
              </w:rPr>
              <w:t>；五十三、装卸搬运和仓储业 59其他（含有毒、有害、危险品的仓储；含液化天然气库）</w:t>
            </w:r>
            <w:r>
              <w:rPr>
                <w:rFonts w:cs="Times New Roman" w:hint="eastAsia"/>
                <w:color w:val="auto"/>
                <w:kern w:val="0"/>
                <w:sz w:val="24"/>
                <w:szCs w:val="20"/>
                <w:lang w:val="en-US" w:eastAsia="zh-CN" w:bidi="ar-SA"/>
                <w:highlight w:val="none"/>
              </w:rPr>
              <w:t>”</w:t>
            </w:r>
            <w:r>
              <w:rPr>
                <w:rFonts w:ascii="Times New Roman" w:cs="Times New Roman" w:hAnsi="Times New Roman" w:hint="eastAsia"/>
                <w:color w:val="auto"/>
                <w:kern w:val="0"/>
                <w:sz w:val="24"/>
                <w:szCs w:val="20"/>
                <w:lang w:val="en-US" w:eastAsia="zh-CN" w:bidi="ar-SA"/>
                <w:highlight w:val="none"/>
              </w:rPr>
              <w:t>，</w:t>
            </w:r>
            <w:r>
              <w:rPr>
                <w:rFonts w:ascii="Times New Roman" w:eastAsia="宋体" w:cs="Times New Roman" w:hAnsi="Times New Roman"/>
                <w:color w:val="auto"/>
                <w:kern w:val="0"/>
                <w:sz w:val="24"/>
                <w:szCs w:val="20"/>
                <w:lang w:val="en-US" w:eastAsia="zh-CN" w:bidi="ar-SA"/>
                <w:highlight w:val="none"/>
              </w:rPr>
              <w:t>应编制环境影响报告表。</w:t>
            </w:r>
          </w:p>
          <w:p>
            <w:pPr>
              <w:pStyle w:val="16"/>
              <w:keepNext w:val="0"/>
              <w:keepLines w:val="0"/>
              <w:pageBreakBefore w:val="0"/>
              <w:kinsoku/>
              <w:wordWrap/>
              <w:overflowPunct/>
              <w:topLinePunct w:val="0"/>
              <w:autoSpaceDE/>
              <w:autoSpaceDN/>
              <w:bidi w:val="0"/>
              <w:spacing w:line="460" w:lineRule="exact"/>
              <w:ind w:firstLineChars="200" w:firstLine="480"/>
              <w:textAlignment w:val="auto"/>
              <w:rPr>
                <w:rFonts w:ascii="Times New Roman" w:hAnsi="Times New Roman" w:hint="eastAsia"/>
                <w:color w:val="auto"/>
                <w:sz w:val="24"/>
                <w:highlight w:val="none"/>
              </w:rPr>
            </w:pPr>
            <w:r>
              <w:rPr>
                <w:rFonts w:ascii="Calibri" w:eastAsia="宋体" w:cs="Times New Roman" w:hAnsi="Calibri" w:hint="eastAsia"/>
                <w:color w:val="auto"/>
                <w:kern w:val="0"/>
                <w:sz w:val="24"/>
                <w:szCs w:val="24"/>
                <w:lang w:val="en-US" w:eastAsia="zh-CN" w:bidi="ar-SA"/>
                <w:highlight w:val="none"/>
              </w:rPr>
              <w:t>为此，</w:t>
            </w:r>
            <w:r>
              <w:rPr>
                <w:rFonts w:cs="Times New Roman" w:hint="eastAsia"/>
                <w:color w:val="auto"/>
                <w:kern w:val="0"/>
                <w:sz w:val="24"/>
                <w:szCs w:val="24"/>
                <w:lang w:val="en-US" w:eastAsia="zh-CN" w:bidi="ar-SA"/>
                <w:highlight w:val="none"/>
              </w:rPr>
              <w:t>河北嘉道环保科技有限公司</w:t>
            </w:r>
            <w:r>
              <w:rPr>
                <w:rFonts w:ascii="Times New Roman" w:hAnsi="Times New Roman" w:hint="eastAsia"/>
                <w:color w:val="auto"/>
                <w:sz w:val="24"/>
                <w:highlight w:val="none"/>
              </w:rPr>
              <w:t>委托我单位承担该项目环境影响评价工作。我单位接受委托后，立即组织有关人员进行了现场踏勘、资料收集等工作，并依据《建设项目环境影响报告表编制技术指南（污染影响类）（试行）》的要求编制了该项目的环境影响报告表。</w:t>
            </w:r>
          </w:p>
          <w:p>
            <w:pPr>
              <w:keepNext w:val="0"/>
              <w:keepLines w:val="0"/>
              <w:pageBreakBefore w:val="0"/>
              <w:kinsoku/>
              <w:wordWrap/>
              <w:overflowPunct/>
              <w:topLinePunct w:val="0"/>
              <w:autoSpaceDE/>
              <w:autoSpaceDN/>
              <w:bidi w:val="0"/>
              <w:spacing w:line="460" w:lineRule="exact"/>
              <w:ind w:firstLineChars="200" w:firstLine="480"/>
              <w:rPr>
                <w:b/>
                <w:color w:val="auto"/>
                <w:sz w:val="24"/>
                <w:highlight w:val="none"/>
              </w:rPr>
            </w:pPr>
            <w:r>
              <w:rPr>
                <w:rFonts w:hint="eastAsia"/>
                <w:b/>
                <w:color w:val="auto"/>
                <w:sz w:val="24"/>
                <w:lang w:val="en-US" w:eastAsia="zh-CN"/>
                <w:highlight w:val="none"/>
              </w:rPr>
              <w:t>2</w:t>
            </w:r>
            <w:r>
              <w:rPr>
                <w:rFonts w:hint="eastAsia"/>
                <w:b/>
                <w:color w:val="auto"/>
                <w:sz w:val="24"/>
                <w:highlight w:val="none"/>
              </w:rPr>
              <w:t>、项目基本情况</w:t>
            </w:r>
          </w:p>
          <w:p>
            <w:pPr>
              <w:keepNext w:val="0"/>
              <w:keepLines w:val="0"/>
              <w:pageBreakBefore w:val="0"/>
              <w:widowControl/>
              <w:kinsoku/>
              <w:wordWrap/>
              <w:overflowPunct/>
              <w:topLinePunct w:val="0"/>
              <w:autoSpaceDE/>
              <w:autoSpaceDN/>
              <w:bidi w:val="0"/>
              <w:spacing w:line="460" w:lineRule="exact"/>
              <w:ind w:firstLineChars="200" w:firstLine="480"/>
              <w:textAlignment w:val="auto"/>
              <w:rPr>
                <w:color w:val="auto"/>
                <w:sz w:val="24"/>
                <w:highlight w:val="none"/>
              </w:rPr>
            </w:pPr>
            <w:r>
              <w:rPr>
                <w:rFonts w:hint="eastAsia"/>
                <w:color w:val="auto"/>
                <w:sz w:val="24"/>
                <w:highlight w:val="none"/>
              </w:rPr>
              <w:t>（1）项目名称：</w:t>
            </w:r>
            <w:r>
              <w:rPr>
                <w:rFonts w:hint="eastAsia"/>
                <w:color w:val="auto"/>
                <w:sz w:val="24"/>
                <w:lang w:eastAsia="zh-CN"/>
                <w:highlight w:val="none"/>
              </w:rPr>
              <w:t>河北嘉道环保科技有限公司废旧电池中转项目</w:t>
            </w:r>
            <w:r>
              <w:rPr>
                <w:rFonts w:hint="eastAsia"/>
                <w:color w:val="auto"/>
                <w:sz w:val="24"/>
                <w:highlight w:val="none"/>
              </w:rPr>
              <w:t>；</w:t>
            </w:r>
          </w:p>
          <w:p>
            <w:pPr>
              <w:keepNext w:val="0"/>
              <w:keepLines w:val="0"/>
              <w:pageBreakBefore w:val="0"/>
              <w:widowControl/>
              <w:kinsoku/>
              <w:wordWrap/>
              <w:overflowPunct/>
              <w:topLinePunct w:val="0"/>
              <w:autoSpaceDE/>
              <w:autoSpaceDN/>
              <w:bidi w:val="0"/>
              <w:spacing w:line="460" w:lineRule="exact"/>
              <w:ind w:firstLineChars="200" w:firstLine="480"/>
              <w:textAlignment w:val="auto"/>
              <w:rPr>
                <w:color w:val="auto"/>
                <w:sz w:val="24"/>
                <w:highlight w:val="none"/>
              </w:rPr>
            </w:pPr>
            <w:r>
              <w:rPr>
                <w:rFonts w:hint="eastAsia"/>
                <w:color w:val="auto"/>
                <w:sz w:val="24"/>
                <w:highlight w:val="none"/>
              </w:rPr>
              <w:t>（2）建设单位：</w:t>
            </w:r>
            <w:r>
              <w:rPr>
                <w:rFonts w:hint="eastAsia"/>
                <w:color w:val="auto"/>
                <w:sz w:val="24"/>
                <w:lang w:eastAsia="zh-CN"/>
                <w:highlight w:val="none"/>
              </w:rPr>
              <w:t>河北嘉道环保科技有限公司</w:t>
            </w:r>
            <w:r>
              <w:rPr>
                <w:rFonts w:hint="eastAsia"/>
                <w:color w:val="auto"/>
                <w:sz w:val="24"/>
                <w:highlight w:val="none"/>
              </w:rPr>
              <w:t>；</w:t>
            </w:r>
          </w:p>
          <w:p>
            <w:pPr>
              <w:keepNext w:val="0"/>
              <w:keepLines w:val="0"/>
              <w:pageBreakBefore w:val="0"/>
              <w:kinsoku/>
              <w:wordWrap/>
              <w:overflowPunct/>
              <w:topLinePunct w:val="0"/>
              <w:autoSpaceDE/>
              <w:autoSpaceDN/>
              <w:bidi w:val="0"/>
              <w:adjustRightInd w:val="0"/>
              <w:snapToGrid w:val="0"/>
              <w:spacing w:line="460" w:lineRule="exact"/>
              <w:ind w:firstLineChars="200" w:firstLine="480"/>
              <w:textAlignment w:val="auto"/>
              <w:rPr>
                <w:color w:val="auto"/>
                <w:sz w:val="24"/>
                <w:highlight w:val="none"/>
              </w:rPr>
            </w:pPr>
            <w:r>
              <w:rPr>
                <w:rFonts w:hint="eastAsia"/>
                <w:color w:val="auto"/>
                <w:sz w:val="24"/>
                <w:highlight w:val="none"/>
              </w:rPr>
              <w:t>（3）项目投资：总投资</w:t>
            </w:r>
            <w:r>
              <w:rPr>
                <w:rFonts w:hint="eastAsia"/>
                <w:color w:val="auto"/>
                <w:sz w:val="24"/>
                <w:lang w:val="en-US" w:eastAsia="zh-CN"/>
                <w:highlight w:val="none"/>
              </w:rPr>
              <w:t>150</w:t>
            </w:r>
            <w:r>
              <w:rPr>
                <w:rFonts w:hint="eastAsia"/>
                <w:color w:val="auto"/>
                <w:sz w:val="24"/>
                <w:highlight w:val="none"/>
              </w:rPr>
              <w:t>万元，其中环保投资</w:t>
            </w:r>
            <w:r>
              <w:rPr>
                <w:rFonts w:hint="eastAsia"/>
                <w:color w:val="auto"/>
                <w:sz w:val="24"/>
                <w:lang w:val="en-US" w:eastAsia="zh-CN"/>
                <w:highlight w:val="none"/>
              </w:rPr>
              <w:t>30</w:t>
            </w:r>
            <w:r>
              <w:rPr>
                <w:rFonts w:hint="eastAsia"/>
                <w:color w:val="auto"/>
                <w:sz w:val="24"/>
                <w:highlight w:val="none"/>
              </w:rPr>
              <w:t>万元，占总投资的</w:t>
            </w:r>
            <w:r>
              <w:rPr>
                <w:rFonts w:hint="eastAsia"/>
                <w:color w:val="auto"/>
                <w:sz w:val="24"/>
                <w:lang w:val="en-US" w:eastAsia="zh-CN"/>
                <w:highlight w:val="none"/>
              </w:rPr>
              <w:t>20</w:t>
            </w:r>
            <w:r>
              <w:rPr>
                <w:rFonts w:hint="eastAsia"/>
                <w:color w:val="auto"/>
                <w:sz w:val="24"/>
                <w:highlight w:val="none"/>
              </w:rPr>
              <w:t>%；</w:t>
            </w:r>
          </w:p>
          <w:p>
            <w:pPr>
              <w:keepNext w:val="0"/>
              <w:keepLines w:val="0"/>
              <w:pageBreakBefore w:val="0"/>
              <w:kinsoku/>
              <w:wordWrap/>
              <w:overflowPunct/>
              <w:topLinePunct w:val="0"/>
              <w:autoSpaceDE/>
              <w:autoSpaceDN/>
              <w:bidi w:val="0"/>
              <w:adjustRightInd w:val="0"/>
              <w:snapToGrid w:val="0"/>
              <w:spacing w:line="460" w:lineRule="exact"/>
              <w:ind w:firstLineChars="200" w:firstLine="480"/>
              <w:textAlignment w:val="auto"/>
              <w:rPr>
                <w:color w:val="auto"/>
                <w:sz w:val="24"/>
                <w:lang w:val="en-US"/>
                <w:highlight w:val="none"/>
              </w:rPr>
            </w:pPr>
            <w:r>
              <w:rPr>
                <w:rFonts w:hint="eastAsia"/>
                <w:color w:val="auto"/>
                <w:sz w:val="24"/>
                <w:highlight w:val="none"/>
              </w:rPr>
              <w:t>（4）建设地点及周边关系：项目位于</w:t>
            </w:r>
            <w:r>
              <w:rPr>
                <w:rFonts w:cs="Times New Roman" w:hint="eastAsia"/>
                <w:color w:val="auto"/>
                <w:sz w:val="24"/>
                <w:lang w:eastAsia="zh-CN"/>
                <w:highlight w:val="none"/>
              </w:rPr>
              <w:t>石家庄市栾城区装备制造基地楼底镇段家营村裕翔街168号103厂房（南）</w:t>
            </w:r>
            <w:r>
              <w:rPr>
                <w:rFonts w:hint="eastAsia"/>
                <w:color w:val="auto"/>
                <w:sz w:val="24"/>
                <w:highlight w:val="none"/>
              </w:rPr>
              <w:t>，</w:t>
            </w:r>
            <w:r>
              <w:rPr>
                <w:rFonts w:ascii="Times New Roman" w:eastAsia="宋体" w:cs="Times New Roman" w:hAnsi="Times New Roman"/>
                <w:color w:val="auto"/>
                <w:kern w:val="2"/>
                <w:sz w:val="24"/>
                <w:szCs w:val="24"/>
                <w:lang w:val="en-US" w:eastAsia="zh-CN" w:bidi="ar-SA"/>
                <w:highlight w:val="none"/>
              </w:rPr>
              <w:t>租赁</w:t>
            </w:r>
            <w:r>
              <w:rPr>
                <w:rFonts w:cs="Times New Roman" w:hint="eastAsia"/>
                <w:color w:val="auto"/>
                <w:kern w:val="2"/>
                <w:sz w:val="24"/>
                <w:szCs w:val="24"/>
                <w:lang w:val="en-US" w:eastAsia="zh-CN" w:bidi="ar-SA"/>
                <w:highlight w:val="none"/>
              </w:rPr>
              <w:t>河北泽豪环保新材料科技有限公司闲置库房和两间办公室</w:t>
            </w:r>
            <w:r>
              <w:rPr>
                <w:rFonts w:ascii="Times New Roman" w:eastAsia="宋体" w:cs="Times New Roman" w:hAnsi="Times New Roman" w:hint="eastAsia"/>
                <w:color w:val="auto"/>
                <w:sz w:val="24"/>
                <w:lang w:val="en-US" w:eastAsia="zh-CN"/>
                <w:highlight w:val="none"/>
              </w:rPr>
              <w:t>，</w:t>
            </w:r>
            <w:r>
              <w:rPr>
                <w:rFonts w:hint="eastAsia"/>
                <w:color w:val="auto"/>
                <w:kern w:val="0"/>
                <w:sz w:val="24"/>
                <w:highlight w:val="none"/>
              </w:rPr>
              <w:t>中心位置地理坐标为</w:t>
            </w:r>
            <w:r>
              <w:rPr>
                <w:rFonts w:hint="eastAsia"/>
                <w:color w:val="auto"/>
                <w:sz w:val="24"/>
                <w:highlight w:val="none"/>
              </w:rPr>
              <w:t>北纬37°54′52.017″，东经114°31′34.373″。</w:t>
            </w:r>
            <w:r>
              <w:rPr>
                <w:rFonts w:cs="Times New Roman" w:hint="eastAsia"/>
                <w:color w:val="auto"/>
                <w:kern w:val="2"/>
                <w:sz w:val="24"/>
                <w:szCs w:val="24"/>
                <w:lang w:val="en-US" w:eastAsia="zh-CN" w:bidi="ar-SA"/>
                <w:highlight w:val="none"/>
              </w:rPr>
              <w:t>泽豪厂区东侧为河北泊易达科技产业园，北侧为空地，西侧和南侧为耕地。本项目租赁的库房位于泽豪厂区东南部，库房北侧和西侧为其他闲置仓库、石家庄市睿群印务有限公司，库房东侧为辅助用房，库房南侧为石家庄凯贸机械设备制造有限公司。</w:t>
            </w:r>
          </w:p>
          <w:p>
            <w:pPr>
              <w:keepNext w:val="0"/>
              <w:keepLines w:val="0"/>
              <w:pageBreakBefore w:val="0"/>
              <w:kinsoku/>
              <w:wordWrap/>
              <w:overflowPunct/>
              <w:topLinePunct w:val="0"/>
              <w:autoSpaceDE/>
              <w:autoSpaceDN/>
              <w:bidi w:val="0"/>
              <w:adjustRightInd w:val="0"/>
              <w:snapToGrid w:val="0"/>
              <w:spacing w:line="460" w:lineRule="exact"/>
              <w:ind w:firstLineChars="200" w:firstLine="480"/>
              <w:textAlignment w:val="auto"/>
              <w:rPr>
                <w:color w:val="auto"/>
                <w:sz w:val="24"/>
                <w:highlight w:val="none"/>
              </w:rPr>
            </w:pPr>
            <w:r>
              <w:rPr>
                <w:rFonts w:hint="eastAsia"/>
                <w:color w:val="auto"/>
                <w:sz w:val="24"/>
                <w:highlight w:val="none"/>
              </w:rPr>
              <w:t>项目地理位置图见附图1，项目周边关系图见附图2。</w:t>
            </w:r>
          </w:p>
          <w:p>
            <w:pPr>
              <w:keepNext w:val="0"/>
              <w:keepLines w:val="0"/>
              <w:pageBreakBefore w:val="0"/>
              <w:kinsoku/>
              <w:wordWrap/>
              <w:overflowPunct/>
              <w:topLinePunct w:val="0"/>
              <w:autoSpaceDE/>
              <w:autoSpaceDN/>
              <w:bidi w:val="0"/>
              <w:spacing w:line="460" w:lineRule="exact"/>
              <w:ind w:firstLineChars="200" w:firstLine="480"/>
              <w:rPr>
                <w:b/>
                <w:bCs/>
                <w:color w:val="auto"/>
                <w:sz w:val="24"/>
                <w:highlight w:val="none"/>
              </w:rPr>
            </w:pPr>
            <w:r>
              <w:rPr>
                <w:rFonts w:hint="eastAsia"/>
                <w:b/>
                <w:bCs/>
                <w:color w:val="auto"/>
                <w:sz w:val="24"/>
                <w:lang w:val="en-US" w:eastAsia="zh-CN"/>
                <w:highlight w:val="none"/>
              </w:rPr>
              <w:t>3</w:t>
            </w:r>
            <w:r>
              <w:rPr>
                <w:rFonts w:hint="eastAsia"/>
                <w:b/>
                <w:bCs/>
                <w:color w:val="auto"/>
                <w:sz w:val="24"/>
                <w:highlight w:val="none"/>
              </w:rPr>
              <w:t>、主要建设工程内容</w:t>
            </w:r>
          </w:p>
          <w:p>
            <w:pPr>
              <w:keepNext w:val="0"/>
              <w:keepLines w:val="0"/>
              <w:pageBreakBefore w:val="0"/>
              <w:widowControl w:val="0"/>
              <w:kinsoku/>
              <w:wordWrap/>
              <w:overflowPunct/>
              <w:topLinePunct w:val="0"/>
              <w:autoSpaceDE/>
              <w:autoSpaceDN/>
              <w:bidi w:val="0"/>
              <w:adjustRightInd/>
              <w:snapToGrid/>
              <w:spacing w:line="500" w:lineRule="exact"/>
              <w:ind w:firstLineChars="200" w:firstLine="480"/>
              <w:jc w:val="both"/>
              <w:textAlignment w:val="auto"/>
              <w:rPr>
                <w:rFonts w:ascii="Times New Roman" w:eastAsia="宋体" w:cs="Times New Roman" w:hAnsi="Times New Roman" w:hint="eastAsia"/>
                <w:color w:val="auto"/>
                <w:sz w:val="24"/>
                <w:lang w:val="en-US" w:eastAsia="zh-CN"/>
                <w:highlight w:val="none"/>
              </w:rPr>
            </w:pPr>
            <w:r>
              <w:rPr>
                <w:rFonts w:ascii="Times New Roman" w:eastAsia="宋体" w:cs="Times New Roman" w:hAnsi="Times New Roman" w:hint="eastAsia"/>
                <w:color w:val="auto"/>
                <w:sz w:val="24"/>
                <w:lang w:val="en-US" w:eastAsia="zh-CN"/>
                <w:highlight w:val="none"/>
              </w:rPr>
              <w:t>本项目租赁闲置库房，改造后用于废铅酸电池收集中转，库房建筑面积</w:t>
            </w:r>
            <w:r>
              <w:rPr>
                <w:rFonts w:cs="Times New Roman" w:hint="eastAsia"/>
                <w:color w:val="auto"/>
                <w:sz w:val="24"/>
                <w:lang w:val="en-US" w:eastAsia="zh-CN"/>
                <w:highlight w:val="none"/>
              </w:rPr>
              <w:t>1140</w:t>
            </w:r>
            <w:r>
              <w:rPr>
                <w:rFonts w:ascii="Times New Roman" w:eastAsia="宋体" w:cs="Times New Roman" w:hAnsi="Times New Roman" w:hint="eastAsia"/>
                <w:color w:val="auto"/>
                <w:sz w:val="24"/>
                <w:lang w:val="en-US" w:eastAsia="zh-CN"/>
                <w:highlight w:val="none"/>
              </w:rPr>
              <w:t>平方米，建设配备碱喷淋应急装置，地面做防渗防腐环氧地坪漆处理、铺设防轧实心橡胶地垫、配备电池存放铁箱、安装24小时现场监控设备。建成后预计年回收中转废铅酸蓄电池约6000吨，厂区最大暂存量为100吨。生产操作流程为</w:t>
            </w:r>
            <w:r>
              <w:rPr>
                <w:rFonts w:cs="Times New Roman" w:hint="eastAsia"/>
                <w:color w:val="auto"/>
                <w:sz w:val="24"/>
                <w:lang w:val="en-US" w:eastAsia="zh-CN"/>
                <w:highlight w:val="none"/>
              </w:rPr>
              <w:t>：</w:t>
            </w:r>
            <w:r>
              <w:rPr>
                <w:rFonts w:ascii="Times New Roman" w:eastAsia="宋体" w:cs="Times New Roman" w:hAnsi="Times New Roman" w:hint="eastAsia"/>
                <w:color w:val="auto"/>
                <w:sz w:val="24"/>
                <w:lang w:val="en-US" w:eastAsia="zh-CN"/>
                <w:highlight w:val="none"/>
              </w:rPr>
              <w:t>回收废旧电池-过磅、检查和记录-转运至库房-分类、分区储存-外运至废物处置单位。</w:t>
            </w:r>
          </w:p>
          <w:p>
            <w:pPr>
              <w:keepNext w:val="0"/>
              <w:keepLines w:val="0"/>
              <w:pageBreakBefore w:val="0"/>
              <w:widowControl w:val="0"/>
              <w:kinsoku/>
              <w:wordWrap/>
              <w:overflowPunct/>
              <w:topLinePunct w:val="0"/>
              <w:autoSpaceDE/>
              <w:autoSpaceDN/>
              <w:bidi w:val="0"/>
              <w:adjustRightInd/>
              <w:snapToGrid/>
              <w:spacing w:line="500" w:lineRule="exact"/>
              <w:ind w:firstLineChars="200" w:firstLine="480"/>
              <w:jc w:val="both"/>
              <w:textAlignment w:val="auto"/>
              <w:rPr>
                <w:color w:val="auto"/>
                <w:sz w:val="24"/>
                <w:highlight w:val="none"/>
              </w:rPr>
            </w:pPr>
            <w:r>
              <w:rPr>
                <w:rFonts w:hint="eastAsia"/>
                <w:color w:val="auto"/>
                <w:sz w:val="24"/>
                <w:highlight w:val="none"/>
              </w:rPr>
              <w:t>本项目工程建设内容见表2-1。</w:t>
            </w:r>
          </w:p>
          <w:p>
            <w:pPr>
              <w:jc w:val="center"/>
              <w:rPr>
                <w:b/>
                <w:bCs/>
                <w:color w:val="auto"/>
                <w:sz w:val="24"/>
                <w:highlight w:val="none"/>
              </w:rPr>
            </w:pPr>
            <w:r>
              <w:rPr>
                <w:b/>
                <w:bCs/>
                <w:color w:val="auto"/>
                <w:sz w:val="24"/>
                <w:highlight w:val="none"/>
              </w:rPr>
              <w:t>表2-1  项目主要建设情况一览表</w:t>
            </w:r>
          </w:p>
          <w:tbl>
            <w:tblPr>
              <w:jc w:val="left"/>
              <w:tblInd w:w="5" w:type="dxa"/>
              <w:tblW w:w="4997" w:type="pct"/>
              <w:tblBorders>
                <w:top w:val="single" w:sz="12" w:space="0" w:color="auto"/>
                <w:left w:val="none" w:sz="0" w:space="0" w:color="auto"/>
                <w:bottom w:val="single" w:sz="12" w:space="0" w:color="auto"/>
                <w:right w:val="none" w:sz="0" w:space="0" w:color="auto"/>
                <w:insideH w:val="single" w:sz="4" w:space="0" w:color="auto"/>
                <w:insideV w:val="single" w:sz="4" w:space="0" w:color="auto"/>
              </w:tblBorders>
              <w:tblCellMar>
                <w:top w:w="0" w:type="dxa"/>
                <w:left w:w="0" w:type="dxa"/>
                <w:bottom w:w="0" w:type="dxa"/>
                <w:right w:w="0" w:type="dxa"/>
              </w:tblCellMar>
              <w:tblLook w:val="0600" w:firstRow="0" w:lastRow="0" w:firstColumn="0" w:lastColumn="0" w:noHBand="1" w:noVBand="1"/>
            </w:tblPr>
            <w:tblGrid>
              <w:gridCol w:w="540"/>
              <w:gridCol w:w="984"/>
              <w:gridCol w:w="6577"/>
            </w:tblGrid>
            <w:tr>
              <w:trPr>
                <w:cantSplit/>
                <w:trHeight w:val="397"/>
              </w:trPr>
              <w:tc>
                <w:tcPr>
                  <w:tcW w:w="333" w:type="pct"/>
                  <w:tcBorders>
                    <w:tl2br w:val="nil"/>
                    <w:tr2bl w:val="nil"/>
                  </w:tcBorders>
                  <w:vAlign w:val="center"/>
                </w:tcPr>
                <w:p>
                  <w:pPr>
                    <w:jc w:val="center"/>
                    <w:rPr>
                      <w:b/>
                      <w:bCs/>
                      <w:color w:val="auto"/>
                      <w:szCs w:val="21"/>
                      <w:highlight w:val="none"/>
                    </w:rPr>
                  </w:pPr>
                  <w:r>
                    <w:rPr>
                      <w:rFonts w:hint="eastAsia"/>
                      <w:b/>
                      <w:bCs/>
                      <w:color w:val="auto"/>
                      <w:szCs w:val="21"/>
                      <w:highlight w:val="none"/>
                    </w:rPr>
                    <w:t>名称</w:t>
                  </w:r>
                </w:p>
              </w:tc>
              <w:tc>
                <w:tcPr>
                  <w:tcW w:w="607" w:type="pct"/>
                  <w:tcBorders>
                    <w:tl2br w:val="nil"/>
                    <w:tr2bl w:val="nil"/>
                  </w:tcBorders>
                  <w:vAlign w:val="center"/>
                </w:tcPr>
                <w:p>
                  <w:pPr>
                    <w:jc w:val="center"/>
                    <w:rPr>
                      <w:b/>
                      <w:bCs/>
                      <w:color w:val="auto"/>
                      <w:szCs w:val="21"/>
                      <w:highlight w:val="none"/>
                    </w:rPr>
                  </w:pPr>
                  <w:r>
                    <w:rPr>
                      <w:rFonts w:hint="eastAsia"/>
                      <w:b/>
                      <w:bCs/>
                      <w:color w:val="auto"/>
                      <w:szCs w:val="21"/>
                      <w:highlight w:val="none"/>
                    </w:rPr>
                    <w:t>项目组成</w:t>
                  </w:r>
                </w:p>
              </w:tc>
              <w:tc>
                <w:tcPr>
                  <w:tcW w:w="4058" w:type="pct"/>
                  <w:tcBorders>
                    <w:tl2br w:val="nil"/>
                    <w:tr2bl w:val="nil"/>
                  </w:tcBorders>
                  <w:vAlign w:val="center"/>
                </w:tcPr>
                <w:p>
                  <w:pPr>
                    <w:jc w:val="center"/>
                    <w:rPr>
                      <w:b/>
                      <w:bCs/>
                      <w:color w:val="auto"/>
                      <w:szCs w:val="21"/>
                      <w:highlight w:val="none"/>
                    </w:rPr>
                  </w:pPr>
                  <w:r>
                    <w:rPr>
                      <w:rFonts w:hint="eastAsia"/>
                      <w:b/>
                      <w:bCs/>
                      <w:color w:val="auto"/>
                      <w:szCs w:val="21"/>
                      <w:highlight w:val="none"/>
                    </w:rPr>
                    <w:t>项目建筑内容及规模</w:t>
                  </w:r>
                </w:p>
              </w:tc>
            </w:tr>
            <w:tr>
              <w:trPr>
                <w:cantSplit/>
                <w:trHeight w:val="397"/>
              </w:trPr>
              <w:tc>
                <w:tcPr>
                  <w:tcW w:w="333" w:type="pct"/>
                  <w:tcBorders>
                    <w:tl2br w:val="nil"/>
                    <w:tr2bl w:val="nil"/>
                  </w:tcBorders>
                  <w:vAlign w:val="center"/>
                </w:tcPr>
                <w:p>
                  <w:pPr>
                    <w:jc w:val="center"/>
                    <w:rPr>
                      <w:color w:val="auto"/>
                      <w:szCs w:val="21"/>
                      <w:highlight w:val="none"/>
                    </w:rPr>
                  </w:pPr>
                  <w:r>
                    <w:rPr>
                      <w:rFonts w:hint="eastAsia"/>
                      <w:color w:val="auto"/>
                      <w:szCs w:val="21"/>
                      <w:highlight w:val="none"/>
                    </w:rPr>
                    <w:t>主体工程</w:t>
                  </w:r>
                </w:p>
              </w:tc>
              <w:tc>
                <w:tcPr>
                  <w:tcW w:w="607" w:type="pct"/>
                  <w:tcBorders>
                    <w:tl2br w:val="nil"/>
                    <w:tr2bl w:val="nil"/>
                  </w:tcBorders>
                  <w:vAlign w:val="center"/>
                </w:tcPr>
                <w:p>
                  <w:pPr>
                    <w:jc w:val="center"/>
                    <w:rPr>
                      <w:rFonts w:eastAsia="宋体" w:hint="eastAsia"/>
                      <w:color w:val="auto"/>
                      <w:szCs w:val="21"/>
                      <w:lang w:eastAsia="zh-CN"/>
                      <w:highlight w:val="none"/>
                    </w:rPr>
                  </w:pPr>
                  <w:r>
                    <w:rPr>
                      <w:rFonts w:hint="eastAsia"/>
                      <w:color w:val="auto"/>
                      <w:szCs w:val="21"/>
                      <w:lang w:eastAsia="zh-CN"/>
                      <w:highlight w:val="none"/>
                    </w:rPr>
                    <w:t>仓库</w:t>
                  </w:r>
                </w:p>
              </w:tc>
              <w:tc>
                <w:tcPr>
                  <w:tcW w:w="4058" w:type="pct"/>
                  <w:tcBorders>
                    <w:tl2br w:val="nil"/>
                    <w:tr2bl w:val="nil"/>
                  </w:tcBorders>
                  <w:vAlign w:val="center"/>
                </w:tcPr>
                <w:p>
                  <w:pPr>
                    <w:jc w:val="both"/>
                    <w:rPr>
                      <w:color w:val="auto"/>
                      <w:szCs w:val="21"/>
                      <w:highlight w:val="none"/>
                    </w:rPr>
                  </w:pPr>
                  <w:r>
                    <w:rPr>
                      <w:rFonts w:hint="eastAsia"/>
                      <w:color w:val="auto"/>
                      <w:szCs w:val="21"/>
                      <w:lang w:val="en-US"/>
                      <w:highlight w:val="none"/>
                    </w:rPr>
                    <w:t>租用泽豪闲置库房</w:t>
                  </w:r>
                  <w:r>
                    <w:rPr>
                      <w:rFonts w:hint="eastAsia"/>
                      <w:color w:val="auto"/>
                      <w:szCs w:val="21"/>
                      <w:lang w:val="en-US" w:eastAsia="zh-CN"/>
                      <w:highlight w:val="none"/>
                    </w:rPr>
                    <w:t>2座（大库房和小库房）</w:t>
                  </w:r>
                  <w:r>
                    <w:rPr>
                      <w:rFonts w:hint="eastAsia"/>
                      <w:color w:val="auto"/>
                      <w:szCs w:val="21"/>
                      <w:highlight w:val="none"/>
                    </w:rPr>
                    <w:t>，</w:t>
                  </w:r>
                  <w:r>
                    <w:rPr>
                      <w:rFonts w:hint="eastAsia"/>
                      <w:color w:val="auto"/>
                      <w:szCs w:val="21"/>
                      <w:lang w:val="en-US" w:eastAsia="zh-CN"/>
                      <w:highlight w:val="none"/>
                    </w:rPr>
                    <w:t>总面积1140m</w:t>
                  </w:r>
                  <w:r>
                    <w:rPr>
                      <w:rFonts w:hint="eastAsia"/>
                      <w:color w:val="auto"/>
                      <w:szCs w:val="21"/>
                      <w:vertAlign w:val="superscript"/>
                      <w:lang w:val="en-US" w:eastAsia="zh-CN"/>
                      <w:highlight w:val="none"/>
                    </w:rPr>
                    <w:t>2</w:t>
                  </w:r>
                  <w:r>
                    <w:rPr>
                      <w:rFonts w:hint="eastAsia"/>
                      <w:color w:val="auto"/>
                      <w:szCs w:val="21"/>
                      <w:lang w:val="en-US" w:eastAsia="zh-CN"/>
                      <w:highlight w:val="none"/>
                    </w:rPr>
                    <w:t>，砖结构，高约8m，改造后用于废电池贮存</w:t>
                  </w:r>
                  <w:r>
                    <w:rPr>
                      <w:rFonts w:ascii="Times New Roman" w:eastAsia="宋体" w:cs="Times New Roman" w:hAnsi="Times New Roman" w:hint="eastAsia"/>
                      <w:color w:val="auto"/>
                      <w:szCs w:val="21"/>
                      <w:lang w:val="en-US" w:eastAsia="zh-CN"/>
                      <w:highlight w:val="none"/>
                    </w:rPr>
                    <w:t>。</w:t>
                  </w:r>
                </w:p>
              </w:tc>
            </w:tr>
            <w:tr>
              <w:trPr>
                <w:cantSplit/>
                <w:trHeight w:val="397"/>
              </w:trPr>
              <w:tc>
                <w:tcPr>
                  <w:tcW w:w="333" w:type="pct"/>
                  <w:tcBorders>
                    <w:tl2br w:val="nil"/>
                    <w:tr2bl w:val="nil"/>
                  </w:tcBorders>
                  <w:vAlign w:val="center"/>
                </w:tcPr>
                <w:p>
                  <w:pPr>
                    <w:jc w:val="center"/>
                    <w:rPr>
                      <w:color w:val="auto"/>
                      <w:szCs w:val="21"/>
                      <w:highlight w:val="none"/>
                    </w:rPr>
                  </w:pPr>
                  <w:r>
                    <w:rPr>
                      <w:rFonts w:hint="eastAsia"/>
                      <w:color w:val="auto"/>
                      <w:szCs w:val="21"/>
                      <w:highlight w:val="none"/>
                    </w:rPr>
                    <w:t>辅助工程</w:t>
                  </w:r>
                </w:p>
              </w:tc>
              <w:tc>
                <w:tcPr>
                  <w:tcW w:w="607" w:type="pct"/>
                  <w:tcBorders>
                    <w:tl2br w:val="nil"/>
                    <w:tr2bl w:val="nil"/>
                  </w:tcBorders>
                  <w:vAlign w:val="center"/>
                </w:tcPr>
                <w:p>
                  <w:pPr>
                    <w:jc w:val="center"/>
                    <w:rPr>
                      <w:rFonts w:hint="eastAsia"/>
                      <w:color w:val="auto"/>
                      <w:szCs w:val="21"/>
                      <w:lang w:eastAsia="zh-CN"/>
                      <w:highlight w:val="none"/>
                    </w:rPr>
                  </w:pPr>
                  <w:r>
                    <w:rPr>
                      <w:rFonts w:hint="eastAsia"/>
                      <w:color w:val="auto"/>
                      <w:szCs w:val="21"/>
                      <w:lang w:eastAsia="zh-CN"/>
                      <w:highlight w:val="none"/>
                    </w:rPr>
                    <w:t>监控室</w:t>
                  </w:r>
                </w:p>
                <w:p>
                  <w:pPr>
                    <w:jc w:val="center"/>
                    <w:rPr>
                      <w:color w:val="auto"/>
                      <w:szCs w:val="21"/>
                      <w:highlight w:val="none"/>
                    </w:rPr>
                  </w:pPr>
                  <w:r>
                    <w:rPr>
                      <w:rFonts w:hint="eastAsia"/>
                      <w:color w:val="auto"/>
                      <w:szCs w:val="21"/>
                      <w:highlight w:val="none"/>
                    </w:rPr>
                    <w:t>办公室</w:t>
                  </w:r>
                </w:p>
              </w:tc>
              <w:tc>
                <w:tcPr>
                  <w:tcW w:w="4058" w:type="pct"/>
                  <w:tcBorders>
                    <w:tl2br w:val="nil"/>
                    <w:tr2bl w:val="nil"/>
                  </w:tcBorders>
                  <w:vAlign w:val="center"/>
                </w:tcPr>
                <w:p>
                  <w:pPr>
                    <w:jc w:val="both"/>
                    <w:rPr>
                      <w:rFonts w:eastAsia="宋体" w:hint="eastAsia"/>
                      <w:color w:val="auto"/>
                      <w:szCs w:val="21"/>
                      <w:lang w:eastAsia="zh-CN"/>
                      <w:highlight w:val="none"/>
                    </w:rPr>
                  </w:pPr>
                  <w:r>
                    <w:rPr>
                      <w:rFonts w:hint="eastAsia"/>
                      <w:color w:val="auto"/>
                      <w:szCs w:val="21"/>
                      <w:lang w:val="en-US" w:eastAsia="zh-CN"/>
                      <w:highlight w:val="none"/>
                    </w:rPr>
                    <w:t>租用泽豪现有办公用房，共2间，</w:t>
                  </w:r>
                  <w:r>
                    <w:rPr>
                      <w:rFonts w:hint="eastAsia"/>
                      <w:color w:val="auto"/>
                      <w:szCs w:val="21"/>
                      <w:highlight w:val="none"/>
                    </w:rPr>
                    <w:t>用于日常办公</w:t>
                  </w:r>
                  <w:r>
                    <w:rPr>
                      <w:rFonts w:hint="eastAsia"/>
                      <w:color w:val="auto"/>
                      <w:szCs w:val="21"/>
                      <w:lang w:eastAsia="zh-CN"/>
                      <w:highlight w:val="none"/>
                    </w:rPr>
                    <w:t>和监控室。</w:t>
                  </w:r>
                </w:p>
              </w:tc>
            </w:tr>
            <w:tr>
              <w:trPr>
                <w:cantSplit/>
                <w:trHeight w:val="397"/>
              </w:trPr>
              <w:tc>
                <w:tcPr>
                  <w:tcW w:w="333" w:type="pct"/>
                  <w:vMerge w:val="restart"/>
                  <w:tcBorders>
                    <w:tl2br w:val="nil"/>
                    <w:tr2bl w:val="nil"/>
                  </w:tcBorders>
                  <w:vAlign w:val="center"/>
                </w:tcPr>
                <w:p>
                  <w:pPr>
                    <w:jc w:val="center"/>
                    <w:rPr>
                      <w:rFonts w:hint="eastAsia"/>
                      <w:color w:val="auto"/>
                      <w:szCs w:val="21"/>
                      <w:highlight w:val="none"/>
                    </w:rPr>
                  </w:pPr>
                  <w:bookmarkStart w:id="37" w:name="_Hlk161671537"/>
                  <w:r>
                    <w:rPr>
                      <w:rFonts w:hint="eastAsia"/>
                      <w:color w:val="auto"/>
                      <w:szCs w:val="21"/>
                      <w:highlight w:val="none"/>
                    </w:rPr>
                    <w:t>储运工程</w:t>
                  </w:r>
                </w:p>
              </w:tc>
              <w:tc>
                <w:tcPr>
                  <w:tcW w:w="607" w:type="pct"/>
                  <w:tcBorders>
                    <w:tl2br w:val="nil"/>
                    <w:tr2bl w:val="nil"/>
                  </w:tcBorders>
                  <w:vAlign w:val="center"/>
                </w:tcPr>
                <w:p>
                  <w:pPr>
                    <w:jc w:val="center"/>
                    <w:rPr>
                      <w:rFonts w:eastAsia="宋体" w:hint="eastAsia"/>
                      <w:color w:val="auto"/>
                      <w:szCs w:val="21"/>
                      <w:lang w:eastAsia="zh-CN"/>
                      <w:highlight w:val="none"/>
                    </w:rPr>
                  </w:pPr>
                  <w:r>
                    <w:rPr>
                      <w:rFonts w:hint="eastAsia"/>
                      <w:color w:val="auto"/>
                      <w:szCs w:val="21"/>
                      <w:lang w:eastAsia="zh-CN"/>
                      <w:highlight w:val="none"/>
                    </w:rPr>
                    <w:t>分拣区</w:t>
                  </w:r>
                </w:p>
              </w:tc>
              <w:tc>
                <w:tcPr>
                  <w:tcW w:w="4058" w:type="pct"/>
                  <w:tcBorders>
                    <w:tl2br w:val="nil"/>
                    <w:tr2bl w:val="nil"/>
                  </w:tcBorders>
                  <w:vAlign w:val="center"/>
                </w:tcPr>
                <w:p>
                  <w:pPr>
                    <w:jc w:val="both"/>
                    <w:rPr>
                      <w:rFonts w:hint="eastAsia"/>
                      <w:color w:val="auto"/>
                      <w:szCs w:val="21"/>
                      <w:lang w:val="en-US" w:eastAsia="zh-CN"/>
                      <w:highlight w:val="none"/>
                    </w:rPr>
                  </w:pPr>
                  <w:r>
                    <w:rPr>
                      <w:rFonts w:hint="eastAsia"/>
                      <w:color w:val="auto"/>
                      <w:szCs w:val="21"/>
                      <w:lang w:val="en-US" w:eastAsia="zh-CN"/>
                      <w:highlight w:val="none"/>
                    </w:rPr>
                    <w:t>位于大库房内，用于废铅蓄电池装卸及分拣。</w:t>
                  </w:r>
                </w:p>
              </w:tc>
            </w:tr>
            <w:tr>
              <w:trPr>
                <w:cantSplit/>
                <w:trHeight w:val="397"/>
              </w:trPr>
              <w:tc>
                <w:tcPr>
                  <w:tcW w:w="333" w:type="pct"/>
                  <w:vMerge/>
                  <w:tcBorders>
                    <w:tl2br w:val="nil"/>
                    <w:tr2bl w:val="nil"/>
                  </w:tcBorders>
                  <w:vAlign w:val="center"/>
                </w:tcPr>
                <w:p/>
              </w:tc>
              <w:tc>
                <w:tcPr>
                  <w:tcW w:w="607" w:type="pct"/>
                  <w:tcBorders>
                    <w:tl2br w:val="nil"/>
                    <w:tr2bl w:val="nil"/>
                  </w:tcBorders>
                  <w:shd w:val="clear" w:color="auto" w:fill="auto"/>
                  <w:vAlign w:val="center"/>
                </w:tcPr>
                <w:p>
                  <w:pPr>
                    <w:jc w:val="center"/>
                    <w:rPr>
                      <w:rFonts w:ascii="Times New Roman" w:eastAsia="宋体" w:cs="Times New Roman" w:hAnsi="Times New Roman" w:hint="eastAsia"/>
                      <w:color w:val="auto"/>
                      <w:kern w:val="2"/>
                      <w:sz w:val="21"/>
                      <w:szCs w:val="21"/>
                      <w:lang w:val="en-US" w:eastAsia="zh-CN" w:bidi="ar-SA"/>
                      <w:highlight w:val="none"/>
                    </w:rPr>
                  </w:pPr>
                  <w:r>
                    <w:rPr>
                      <w:rFonts w:hint="eastAsia"/>
                      <w:color w:val="auto"/>
                      <w:szCs w:val="21"/>
                      <w:lang w:val="en-US" w:eastAsia="zh-CN"/>
                      <w:highlight w:val="none"/>
                    </w:rPr>
                    <w:t>电池暂存区</w:t>
                  </w:r>
                </w:p>
              </w:tc>
              <w:tc>
                <w:tcPr>
                  <w:tcW w:w="4058" w:type="pct"/>
                  <w:tcBorders>
                    <w:tl2br w:val="nil"/>
                    <w:tr2bl w:val="nil"/>
                  </w:tcBorders>
                  <w:shd w:val="clear" w:color="auto" w:fill="auto"/>
                  <w:vAlign w:val="center"/>
                </w:tcPr>
                <w:p>
                  <w:pPr>
                    <w:jc w:val="both"/>
                    <w:rPr>
                      <w:rFonts w:ascii="Times New Roman" w:eastAsia="宋体" w:cs="Times New Roman" w:hAnsi="Times New Roman" w:hint="eastAsia"/>
                      <w:color w:val="auto"/>
                      <w:kern w:val="2"/>
                      <w:sz w:val="21"/>
                      <w:szCs w:val="21"/>
                      <w:lang w:val="en-US" w:eastAsia="zh-CN" w:bidi="ar-SA"/>
                      <w:highlight w:val="none"/>
                    </w:rPr>
                  </w:pPr>
                  <w:r>
                    <w:rPr>
                      <w:rFonts w:hint="eastAsia"/>
                      <w:snapToGrid w:val="0"/>
                      <w:color w:val="auto"/>
                      <w:kern w:val="0"/>
                      <w:szCs w:val="21"/>
                      <w:highlight w:val="none"/>
                    </w:rPr>
                    <w:t>位于</w:t>
                  </w:r>
                  <w:r>
                    <w:rPr>
                      <w:rFonts w:hint="eastAsia"/>
                      <w:snapToGrid w:val="0"/>
                      <w:color w:val="auto"/>
                      <w:kern w:val="0"/>
                      <w:szCs w:val="21"/>
                      <w:lang w:eastAsia="zh-CN"/>
                      <w:highlight w:val="none"/>
                    </w:rPr>
                    <w:t>大库房和小库房内，分区用于</w:t>
                  </w:r>
                  <w:r>
                    <w:rPr>
                      <w:rFonts w:hint="eastAsia"/>
                      <w:color w:val="auto"/>
                      <w:kern w:val="0"/>
                      <w:lang w:eastAsia="zh-CN"/>
                      <w:highlight w:val="none"/>
                    </w:rPr>
                    <w:t>第</w:t>
                  </w:r>
                  <w:r>
                    <w:rPr>
                      <w:rFonts w:hint="eastAsia"/>
                      <w:snapToGrid w:val="0"/>
                      <w:color w:val="auto"/>
                      <w:kern w:val="0"/>
                      <w:szCs w:val="21"/>
                      <w:lang w:eastAsia="zh-CN"/>
                      <w:highlight w:val="none"/>
                    </w:rPr>
                    <w:t>I类废铅蓄电池贮存</w:t>
                  </w:r>
                  <w:r>
                    <w:rPr>
                      <w:rFonts w:hint="eastAsia"/>
                      <w:snapToGrid w:val="0"/>
                      <w:color w:val="auto"/>
                      <w:kern w:val="0"/>
                      <w:szCs w:val="21"/>
                      <w:highlight w:val="none"/>
                    </w:rPr>
                    <w:t>。</w:t>
                  </w:r>
                </w:p>
              </w:tc>
            </w:tr>
            <w:tr>
              <w:trPr>
                <w:cantSplit/>
                <w:trHeight w:val="397"/>
              </w:trPr>
              <w:tc>
                <w:tcPr>
                  <w:tcW w:w="333" w:type="pct"/>
                  <w:vMerge/>
                  <w:tcBorders>
                    <w:tl2br w:val="nil"/>
                    <w:tr2bl w:val="nil"/>
                  </w:tcBorders>
                  <w:vAlign w:val="center"/>
                </w:tcPr>
                <w:p/>
              </w:tc>
              <w:tc>
                <w:tcPr>
                  <w:tcW w:w="607" w:type="pct"/>
                  <w:tcBorders>
                    <w:tl2br w:val="nil"/>
                    <w:tr2bl w:val="nil"/>
                  </w:tcBorders>
                  <w:shd w:val="clear" w:color="auto" w:fill="auto"/>
                  <w:vAlign w:val="center"/>
                </w:tcPr>
                <w:p>
                  <w:pPr>
                    <w:jc w:val="center"/>
                    <w:rPr>
                      <w:rFonts w:ascii="Times New Roman" w:eastAsia="宋体" w:cs="Times New Roman" w:hAnsi="Times New Roman" w:hint="eastAsia"/>
                      <w:color w:val="auto"/>
                      <w:kern w:val="2"/>
                      <w:sz w:val="21"/>
                      <w:szCs w:val="21"/>
                      <w:lang w:val="en-US" w:eastAsia="zh-CN" w:bidi="ar-SA"/>
                      <w:highlight w:val="none"/>
                    </w:rPr>
                  </w:pPr>
                  <w:r>
                    <w:rPr>
                      <w:rFonts w:cs="Times New Roman" w:hint="eastAsia"/>
                      <w:color w:val="auto"/>
                      <w:kern w:val="2"/>
                      <w:sz w:val="21"/>
                      <w:szCs w:val="21"/>
                      <w:lang w:val="en-US" w:eastAsia="zh-CN" w:bidi="ar-SA"/>
                      <w:highlight w:val="none"/>
                    </w:rPr>
                    <w:t>破损电池存放间</w:t>
                  </w:r>
                </w:p>
              </w:tc>
              <w:tc>
                <w:tcPr>
                  <w:tcW w:w="4058" w:type="pct"/>
                  <w:tcBorders>
                    <w:tl2br w:val="nil"/>
                    <w:tr2bl w:val="nil"/>
                  </w:tcBorders>
                  <w:shd w:val="clear" w:color="auto" w:fill="auto"/>
                  <w:vAlign w:val="center"/>
                </w:tcPr>
                <w:p>
                  <w:pPr>
                    <w:jc w:val="both"/>
                    <w:rPr>
                      <w:rFonts w:ascii="Times New Roman" w:eastAsia="宋体" w:cs="Times New Roman" w:hAnsi="Times New Roman" w:hint="eastAsia"/>
                      <w:color w:val="auto"/>
                      <w:kern w:val="2"/>
                      <w:sz w:val="21"/>
                      <w:szCs w:val="21"/>
                      <w:lang w:val="en-US" w:eastAsia="zh-CN" w:bidi="ar-SA"/>
                      <w:highlight w:val="none"/>
                    </w:rPr>
                  </w:pPr>
                  <w:r>
                    <w:rPr>
                      <w:rFonts w:hint="eastAsia"/>
                      <w:color w:val="auto"/>
                      <w:kern w:val="0"/>
                      <w:lang w:eastAsia="zh-CN"/>
                      <w:highlight w:val="none"/>
                    </w:rPr>
                    <w:t>破损电池按照第II类废铅蓄电池管理要求管理，单独放置于密闭的破损电池存放间内，该存放间位于大库房内，面积</w:t>
                  </w:r>
                  <w:r>
                    <w:rPr>
                      <w:rFonts w:hint="eastAsia"/>
                      <w:color w:val="auto"/>
                      <w:sz w:val="21"/>
                      <w:szCs w:val="21"/>
                      <w:lang w:val="en-US" w:eastAsia="zh-CN"/>
                      <w:highlight w:val="none"/>
                    </w:rPr>
                    <w:t>18m</w:t>
                  </w:r>
                  <w:r>
                    <w:rPr>
                      <w:rFonts w:hint="eastAsia"/>
                      <w:color w:val="auto"/>
                      <w:sz w:val="21"/>
                      <w:szCs w:val="21"/>
                      <w:vertAlign w:val="superscript"/>
                      <w:lang w:val="en-US" w:eastAsia="zh-CN"/>
                      <w:highlight w:val="none"/>
                    </w:rPr>
                    <w:t>2</w:t>
                  </w:r>
                  <w:r>
                    <w:rPr>
                      <w:rFonts w:hint="eastAsia"/>
                      <w:color w:val="auto"/>
                      <w:kern w:val="0"/>
                      <w:lang w:eastAsia="zh-CN"/>
                      <w:highlight w:val="none"/>
                    </w:rPr>
                    <w:t>。</w:t>
                  </w:r>
                </w:p>
              </w:tc>
            </w:tr>
            <w:tr>
              <w:trPr>
                <w:cantSplit/>
                <w:trHeight w:val="397"/>
              </w:trPr>
              <w:tc>
                <w:tcPr>
                  <w:tcW w:w="333" w:type="pct"/>
                  <w:vMerge/>
                  <w:tcBorders>
                    <w:tl2br w:val="nil"/>
                    <w:tr2bl w:val="nil"/>
                  </w:tcBorders>
                  <w:vAlign w:val="center"/>
                </w:tcPr>
                <w:p/>
              </w:tc>
              <w:tc>
                <w:tcPr>
                  <w:tcW w:w="607" w:type="pct"/>
                  <w:tcBorders>
                    <w:tl2br w:val="nil"/>
                    <w:tr2bl w:val="nil"/>
                  </w:tcBorders>
                  <w:shd w:val="clear" w:color="auto" w:fill="auto"/>
                  <w:vAlign w:val="center"/>
                </w:tcPr>
                <w:p>
                  <w:pPr>
                    <w:jc w:val="center"/>
                    <w:rPr>
                      <w:rFonts w:cs="Times New Roman" w:hint="eastAsia"/>
                      <w:color w:val="auto"/>
                      <w:kern w:val="2"/>
                      <w:sz w:val="21"/>
                      <w:szCs w:val="21"/>
                      <w:lang w:val="en-US" w:eastAsia="zh-CN" w:bidi="ar-SA"/>
                      <w:highlight w:val="none"/>
                    </w:rPr>
                  </w:pPr>
                  <w:r>
                    <w:rPr>
                      <w:rFonts w:cs="Times New Roman" w:hint="eastAsia"/>
                      <w:color w:val="auto"/>
                      <w:kern w:val="2"/>
                      <w:sz w:val="21"/>
                      <w:szCs w:val="21"/>
                      <w:lang w:val="en-US" w:eastAsia="zh-CN" w:bidi="ar-SA"/>
                      <w:highlight w:val="none"/>
                    </w:rPr>
                    <w:t>危废暂存间</w:t>
                  </w:r>
                </w:p>
              </w:tc>
              <w:tc>
                <w:tcPr>
                  <w:tcW w:w="4058" w:type="pct"/>
                  <w:tcBorders>
                    <w:tl2br w:val="nil"/>
                    <w:tr2bl w:val="nil"/>
                  </w:tcBorders>
                  <w:shd w:val="clear" w:color="auto" w:fill="auto"/>
                  <w:vAlign w:val="center"/>
                </w:tcPr>
                <w:p>
                  <w:pPr>
                    <w:jc w:val="both"/>
                    <w:rPr>
                      <w:rFonts w:hint="eastAsia"/>
                      <w:color w:val="auto"/>
                      <w:kern w:val="0"/>
                      <w:lang w:eastAsia="zh-CN"/>
                      <w:highlight w:val="none"/>
                    </w:rPr>
                  </w:pPr>
                  <w:r>
                    <w:rPr>
                      <w:rFonts w:ascii="Times New Roman" w:eastAsia="Segoe UI" w:cs="Times New Roman" w:hAnsi="Times New Roman" w:hint="eastAsia"/>
                      <w:b w:val="0"/>
                      <w:bCs w:val="0"/>
                      <w:i w:val="0"/>
                      <w:iCs w:val="0"/>
                      <w:caps w:val="0"/>
                      <w:smallCaps w:val="0"/>
                      <w:color w:val="auto"/>
                      <w:spacing w:val="0"/>
                      <w:kern w:val="0"/>
                      <w:sz w:val="21"/>
                      <w:szCs w:val="21"/>
                      <w:shd w:val="clear" w:color="auto" w:fill="FFFFFF"/>
                      <w:lang w:val="en-US" w:eastAsia="zh-CN" w:bidi="ar-SA"/>
                      <w:highlight w:val="none"/>
                    </w:rPr>
                    <w:t>废</w:t>
                  </w:r>
                  <w:r>
                    <w:rPr>
                      <w:rFonts w:eastAsia="Segoe UI" w:cs="Times New Roman" w:hint="eastAsia"/>
                      <w:b w:val="0"/>
                      <w:bCs w:val="0"/>
                      <w:i w:val="0"/>
                      <w:iCs w:val="0"/>
                      <w:caps w:val="0"/>
                      <w:smallCaps w:val="0"/>
                      <w:color w:val="auto"/>
                      <w:spacing w:val="0"/>
                      <w:kern w:val="0"/>
                      <w:sz w:val="21"/>
                      <w:szCs w:val="21"/>
                      <w:shd w:val="clear" w:color="auto" w:fill="FFFFFF"/>
                      <w:lang w:val="en-US" w:eastAsia="zh-CN" w:bidi="ar-SA"/>
                      <w:highlight w:val="none"/>
                    </w:rPr>
                    <w:t>电解液、废碱液、</w:t>
                  </w:r>
                  <w:r>
                    <w:rPr>
                      <w:rFonts w:hint="eastAsia"/>
                      <w:color w:val="auto"/>
                      <w:sz w:val="21"/>
                      <w:szCs w:val="21"/>
                      <w:lang w:eastAsia="zh-CN"/>
                      <w:highlight w:val="none"/>
                    </w:rPr>
                    <w:t>废防护用具等置于独立的危废间，危废间</w:t>
                  </w:r>
                  <w:r>
                    <w:rPr>
                      <w:rFonts w:hint="eastAsia"/>
                      <w:color w:val="auto"/>
                      <w:kern w:val="0"/>
                      <w:lang w:eastAsia="zh-CN"/>
                      <w:highlight w:val="none"/>
                    </w:rPr>
                    <w:t>位于大库房内，面积</w:t>
                  </w:r>
                  <w:r>
                    <w:rPr>
                      <w:rFonts w:hint="eastAsia"/>
                      <w:color w:val="auto"/>
                      <w:sz w:val="21"/>
                      <w:szCs w:val="21"/>
                      <w:lang w:val="en-US" w:eastAsia="zh-CN"/>
                      <w:highlight w:val="none"/>
                    </w:rPr>
                    <w:t>14m</w:t>
                  </w:r>
                  <w:r>
                    <w:rPr>
                      <w:rFonts w:hint="eastAsia"/>
                      <w:color w:val="auto"/>
                      <w:sz w:val="21"/>
                      <w:szCs w:val="21"/>
                      <w:vertAlign w:val="superscript"/>
                      <w:lang w:val="en-US" w:eastAsia="zh-CN"/>
                      <w:highlight w:val="none"/>
                    </w:rPr>
                    <w:t>2</w:t>
                  </w:r>
                  <w:r>
                    <w:rPr>
                      <w:rFonts w:ascii="Times New Roman" w:eastAsia="Segoe UI" w:cs="Times New Roman" w:hAnsi="Times New Roman" w:hint="eastAsia"/>
                      <w:b w:val="0"/>
                      <w:bCs w:val="0"/>
                      <w:i w:val="0"/>
                      <w:iCs w:val="0"/>
                      <w:caps w:val="0"/>
                      <w:smallCaps w:val="0"/>
                      <w:color w:val="auto"/>
                      <w:spacing w:val="0"/>
                      <w:kern w:val="0"/>
                      <w:sz w:val="21"/>
                      <w:szCs w:val="21"/>
                      <w:shd w:val="clear" w:color="auto" w:fill="FFFFFF"/>
                      <w:lang w:val="en-US" w:eastAsia="zh-CN" w:bidi="ar-SA"/>
                      <w:highlight w:val="none"/>
                    </w:rPr>
                    <w:t>。</w:t>
                  </w:r>
                </w:p>
              </w:tc>
            </w:tr>
            <w:tr>
              <w:trPr>
                <w:cantSplit/>
                <w:trHeight w:val="397"/>
              </w:trPr>
              <w:tc>
                <w:tcPr>
                  <w:tcW w:w="333" w:type="pct"/>
                  <w:vMerge/>
                  <w:tcBorders>
                    <w:tl2br w:val="nil"/>
                    <w:tr2bl w:val="nil"/>
                  </w:tcBorders>
                  <w:vAlign w:val="center"/>
                </w:tcPr>
                <w:p/>
              </w:tc>
              <w:tc>
                <w:tcPr>
                  <w:tcW w:w="607" w:type="pct"/>
                  <w:tcBorders>
                    <w:tl2br w:val="nil"/>
                    <w:tr2bl w:val="nil"/>
                  </w:tcBorders>
                  <w:vAlign w:val="center"/>
                </w:tcPr>
                <w:p>
                  <w:pPr>
                    <w:jc w:val="center"/>
                    <w:rPr>
                      <w:rFonts w:hint="eastAsia"/>
                      <w:color w:val="auto"/>
                      <w:szCs w:val="21"/>
                      <w:lang w:val="en-US" w:eastAsia="zh-CN"/>
                      <w:highlight w:val="none"/>
                    </w:rPr>
                  </w:pPr>
                  <w:r>
                    <w:rPr>
                      <w:rFonts w:hint="eastAsia"/>
                      <w:color w:val="auto"/>
                      <w:szCs w:val="21"/>
                      <w:lang w:val="en-US" w:eastAsia="zh-CN"/>
                      <w:highlight w:val="none"/>
                    </w:rPr>
                    <w:t>运输</w:t>
                  </w:r>
                </w:p>
              </w:tc>
              <w:tc>
                <w:tcPr>
                  <w:tcW w:w="4058" w:type="pct"/>
                  <w:tcBorders>
                    <w:tl2br w:val="nil"/>
                    <w:tr2bl w:val="nil"/>
                  </w:tcBorders>
                  <w:vAlign w:val="center"/>
                </w:tcPr>
                <w:p>
                  <w:pPr>
                    <w:jc w:val="both"/>
                    <w:rPr>
                      <w:rFonts w:eastAsia="宋体" w:hint="eastAsia"/>
                      <w:snapToGrid w:val="0"/>
                      <w:color w:val="auto"/>
                      <w:kern w:val="0"/>
                      <w:szCs w:val="21"/>
                      <w:lang w:eastAsia="zh-CN"/>
                      <w:highlight w:val="none"/>
                    </w:rPr>
                  </w:pPr>
                  <w:r>
                    <w:rPr>
                      <w:rFonts w:hint="eastAsia"/>
                      <w:snapToGrid w:val="0"/>
                      <w:color w:val="auto"/>
                      <w:kern w:val="0"/>
                      <w:szCs w:val="21"/>
                      <w:lang w:eastAsia="zh-CN"/>
                      <w:highlight w:val="none"/>
                    </w:rPr>
                    <w:t>本项目不涉及废电池的运输，委托有资质单位开展运输工作。</w:t>
                  </w:r>
                </w:p>
              </w:tc>
            </w:tr>
            <w:tr>
              <w:trPr>
                <w:cantSplit/>
                <w:trHeight w:val="397"/>
              </w:trPr>
              <w:tc>
                <w:tcPr>
                  <w:tcW w:w="333" w:type="pct"/>
                  <w:vMerge/>
                  <w:tcBorders>
                    <w:tl2br w:val="nil"/>
                    <w:tr2bl w:val="nil"/>
                  </w:tcBorders>
                  <w:vAlign w:val="center"/>
                </w:tcPr>
                <w:p/>
              </w:tc>
              <w:tc>
                <w:tcPr>
                  <w:tcW w:w="607" w:type="pct"/>
                  <w:tcBorders>
                    <w:tl2br w:val="nil"/>
                    <w:tr2bl w:val="nil"/>
                  </w:tcBorders>
                  <w:vAlign w:val="center"/>
                </w:tcPr>
                <w:p>
                  <w:pPr>
                    <w:jc w:val="center"/>
                    <w:rPr>
                      <w:rFonts w:hint="eastAsia"/>
                      <w:color w:val="auto"/>
                      <w:szCs w:val="21"/>
                      <w:lang w:val="en-US" w:eastAsia="zh-CN"/>
                      <w:highlight w:val="none"/>
                    </w:rPr>
                  </w:pPr>
                  <w:r>
                    <w:rPr>
                      <w:rFonts w:hint="eastAsia"/>
                      <w:color w:val="auto"/>
                      <w:szCs w:val="21"/>
                      <w:lang w:val="en-US" w:eastAsia="zh-CN"/>
                      <w:highlight w:val="none"/>
                    </w:rPr>
                    <w:t>监控系统</w:t>
                  </w:r>
                </w:p>
              </w:tc>
              <w:tc>
                <w:tcPr>
                  <w:tcW w:w="4058" w:type="pct"/>
                  <w:tcBorders>
                    <w:tl2br w:val="nil"/>
                    <w:tr2bl w:val="nil"/>
                  </w:tcBorders>
                  <w:vAlign w:val="center"/>
                </w:tcPr>
                <w:p>
                  <w:pPr>
                    <w:jc w:val="both"/>
                    <w:rPr>
                      <w:rFonts w:hint="eastAsia"/>
                      <w:snapToGrid w:val="0"/>
                      <w:color w:val="auto"/>
                      <w:kern w:val="0"/>
                      <w:szCs w:val="21"/>
                      <w:lang w:eastAsia="zh-CN"/>
                      <w:highlight w:val="none"/>
                    </w:rPr>
                  </w:pPr>
                  <w:r>
                    <w:rPr>
                      <w:rFonts w:hint="eastAsia"/>
                      <w:snapToGrid w:val="0"/>
                      <w:color w:val="auto"/>
                      <w:kern w:val="0"/>
                      <w:szCs w:val="21"/>
                      <w:lang w:eastAsia="zh-CN"/>
                      <w:highlight w:val="none"/>
                    </w:rPr>
                    <w:t>厂区出入口、外围围墙边界、内部</w:t>
                  </w:r>
                  <w:r>
                    <w:rPr>
                      <w:rFonts w:ascii="Times New Roman" w:eastAsia="宋体" w:cs="Times New Roman" w:hAnsi="Times New Roman" w:hint="eastAsia"/>
                      <w:color w:val="auto"/>
                      <w:lang w:val="en-US" w:eastAsia="zh-CN"/>
                      <w:highlight w:val="none"/>
                    </w:rPr>
                    <w:t>人车通道</w:t>
                  </w:r>
                  <w:r>
                    <w:rPr>
                      <w:rFonts w:ascii="Times New Roman" w:eastAsia="宋体" w:cs="Times New Roman" w:hAnsi="Times New Roman"/>
                      <w:color w:val="auto"/>
                      <w:lang w:val="en-US" w:eastAsia="zh-CN"/>
                      <w:highlight w:val="none"/>
                    </w:rPr>
                    <w:t>、</w:t>
                  </w:r>
                  <w:r>
                    <w:rPr>
                      <w:rFonts w:cs="Times New Roman" w:hint="eastAsia"/>
                      <w:color w:val="auto"/>
                      <w:lang w:val="en-US" w:eastAsia="zh-CN"/>
                      <w:highlight w:val="none"/>
                    </w:rPr>
                    <w:t>地磅、</w:t>
                  </w:r>
                  <w:r>
                    <w:rPr>
                      <w:rFonts w:ascii="Times New Roman" w:eastAsia="宋体" w:cs="Times New Roman" w:hAnsi="Times New Roman" w:hint="eastAsia"/>
                      <w:color w:val="auto"/>
                      <w:lang w:val="en-US" w:eastAsia="zh-CN"/>
                      <w:highlight w:val="none"/>
                    </w:rPr>
                    <w:t>贮存</w:t>
                  </w:r>
                  <w:r>
                    <w:rPr>
                      <w:rFonts w:cs="Times New Roman" w:hint="eastAsia"/>
                      <w:color w:val="auto"/>
                      <w:lang w:val="en-US" w:eastAsia="zh-CN"/>
                      <w:highlight w:val="none"/>
                    </w:rPr>
                    <w:t>区域</w:t>
                  </w:r>
                  <w:r>
                    <w:rPr>
                      <w:rFonts w:ascii="Times New Roman" w:eastAsia="宋体" w:cs="Times New Roman" w:hAnsi="Times New Roman" w:hint="eastAsia"/>
                      <w:color w:val="auto"/>
                      <w:lang w:val="en-US" w:eastAsia="zh-CN"/>
                      <w:highlight w:val="none"/>
                    </w:rPr>
                    <w:t>等重点部位安装视频监控</w:t>
                  </w:r>
                  <w:r>
                    <w:rPr>
                      <w:rFonts w:cs="Times New Roman" w:hint="eastAsia"/>
                      <w:color w:val="auto"/>
                      <w:lang w:val="en-US" w:eastAsia="zh-CN"/>
                      <w:highlight w:val="none"/>
                    </w:rPr>
                    <w:t>，</w:t>
                  </w:r>
                  <w:r>
                    <w:rPr>
                      <w:rFonts w:hint="eastAsia"/>
                      <w:snapToGrid w:val="0"/>
                      <w:color w:val="auto"/>
                      <w:kern w:val="0"/>
                      <w:szCs w:val="21"/>
                      <w:lang w:eastAsia="zh-CN"/>
                      <w:highlight w:val="none"/>
                    </w:rPr>
                    <w:t>24小时持续录像</w:t>
                  </w:r>
                  <w:r>
                    <w:rPr>
                      <w:rFonts w:cs="Times New Roman" w:hint="eastAsia"/>
                      <w:color w:val="auto"/>
                      <w:lang w:val="en-US" w:eastAsia="zh-CN"/>
                      <w:highlight w:val="none"/>
                    </w:rPr>
                    <w:t>。同时设有</w:t>
                  </w:r>
                  <w:r>
                    <w:rPr>
                      <w:rFonts w:ascii="Times New Roman" w:eastAsia="宋体" w:cs="Times New Roman" w:hAnsi="Times New Roman" w:hint="eastAsia"/>
                      <w:color w:val="auto"/>
                      <w:lang w:val="en-US" w:eastAsia="zh-CN"/>
                      <w:highlight w:val="none"/>
                    </w:rPr>
                    <w:t>智能地磅</w:t>
                  </w:r>
                  <w:r>
                    <w:rPr>
                      <w:rFonts w:cs="Times New Roman" w:hint="eastAsia"/>
                      <w:color w:val="auto"/>
                      <w:lang w:val="en-US" w:eastAsia="zh-CN"/>
                      <w:highlight w:val="none"/>
                    </w:rPr>
                    <w:t>和称重设备，</w:t>
                  </w:r>
                  <w:r>
                    <w:rPr>
                      <w:rFonts w:ascii="Times New Roman" w:eastAsia="宋体" w:cs="Times New Roman" w:hAnsi="Times New Roman" w:hint="eastAsia"/>
                      <w:color w:val="auto"/>
                      <w:highlight w:val="none"/>
                    </w:rPr>
                    <w:t>记录来源、种类、数量等信息</w:t>
                  </w:r>
                  <w:r>
                    <w:rPr>
                      <w:rFonts w:hint="eastAsia"/>
                      <w:snapToGrid w:val="0"/>
                      <w:color w:val="auto"/>
                      <w:kern w:val="0"/>
                      <w:szCs w:val="21"/>
                      <w:lang w:eastAsia="zh-CN"/>
                      <w:highlight w:val="none"/>
                    </w:rPr>
                    <w:t>。与生态环境部门固体废物信息平台链接，实时自动上传相关影像、称重数据信息。</w:t>
                  </w:r>
                </w:p>
              </w:tc>
            </w:tr>
            <w:tr>
              <w:trPr>
                <w:cantSplit/>
                <w:trHeight w:val="397"/>
              </w:trPr>
              <w:tc>
                <w:tcPr>
                  <w:tcW w:w="333" w:type="pct"/>
                  <w:vMerge w:val="restart"/>
                  <w:tcBorders>
                    <w:tl2br w:val="nil"/>
                    <w:tr2bl w:val="nil"/>
                  </w:tcBorders>
                  <w:vAlign w:val="center"/>
                </w:tcPr>
                <w:p>
                  <w:pPr>
                    <w:jc w:val="center"/>
                    <w:rPr>
                      <w:rFonts w:eastAsia="宋体" w:hint="eastAsia"/>
                      <w:color w:val="auto"/>
                      <w:szCs w:val="21"/>
                      <w:lang w:eastAsia="zh-CN"/>
                      <w:highlight w:val="none"/>
                    </w:rPr>
                  </w:pPr>
                  <w:bookmarkEnd w:id="37"/>
                  <w:r>
                    <w:rPr>
                      <w:rFonts w:hint="eastAsia"/>
                      <w:color w:val="auto"/>
                      <w:szCs w:val="21"/>
                      <w:highlight w:val="none"/>
                    </w:rPr>
                    <w:t>公用工程</w:t>
                  </w:r>
                </w:p>
              </w:tc>
              <w:tc>
                <w:tcPr>
                  <w:tcW w:w="607" w:type="pct"/>
                  <w:tcBorders>
                    <w:tl2br w:val="nil"/>
                    <w:tr2bl w:val="nil"/>
                  </w:tcBorders>
                  <w:vAlign w:val="center"/>
                </w:tcPr>
                <w:p>
                  <w:pPr>
                    <w:jc w:val="center"/>
                    <w:rPr>
                      <w:color w:val="auto"/>
                      <w:szCs w:val="21"/>
                      <w:highlight w:val="none"/>
                    </w:rPr>
                  </w:pPr>
                  <w:r>
                    <w:rPr>
                      <w:rFonts w:hint="eastAsia"/>
                      <w:color w:val="auto"/>
                      <w:szCs w:val="21"/>
                      <w:highlight w:val="none"/>
                    </w:rPr>
                    <w:t>给水</w:t>
                  </w:r>
                </w:p>
              </w:tc>
              <w:tc>
                <w:tcPr>
                  <w:tcW w:w="4058" w:type="pct"/>
                  <w:tcBorders>
                    <w:tl2br w:val="nil"/>
                    <w:tr2bl w:val="nil"/>
                  </w:tcBorders>
                  <w:vAlign w:val="center"/>
                </w:tcPr>
                <w:p>
                  <w:pPr>
                    <w:jc w:val="both"/>
                    <w:rPr>
                      <w:rFonts w:eastAsia="宋体" w:hint="eastAsia"/>
                      <w:color w:val="auto"/>
                      <w:szCs w:val="21"/>
                      <w:lang w:eastAsia="zh-CN"/>
                      <w:highlight w:val="none"/>
                    </w:rPr>
                  </w:pPr>
                  <w:r>
                    <w:rPr>
                      <w:rFonts w:hint="eastAsia"/>
                      <w:color w:val="auto"/>
                      <w:szCs w:val="21"/>
                      <w:lang w:eastAsia="zh-CN"/>
                      <w:highlight w:val="none"/>
                    </w:rPr>
                    <w:t>本项目供水依托</w:t>
                  </w:r>
                  <w:r>
                    <w:rPr>
                      <w:rFonts w:ascii="Times New Roman" w:eastAsia="宋体" w:cs="Times New Roman" w:hAnsi="Times New Roman"/>
                      <w:color w:val="auto"/>
                      <w:kern w:val="2"/>
                      <w:sz w:val="21"/>
                      <w:szCs w:val="21"/>
                      <w:lang w:val="en-US" w:eastAsia="zh-CN" w:bidi="ar-SA"/>
                      <w:highlight w:val="none"/>
                    </w:rPr>
                    <w:t>河北泽豪环保新材料科技有限公司</w:t>
                  </w:r>
                  <w:r>
                    <w:rPr>
                      <w:rFonts w:cs="Times New Roman" w:hint="eastAsia"/>
                      <w:color w:val="auto"/>
                      <w:kern w:val="2"/>
                      <w:sz w:val="21"/>
                      <w:szCs w:val="21"/>
                      <w:lang w:val="en-US" w:eastAsia="zh-CN" w:bidi="ar-SA"/>
                      <w:highlight w:val="none"/>
                    </w:rPr>
                    <w:t>新鲜水，该用水</w:t>
                  </w:r>
                  <w:r>
                    <w:rPr>
                      <w:rFonts w:hint="eastAsia"/>
                      <w:color w:val="auto"/>
                      <w:szCs w:val="21"/>
                      <w:highlight w:val="none"/>
                    </w:rPr>
                    <w:t>由</w:t>
                  </w:r>
                  <w:r>
                    <w:rPr>
                      <w:rFonts w:hint="eastAsia"/>
                      <w:color w:val="auto"/>
                      <w:szCs w:val="21"/>
                      <w:lang w:val="en-US" w:eastAsia="zh-CN"/>
                      <w:highlight w:val="none"/>
                    </w:rPr>
                    <w:t>园区</w:t>
                  </w:r>
                  <w:r>
                    <w:rPr>
                      <w:rFonts w:hint="eastAsia"/>
                      <w:color w:val="auto"/>
                      <w:szCs w:val="21"/>
                      <w:highlight w:val="none"/>
                    </w:rPr>
                    <w:t>供水管网提供</w:t>
                  </w:r>
                  <w:r>
                    <w:rPr>
                      <w:rFonts w:hint="eastAsia"/>
                      <w:color w:val="auto"/>
                      <w:szCs w:val="21"/>
                      <w:lang w:eastAsia="zh-CN"/>
                      <w:highlight w:val="none"/>
                    </w:rPr>
                    <w:t>。</w:t>
                  </w:r>
                </w:p>
              </w:tc>
            </w:tr>
            <w:tr>
              <w:trPr>
                <w:cantSplit/>
                <w:trHeight w:val="397"/>
              </w:trPr>
              <w:tc>
                <w:tcPr>
                  <w:tcW w:w="333" w:type="pct"/>
                  <w:vMerge/>
                  <w:tcBorders>
                    <w:tl2br w:val="nil"/>
                    <w:tr2bl w:val="nil"/>
                  </w:tcBorders>
                  <w:vAlign w:val="center"/>
                </w:tcPr>
                <w:p/>
              </w:tc>
              <w:tc>
                <w:tcPr>
                  <w:tcW w:w="607" w:type="pct"/>
                  <w:tcBorders>
                    <w:tl2br w:val="nil"/>
                    <w:tr2bl w:val="nil"/>
                  </w:tcBorders>
                  <w:vAlign w:val="center"/>
                </w:tcPr>
                <w:p>
                  <w:pPr>
                    <w:jc w:val="center"/>
                    <w:rPr>
                      <w:color w:val="auto"/>
                      <w:sz w:val="21"/>
                      <w:szCs w:val="21"/>
                      <w:highlight w:val="none"/>
                    </w:rPr>
                  </w:pPr>
                  <w:r>
                    <w:rPr>
                      <w:rFonts w:hint="eastAsia"/>
                      <w:color w:val="auto"/>
                      <w:sz w:val="21"/>
                      <w:szCs w:val="21"/>
                      <w:highlight w:val="none"/>
                    </w:rPr>
                    <w:t>排水</w:t>
                  </w:r>
                </w:p>
              </w:tc>
              <w:tc>
                <w:tcPr>
                  <w:tcW w:w="4058" w:type="pct"/>
                  <w:tcBorders>
                    <w:tl2br w:val="nil"/>
                    <w:tr2bl w:val="nil"/>
                  </w:tcBorders>
                  <w:vAlign w:val="center"/>
                </w:tcPr>
                <w:p>
                  <w:pPr>
                    <w:pStyle w:val="16"/>
                    <w:keepNext w:val="0"/>
                    <w:keepLines w:val="0"/>
                    <w:pageBreakBefore w:val="0"/>
                    <w:widowControl w:val="0"/>
                    <w:kinsoku/>
                    <w:wordWrap/>
                    <w:overflowPunct/>
                    <w:topLinePunct w:val="0"/>
                    <w:autoSpaceDE/>
                    <w:autoSpaceDN/>
                    <w:bidi w:val="0"/>
                    <w:adjustRightInd w:val="0"/>
                    <w:snapToGrid w:val="0"/>
                    <w:spacing w:line="240" w:lineRule="auto"/>
                    <w:ind w:firstLineChars="0" w:firstLine="0"/>
                    <w:textAlignment w:val="auto"/>
                    <w:rPr>
                      <w:rFonts w:ascii="Times New Roman" w:eastAsia="宋体" w:cs="Times New Roman" w:hAnsi="Times New Roman"/>
                      <w:color w:val="auto"/>
                      <w:kern w:val="2"/>
                      <w:sz w:val="21"/>
                      <w:szCs w:val="21"/>
                      <w:lang w:val="en-US" w:eastAsia="zh-CN" w:bidi="ar-SA"/>
                      <w:highlight w:val="none"/>
                    </w:rPr>
                  </w:pPr>
                  <w:r>
                    <w:rPr>
                      <w:rFonts w:ascii="Times New Roman" w:eastAsia="宋体" w:cs="Times New Roman" w:hAnsi="Times New Roman" w:hint="eastAsia"/>
                      <w:bCs/>
                      <w:color w:val="auto"/>
                      <w:kern w:val="0"/>
                      <w:sz w:val="21"/>
                      <w:szCs w:val="21"/>
                      <w:lang w:val="en-US" w:eastAsia="zh-CN" w:bidi="ar-SA"/>
                    </w:rPr>
                    <w:t>本项目碱液喷淋装置碱液循环使用，定期更换，</w:t>
                  </w:r>
                  <w:r>
                    <w:rPr>
                      <w:rFonts w:cs="Times New Roman" w:hint="eastAsia"/>
                      <w:bCs/>
                      <w:color w:val="auto"/>
                      <w:kern w:val="0"/>
                      <w:sz w:val="21"/>
                      <w:szCs w:val="21"/>
                      <w:lang w:val="en-US" w:eastAsia="zh-CN" w:bidi="ar-SA"/>
                    </w:rPr>
                    <w:t>废碱液</w:t>
                  </w:r>
                  <w:r>
                    <w:rPr>
                      <w:rFonts w:ascii="Times New Roman" w:eastAsia="宋体" w:cs="Times New Roman" w:hAnsi="Times New Roman" w:hint="eastAsia"/>
                      <w:bCs/>
                      <w:color w:val="auto"/>
                      <w:kern w:val="0"/>
                      <w:sz w:val="21"/>
                      <w:szCs w:val="21"/>
                      <w:lang w:val="en-US" w:eastAsia="zh-CN" w:bidi="ar-SA"/>
                    </w:rPr>
                    <w:t>交由有资质单位处置；</w:t>
                  </w:r>
                  <w:r>
                    <w:rPr>
                      <w:rFonts w:ascii="Times New Roman" w:eastAsia="宋体" w:cs="Times New Roman" w:hAnsi="Times New Roman"/>
                      <w:color w:val="auto"/>
                      <w:kern w:val="2"/>
                      <w:sz w:val="21"/>
                      <w:szCs w:val="21"/>
                      <w:lang w:val="en-US" w:eastAsia="zh-CN" w:bidi="ar-SA"/>
                      <w:highlight w:val="none"/>
                    </w:rPr>
                    <w:t>生活污水依托河北泽豪环保新材料科技有限公司化粪池处理后，</w:t>
                  </w:r>
                  <w:r>
                    <w:rPr>
                      <w:rFonts w:cs="Times New Roman" w:hint="eastAsia"/>
                      <w:color w:val="auto"/>
                      <w:kern w:val="2"/>
                      <w:sz w:val="21"/>
                      <w:szCs w:val="21"/>
                      <w:lang w:val="en-US" w:eastAsia="zh-CN" w:bidi="ar-SA"/>
                      <w:highlight w:val="none"/>
                    </w:rPr>
                    <w:t>定期清掏，不外排</w:t>
                  </w:r>
                  <w:r>
                    <w:rPr>
                      <w:rFonts w:ascii="Times New Roman" w:eastAsia="宋体" w:cs="Times New Roman" w:hAnsi="Times New Roman" w:hint="eastAsia"/>
                      <w:bCs/>
                      <w:color w:val="auto"/>
                      <w:kern w:val="0"/>
                      <w:sz w:val="21"/>
                      <w:szCs w:val="21"/>
                      <w:lang w:val="en-US" w:eastAsia="zh-CN" w:bidi="ar-SA"/>
                    </w:rPr>
                    <w:t>。</w:t>
                  </w:r>
                </w:p>
              </w:tc>
            </w:tr>
            <w:tr>
              <w:trPr>
                <w:cantSplit/>
                <w:trHeight w:val="397"/>
              </w:trPr>
              <w:tc>
                <w:tcPr>
                  <w:tcW w:w="333" w:type="pct"/>
                  <w:vMerge/>
                  <w:tcBorders>
                    <w:tl2br w:val="nil"/>
                    <w:tr2bl w:val="nil"/>
                  </w:tcBorders>
                  <w:vAlign w:val="center"/>
                </w:tcPr>
                <w:p/>
              </w:tc>
              <w:tc>
                <w:tcPr>
                  <w:tcW w:w="607" w:type="pct"/>
                  <w:tcBorders>
                    <w:tl2br w:val="nil"/>
                    <w:tr2bl w:val="nil"/>
                  </w:tcBorders>
                  <w:vAlign w:val="center"/>
                </w:tcPr>
                <w:p>
                  <w:pPr>
                    <w:jc w:val="center"/>
                    <w:rPr>
                      <w:color w:val="auto"/>
                      <w:szCs w:val="21"/>
                      <w:highlight w:val="none"/>
                    </w:rPr>
                  </w:pPr>
                  <w:r>
                    <w:rPr>
                      <w:rFonts w:hint="eastAsia"/>
                      <w:color w:val="auto"/>
                      <w:szCs w:val="21"/>
                      <w:highlight w:val="none"/>
                    </w:rPr>
                    <w:t>供电</w:t>
                  </w:r>
                </w:p>
              </w:tc>
              <w:tc>
                <w:tcPr>
                  <w:tcW w:w="4058" w:type="pct"/>
                  <w:tcBorders>
                    <w:tl2br w:val="nil"/>
                    <w:tr2bl w:val="nil"/>
                  </w:tcBorders>
                  <w:vAlign w:val="center"/>
                </w:tcPr>
                <w:p>
                  <w:pPr>
                    <w:keepNext w:val="0"/>
                    <w:keepLines w:val="0"/>
                    <w:pageBreakBefore w:val="0"/>
                    <w:widowControl w:val="0"/>
                    <w:kinsoku/>
                    <w:wordWrap/>
                    <w:overflowPunct/>
                    <w:topLinePunct w:val="0"/>
                    <w:autoSpaceDE/>
                    <w:autoSpaceDN/>
                    <w:bidi w:val="0"/>
                    <w:snapToGrid/>
                    <w:spacing w:line="240" w:lineRule="auto"/>
                    <w:jc w:val="both"/>
                    <w:rPr>
                      <w:rFonts w:ascii="Times New Roman" w:eastAsia="宋体" w:cs="Times New Roman" w:hAnsi="Times New Roman" w:hint="eastAsia"/>
                      <w:color w:val="auto"/>
                      <w:kern w:val="2"/>
                      <w:sz w:val="21"/>
                      <w:szCs w:val="21"/>
                      <w:lang w:val="en-US" w:eastAsia="zh-CN" w:bidi="ar-SA"/>
                      <w:highlight w:val="none"/>
                    </w:rPr>
                  </w:pPr>
                  <w:r>
                    <w:rPr>
                      <w:rFonts w:hint="eastAsia"/>
                      <w:color w:val="auto"/>
                      <w:szCs w:val="21"/>
                      <w:lang w:eastAsia="zh-CN"/>
                      <w:highlight w:val="none"/>
                    </w:rPr>
                    <w:t>本项目供电依托</w:t>
                  </w:r>
                  <w:r>
                    <w:rPr>
                      <w:rFonts w:ascii="Times New Roman" w:eastAsia="宋体" w:cs="Times New Roman" w:hAnsi="Times New Roman"/>
                      <w:color w:val="auto"/>
                      <w:kern w:val="2"/>
                      <w:sz w:val="21"/>
                      <w:szCs w:val="21"/>
                      <w:lang w:val="en-US" w:eastAsia="zh-CN" w:bidi="ar-SA"/>
                      <w:highlight w:val="none"/>
                    </w:rPr>
                    <w:t>河北泽豪环保新材料科技有限公司</w:t>
                  </w:r>
                  <w:r>
                    <w:rPr>
                      <w:rFonts w:cs="Times New Roman" w:hint="eastAsia"/>
                      <w:color w:val="auto"/>
                      <w:kern w:val="2"/>
                      <w:sz w:val="21"/>
                      <w:szCs w:val="21"/>
                      <w:lang w:val="en-US" w:eastAsia="zh-CN" w:bidi="ar-SA"/>
                      <w:highlight w:val="none"/>
                    </w:rPr>
                    <w:t>供电设施，</w:t>
                  </w:r>
                  <w:r>
                    <w:rPr>
                      <w:rFonts w:ascii="Times New Roman" w:eastAsia="宋体" w:cs="Times New Roman" w:hAnsi="Times New Roman" w:hint="eastAsia"/>
                      <w:color w:val="auto"/>
                      <w:kern w:val="2"/>
                      <w:sz w:val="21"/>
                      <w:szCs w:val="21"/>
                      <w:lang w:val="en-US" w:eastAsia="zh-CN" w:bidi="ar-SA"/>
                      <w:highlight w:val="none"/>
                    </w:rPr>
                    <w:t>由园区供电管网提供</w:t>
                  </w:r>
                  <w:r>
                    <w:rPr>
                      <w:rFonts w:cs="Times New Roman" w:hint="eastAsia"/>
                      <w:color w:val="auto"/>
                      <w:kern w:val="2"/>
                      <w:sz w:val="21"/>
                      <w:szCs w:val="21"/>
                      <w:lang w:val="en-US" w:eastAsia="zh-CN" w:bidi="ar-SA"/>
                      <w:highlight w:val="none"/>
                    </w:rPr>
                    <w:t>。</w:t>
                  </w:r>
                </w:p>
              </w:tc>
            </w:tr>
            <w:tr>
              <w:trPr>
                <w:cantSplit/>
                <w:trHeight w:val="397"/>
              </w:trPr>
              <w:tc>
                <w:tcPr>
                  <w:tcW w:w="333" w:type="pct"/>
                  <w:vMerge/>
                  <w:tcBorders>
                    <w:tl2br w:val="nil"/>
                    <w:tr2bl w:val="nil"/>
                  </w:tcBorders>
                  <w:vAlign w:val="center"/>
                </w:tcPr>
                <w:p/>
              </w:tc>
              <w:tc>
                <w:tcPr>
                  <w:tcW w:w="607" w:type="pct"/>
                  <w:tcBorders>
                    <w:tl2br w:val="nil"/>
                    <w:tr2bl w:val="nil"/>
                  </w:tcBorders>
                  <w:vAlign w:val="center"/>
                </w:tcPr>
                <w:p>
                  <w:pPr>
                    <w:jc w:val="center"/>
                    <w:rPr>
                      <w:color w:val="auto"/>
                      <w:szCs w:val="21"/>
                      <w:highlight w:val="none"/>
                    </w:rPr>
                  </w:pPr>
                  <w:r>
                    <w:rPr>
                      <w:rFonts w:hint="eastAsia"/>
                      <w:color w:val="auto"/>
                      <w:szCs w:val="21"/>
                      <w:highlight w:val="none"/>
                    </w:rPr>
                    <w:t>供热及制冷</w:t>
                  </w:r>
                </w:p>
              </w:tc>
              <w:tc>
                <w:tcPr>
                  <w:tcW w:w="4058" w:type="pct"/>
                  <w:tcBorders>
                    <w:tl2br w:val="nil"/>
                    <w:tr2bl w:val="nil"/>
                  </w:tcBorders>
                  <w:vAlign w:val="center"/>
                </w:tcPr>
                <w:p>
                  <w:pPr>
                    <w:pStyle w:val="56"/>
                    <w:keepNext w:val="0"/>
                    <w:keepLines w:val="0"/>
                    <w:pageBreakBefore w:val="0"/>
                    <w:widowControl w:val="0"/>
                    <w:kinsoku/>
                    <w:wordWrap/>
                    <w:overflowPunct/>
                    <w:topLinePunct w:val="0"/>
                    <w:autoSpaceDE/>
                    <w:autoSpaceDN/>
                    <w:bidi w:val="0"/>
                    <w:adjustRightInd w:val="0"/>
                    <w:snapToGrid/>
                    <w:spacing w:line="240" w:lineRule="auto"/>
                    <w:ind w:left="0" w:firstLineChars="0" w:firstLine="0"/>
                    <w:rPr>
                      <w:rFonts w:ascii="Times New Roman" w:eastAsia="宋体" w:cs="Times New Roman" w:hAnsi="Times New Roman" w:hint="eastAsia"/>
                      <w:color w:val="auto"/>
                      <w:kern w:val="2"/>
                      <w:sz w:val="21"/>
                      <w:szCs w:val="21"/>
                      <w:lang w:val="en-US" w:eastAsia="zh-CN" w:bidi="ar-SA"/>
                      <w:highlight w:val="none"/>
                    </w:rPr>
                  </w:pPr>
                  <w:r>
                    <w:rPr>
                      <w:rFonts w:cs="Times New Roman" w:hint="eastAsia"/>
                      <w:color w:val="auto"/>
                      <w:kern w:val="2"/>
                      <w:sz w:val="21"/>
                      <w:szCs w:val="21"/>
                      <w:lang w:val="en-US" w:eastAsia="zh-CN" w:bidi="ar-SA"/>
                      <w:highlight w:val="none"/>
                    </w:rPr>
                    <w:t>废电池暂存过程无需供热及制冷；</w:t>
                  </w:r>
                  <w:r>
                    <w:rPr>
                      <w:rFonts w:ascii="Times New Roman" w:eastAsia="宋体" w:cs="Times New Roman" w:hAnsi="Times New Roman" w:hint="eastAsia"/>
                      <w:color w:val="auto"/>
                      <w:kern w:val="2"/>
                      <w:sz w:val="21"/>
                      <w:szCs w:val="21"/>
                      <w:lang w:val="en-US" w:eastAsia="zh-CN" w:bidi="ar-SA"/>
                      <w:highlight w:val="none"/>
                    </w:rPr>
                    <w:t>职工冬季采暖、夏季制冷均由空调提供。</w:t>
                  </w:r>
                </w:p>
              </w:tc>
            </w:tr>
            <w:tr>
              <w:trPr>
                <w:trHeight w:val="397"/>
              </w:trPr>
              <w:tc>
                <w:tcPr>
                  <w:tcW w:w="333" w:type="pct"/>
                  <w:vMerge w:val="restart"/>
                  <w:tcBorders>
                    <w:tl2br w:val="nil"/>
                    <w:tr2bl w:val="nil"/>
                  </w:tcBorders>
                  <w:vAlign w:val="center"/>
                </w:tcPr>
                <w:p>
                  <w:pPr>
                    <w:jc w:val="center"/>
                    <w:rPr>
                      <w:color w:val="auto"/>
                      <w:szCs w:val="21"/>
                      <w:highlight w:val="none"/>
                    </w:rPr>
                  </w:pPr>
                  <w:r>
                    <w:rPr>
                      <w:rFonts w:hint="eastAsia"/>
                      <w:color w:val="auto"/>
                      <w:szCs w:val="21"/>
                      <w:highlight w:val="none"/>
                    </w:rPr>
                    <w:t>环保工程</w:t>
                  </w:r>
                </w:p>
              </w:tc>
              <w:tc>
                <w:tcPr>
                  <w:tcW w:w="607" w:type="pct"/>
                  <w:tcBorders>
                    <w:tl2br w:val="nil"/>
                    <w:tr2bl w:val="nil"/>
                  </w:tcBorders>
                  <w:vAlign w:val="center"/>
                </w:tcPr>
                <w:p>
                  <w:pPr>
                    <w:jc w:val="center"/>
                    <w:rPr>
                      <w:color w:val="auto"/>
                      <w:szCs w:val="21"/>
                      <w:highlight w:val="none"/>
                    </w:rPr>
                  </w:pPr>
                  <w:r>
                    <w:rPr>
                      <w:rFonts w:hint="eastAsia"/>
                      <w:color w:val="auto"/>
                      <w:szCs w:val="21"/>
                      <w:highlight w:val="none"/>
                    </w:rPr>
                    <w:t>废气</w:t>
                  </w:r>
                </w:p>
              </w:tc>
              <w:tc>
                <w:tcPr>
                  <w:tcW w:w="4058" w:type="pct"/>
                  <w:tcBorders>
                    <w:tl2br w:val="nil"/>
                    <w:tr2bl w:val="nil"/>
                  </w:tcBorders>
                  <w:vAlign w:val="center"/>
                </w:tcPr>
                <w:p>
                  <w:pPr>
                    <w:pStyle w:val="65"/>
                    <w:keepNext w:val="0"/>
                    <w:keepLines w:val="0"/>
                    <w:pageBreakBefore w:val="0"/>
                    <w:widowControl w:val="0"/>
                    <w:kinsoku/>
                    <w:wordWrap/>
                    <w:overflowPunct/>
                    <w:topLinePunct w:val="0"/>
                    <w:autoSpaceDE/>
                    <w:autoSpaceDN/>
                    <w:bidi w:val="0"/>
                    <w:snapToGrid/>
                    <w:spacing w:line="240" w:lineRule="auto"/>
                    <w:contextualSpacing/>
                    <w:jc w:val="both"/>
                    <w:rPr>
                      <w:rFonts w:ascii="Times New Roman" w:eastAsia="Segoe UI" w:cs="Times New Roman" w:hAnsi="Times New Roman" w:hint="eastAsia"/>
                      <w:bCs w:val="0"/>
                      <w:i w:val="0"/>
                      <w:iCs w:val="0"/>
                      <w:caps w:val="0"/>
                      <w:smallCaps w:val="0"/>
                      <w:color w:val="auto"/>
                      <w:spacing w:val="0"/>
                      <w:kern w:val="0"/>
                      <w:sz w:val="21"/>
                      <w:szCs w:val="21"/>
                      <w:shd w:val="clear" w:color="auto" w:fill="FFFFFF"/>
                      <w:lang w:val="en-US" w:eastAsia="zh-CN" w:bidi="ar-SA"/>
                      <w:highlight w:val="none"/>
                    </w:rPr>
                  </w:pPr>
                  <w:r>
                    <w:rPr>
                      <w:rFonts w:hint="eastAsia"/>
                      <w:color w:val="auto"/>
                      <w:kern w:val="0"/>
                      <w:lang w:eastAsia="zh-CN"/>
                    </w:rPr>
                    <w:t>主要为废气风险防范措施，对非正常工况下产生的酸雾废气经负压收集后采用碱液喷淋设施处理后由1</w:t>
                  </w:r>
                  <w:r>
                    <w:rPr>
                      <w:color w:val="auto"/>
                      <w:kern w:val="0"/>
                      <w:lang w:eastAsia="zh-CN"/>
                    </w:rPr>
                    <w:t>5</w:t>
                  </w:r>
                  <w:r>
                    <w:rPr>
                      <w:rFonts w:hint="eastAsia"/>
                      <w:color w:val="auto"/>
                      <w:kern w:val="0"/>
                      <w:lang w:eastAsia="zh-CN"/>
                    </w:rPr>
                    <w:t>m高排气筒排放。</w:t>
                  </w:r>
                </w:p>
              </w:tc>
            </w:tr>
            <w:tr>
              <w:trPr>
                <w:cantSplit/>
                <w:trHeight w:val="397"/>
              </w:trPr>
              <w:tc>
                <w:tcPr>
                  <w:tcW w:w="333" w:type="pct"/>
                  <w:vMerge/>
                  <w:tcBorders>
                    <w:tl2br w:val="nil"/>
                    <w:tr2bl w:val="nil"/>
                  </w:tcBorders>
                  <w:vAlign w:val="center"/>
                </w:tcPr>
                <w:p/>
              </w:tc>
              <w:tc>
                <w:tcPr>
                  <w:tcW w:w="607" w:type="pct"/>
                  <w:tcBorders>
                    <w:tl2br w:val="nil"/>
                    <w:tr2bl w:val="nil"/>
                  </w:tcBorders>
                  <w:vAlign w:val="center"/>
                </w:tcPr>
                <w:p>
                  <w:pPr>
                    <w:jc w:val="center"/>
                    <w:rPr>
                      <w:color w:val="auto"/>
                      <w:sz w:val="21"/>
                      <w:szCs w:val="21"/>
                      <w:highlight w:val="none"/>
                    </w:rPr>
                  </w:pPr>
                  <w:r>
                    <w:rPr>
                      <w:rFonts w:hint="eastAsia"/>
                      <w:color w:val="auto"/>
                      <w:sz w:val="21"/>
                      <w:szCs w:val="21"/>
                      <w:highlight w:val="none"/>
                    </w:rPr>
                    <w:t>废水</w:t>
                  </w:r>
                </w:p>
              </w:tc>
              <w:tc>
                <w:tcPr>
                  <w:tcW w:w="4058" w:type="pct"/>
                  <w:tcBorders>
                    <w:tl2br w:val="nil"/>
                    <w:tr2bl w:val="nil"/>
                  </w:tcBorders>
                  <w:vAlign w:val="center"/>
                </w:tcPr>
                <w:p>
                  <w:pPr>
                    <w:pStyle w:val="56"/>
                    <w:keepNext w:val="0"/>
                    <w:keepLines w:val="0"/>
                    <w:pageBreakBefore w:val="0"/>
                    <w:widowControl w:val="0"/>
                    <w:kinsoku/>
                    <w:wordWrap/>
                    <w:overflowPunct/>
                    <w:topLinePunct w:val="0"/>
                    <w:autoSpaceDE/>
                    <w:autoSpaceDN/>
                    <w:bidi w:val="0"/>
                    <w:adjustRightInd w:val="0"/>
                    <w:snapToGrid/>
                    <w:spacing w:line="240" w:lineRule="auto"/>
                    <w:ind w:firstLineChars="0" w:firstLine="0"/>
                    <w:textAlignment w:val="baseline"/>
                    <w:rPr>
                      <w:rFonts w:ascii="Times New Roman" w:eastAsia="Segoe UI" w:cs="Times New Roman" w:hAnsi="Times New Roman"/>
                      <w:bCs w:val="0"/>
                      <w:i w:val="0"/>
                      <w:iCs w:val="0"/>
                      <w:caps w:val="0"/>
                      <w:smallCaps w:val="0"/>
                      <w:color w:val="auto"/>
                      <w:spacing w:val="0"/>
                      <w:kern w:val="0"/>
                      <w:sz w:val="21"/>
                      <w:szCs w:val="21"/>
                      <w:shd w:val="clear" w:color="auto" w:fill="FFFFFF"/>
                      <w:lang w:val="en-US" w:eastAsia="zh-CN" w:bidi="ar-SA"/>
                      <w:highlight w:val="none"/>
                    </w:rPr>
                  </w:pPr>
                  <w:r>
                    <w:rPr>
                      <w:rFonts w:ascii="Times New Roman" w:eastAsia="宋体" w:cs="Times New Roman" w:hAnsi="Times New Roman" w:hint="eastAsia"/>
                      <w:bCs/>
                      <w:color w:val="auto"/>
                      <w:kern w:val="0"/>
                      <w:sz w:val="21"/>
                      <w:szCs w:val="21"/>
                      <w:lang w:val="en-US" w:eastAsia="zh-CN" w:bidi="ar-SA"/>
                    </w:rPr>
                    <w:t>本项目碱液喷淋装置碱液循环使用，定期更换，</w:t>
                  </w:r>
                  <w:r>
                    <w:rPr>
                      <w:rFonts w:cs="Times New Roman" w:hint="eastAsia"/>
                      <w:bCs/>
                      <w:color w:val="auto"/>
                      <w:kern w:val="0"/>
                      <w:sz w:val="21"/>
                      <w:szCs w:val="21"/>
                      <w:lang w:val="en-US" w:eastAsia="zh-CN" w:bidi="ar-SA"/>
                    </w:rPr>
                    <w:t>废碱液</w:t>
                  </w:r>
                  <w:r>
                    <w:rPr>
                      <w:rFonts w:ascii="Times New Roman" w:eastAsia="宋体" w:cs="Times New Roman" w:hAnsi="Times New Roman" w:hint="eastAsia"/>
                      <w:bCs/>
                      <w:color w:val="auto"/>
                      <w:kern w:val="0"/>
                      <w:sz w:val="21"/>
                      <w:szCs w:val="21"/>
                      <w:lang w:val="en-US" w:eastAsia="zh-CN" w:bidi="ar-SA"/>
                    </w:rPr>
                    <w:t>交由有资质单位处置；</w:t>
                  </w:r>
                  <w:r>
                    <w:rPr>
                      <w:rFonts w:ascii="Times New Roman" w:eastAsia="宋体" w:cs="Times New Roman" w:hAnsi="Times New Roman"/>
                      <w:color w:val="auto"/>
                      <w:kern w:val="2"/>
                      <w:sz w:val="21"/>
                      <w:szCs w:val="21"/>
                      <w:lang w:val="en-US" w:eastAsia="zh-CN" w:bidi="ar-SA"/>
                      <w:highlight w:val="none"/>
                    </w:rPr>
                    <w:t>生活污水依托河北泽豪环保新材料科技有限公司化粪池处理后，</w:t>
                  </w:r>
                  <w:r>
                    <w:rPr>
                      <w:rFonts w:cs="Times New Roman" w:hint="eastAsia"/>
                      <w:color w:val="auto"/>
                      <w:kern w:val="2"/>
                      <w:sz w:val="21"/>
                      <w:szCs w:val="21"/>
                      <w:lang w:val="en-US" w:eastAsia="zh-CN" w:bidi="ar-SA"/>
                      <w:highlight w:val="none"/>
                    </w:rPr>
                    <w:t>定期清掏，不外排</w:t>
                  </w:r>
                  <w:r>
                    <w:rPr>
                      <w:rFonts w:ascii="Times New Roman" w:eastAsia="宋体" w:cs="Times New Roman" w:hAnsi="Times New Roman" w:hint="eastAsia"/>
                      <w:bCs/>
                      <w:color w:val="auto"/>
                      <w:kern w:val="0"/>
                      <w:sz w:val="21"/>
                      <w:szCs w:val="21"/>
                      <w:lang w:val="en-US" w:eastAsia="zh-CN" w:bidi="ar-SA"/>
                    </w:rPr>
                    <w:t>。</w:t>
                  </w:r>
                </w:p>
              </w:tc>
            </w:tr>
            <w:tr>
              <w:trPr>
                <w:cantSplit/>
                <w:trHeight w:val="397"/>
              </w:trPr>
              <w:tc>
                <w:tcPr>
                  <w:tcW w:w="333" w:type="pct"/>
                  <w:vMerge/>
                  <w:tcBorders>
                    <w:tl2br w:val="nil"/>
                    <w:tr2bl w:val="nil"/>
                  </w:tcBorders>
                  <w:vAlign w:val="center"/>
                </w:tcPr>
                <w:p/>
              </w:tc>
              <w:tc>
                <w:tcPr>
                  <w:tcW w:w="607" w:type="pct"/>
                  <w:tcBorders>
                    <w:tl2br w:val="nil"/>
                    <w:tr2bl w:val="nil"/>
                  </w:tcBorders>
                  <w:vAlign w:val="center"/>
                </w:tcPr>
                <w:p>
                  <w:pPr>
                    <w:jc w:val="center"/>
                    <w:rPr>
                      <w:color w:val="auto"/>
                      <w:szCs w:val="21"/>
                      <w:lang w:val="zh-CN"/>
                      <w:highlight w:val="none"/>
                    </w:rPr>
                  </w:pPr>
                  <w:r>
                    <w:rPr>
                      <w:rFonts w:hint="eastAsia"/>
                      <w:color w:val="auto"/>
                      <w:szCs w:val="21"/>
                      <w:lang w:val="zh-CN"/>
                      <w:highlight w:val="none"/>
                    </w:rPr>
                    <w:t>噪声</w:t>
                  </w:r>
                </w:p>
              </w:tc>
              <w:tc>
                <w:tcPr>
                  <w:tcW w:w="4058" w:type="pct"/>
                  <w:tcBorders>
                    <w:tl2br w:val="nil"/>
                    <w:tr2bl w:val="nil"/>
                  </w:tcBorders>
                  <w:vAlign w:val="center"/>
                </w:tcPr>
                <w:p>
                  <w:pPr>
                    <w:jc w:val="both"/>
                    <w:rPr>
                      <w:color w:val="auto"/>
                      <w:sz w:val="21"/>
                      <w:szCs w:val="21"/>
                      <w:lang w:val="zh-CN"/>
                      <w:highlight w:val="none"/>
                    </w:rPr>
                  </w:pPr>
                  <w:r>
                    <w:rPr>
                      <w:rFonts w:hint="eastAsia"/>
                      <w:color w:val="auto"/>
                      <w:sz w:val="21"/>
                      <w:szCs w:val="21"/>
                      <w:highlight w:val="none"/>
                    </w:rPr>
                    <w:t>设备</w:t>
                  </w:r>
                  <w:r>
                    <w:rPr>
                      <w:rFonts w:hint="eastAsia"/>
                      <w:color w:val="auto"/>
                      <w:sz w:val="21"/>
                      <w:szCs w:val="21"/>
                      <w:lang w:val="zh-CN"/>
                      <w:highlight w:val="none"/>
                    </w:rPr>
                    <w:t>选用低噪声设备，采取基础减振、</w:t>
                  </w:r>
                  <w:r>
                    <w:rPr>
                      <w:rFonts w:hint="eastAsia"/>
                      <w:color w:val="auto"/>
                      <w:sz w:val="21"/>
                      <w:szCs w:val="21"/>
                      <w:highlight w:val="none"/>
                    </w:rPr>
                    <w:t>建筑隔声、</w:t>
                  </w:r>
                  <w:r>
                    <w:rPr>
                      <w:rFonts w:hint="eastAsia"/>
                      <w:color w:val="auto"/>
                      <w:sz w:val="21"/>
                      <w:szCs w:val="21"/>
                      <w:lang w:val="zh-CN"/>
                      <w:highlight w:val="none"/>
                    </w:rPr>
                    <w:t>距离衰减等措施。</w:t>
                  </w:r>
                </w:p>
              </w:tc>
            </w:tr>
            <w:tr>
              <w:trPr>
                <w:cantSplit/>
                <w:trHeight w:val="397"/>
              </w:trPr>
              <w:tc>
                <w:tcPr>
                  <w:tcW w:w="333" w:type="pct"/>
                  <w:vMerge/>
                  <w:tcBorders>
                    <w:tl2br w:val="nil"/>
                    <w:tr2bl w:val="nil"/>
                  </w:tcBorders>
                  <w:vAlign w:val="center"/>
                </w:tcPr>
                <w:p/>
              </w:tc>
              <w:tc>
                <w:tcPr>
                  <w:tcW w:w="607" w:type="pct"/>
                  <w:tcBorders>
                    <w:tl2br w:val="nil"/>
                    <w:tr2bl w:val="nil"/>
                  </w:tcBorders>
                  <w:vAlign w:val="center"/>
                </w:tcPr>
                <w:p>
                  <w:pPr>
                    <w:jc w:val="center"/>
                    <w:rPr>
                      <w:color w:val="auto"/>
                      <w:sz w:val="21"/>
                      <w:szCs w:val="21"/>
                      <w:highlight w:val="none"/>
                    </w:rPr>
                  </w:pPr>
                  <w:r>
                    <w:rPr>
                      <w:rFonts w:hint="eastAsia"/>
                      <w:color w:val="auto"/>
                      <w:sz w:val="21"/>
                      <w:szCs w:val="21"/>
                      <w:highlight w:val="none"/>
                    </w:rPr>
                    <w:t>固废</w:t>
                  </w:r>
                </w:p>
              </w:tc>
              <w:tc>
                <w:tcPr>
                  <w:tcW w:w="4058" w:type="pct"/>
                  <w:tcBorders>
                    <w:tl2br w:val="nil"/>
                    <w:tr2bl w:val="nil"/>
                  </w:tcBorders>
                  <w:vAlign w:val="center"/>
                </w:tcPr>
                <w:p>
                  <w:pPr>
                    <w:rPr>
                      <w:color w:val="auto"/>
                      <w:sz w:val="21"/>
                      <w:szCs w:val="21"/>
                      <w:lang w:val="zh-CN"/>
                      <w:highlight w:val="none"/>
                    </w:rPr>
                  </w:pPr>
                  <w:r>
                    <w:rPr>
                      <w:rFonts w:hint="eastAsia"/>
                      <w:color w:val="auto"/>
                      <w:kern w:val="0"/>
                    </w:rPr>
                    <w:t>按危废暂存相关标准要求对</w:t>
                  </w:r>
                  <w:r>
                    <w:rPr>
                      <w:rFonts w:hint="eastAsia"/>
                      <w:color w:val="auto"/>
                      <w:kern w:val="0"/>
                      <w:lang w:val="en-US" w:eastAsia="zh-CN"/>
                    </w:rPr>
                    <w:t>库房</w:t>
                  </w:r>
                  <w:r>
                    <w:rPr>
                      <w:rStyle w:val="51"/>
                      <w:rFonts w:cs="Times New Roman" w:hint="eastAsia"/>
                      <w:color w:val="auto"/>
                      <w:lang w:val="en-US" w:eastAsia="zh-CN"/>
                    </w:rPr>
                    <w:t>暂存区</w:t>
                  </w:r>
                  <w:r>
                    <w:rPr>
                      <w:rFonts w:hint="eastAsia"/>
                      <w:color w:val="auto"/>
                      <w:kern w:val="0"/>
                    </w:rPr>
                    <w:t>进行改造</w:t>
                  </w:r>
                  <w:r>
                    <w:rPr>
                      <w:rFonts w:hint="eastAsia"/>
                      <w:color w:val="auto"/>
                      <w:kern w:val="0"/>
                      <w:highlight w:val="none"/>
                    </w:rPr>
                    <w:t>，</w:t>
                  </w:r>
                  <w:r>
                    <w:rPr>
                      <w:rFonts w:hint="eastAsia"/>
                      <w:color w:val="auto"/>
                      <w:kern w:val="0"/>
                      <w:lang w:eastAsia="zh-CN"/>
                      <w:highlight w:val="none"/>
                    </w:rPr>
                    <w:t>并设有</w:t>
                  </w:r>
                  <w:r>
                    <w:rPr>
                      <w:rFonts w:hint="eastAsia"/>
                      <w:color w:val="auto"/>
                      <w:kern w:val="0"/>
                      <w:lang w:val="en-US" w:eastAsia="zh-CN"/>
                      <w:highlight w:val="none"/>
                    </w:rPr>
                    <w:t>1个废液收集池，内置PE桶</w:t>
                  </w:r>
                  <w:r>
                    <w:rPr>
                      <w:rFonts w:hint="eastAsia"/>
                      <w:color w:val="auto"/>
                      <w:kern w:val="0"/>
                      <w:lang w:eastAsia="zh-CN"/>
                      <w:highlight w:val="none"/>
                    </w:rPr>
                    <w:t>。破损电池放置于单独的贮存间内，</w:t>
                  </w:r>
                  <w:r>
                    <w:rPr>
                      <w:rFonts w:ascii="Times New Roman" w:eastAsia="Segoe UI" w:cs="Times New Roman" w:hAnsi="Times New Roman" w:hint="eastAsia"/>
                      <w:b w:val="0"/>
                      <w:bCs w:val="0"/>
                      <w:i w:val="0"/>
                      <w:iCs w:val="0"/>
                      <w:caps w:val="0"/>
                      <w:smallCaps w:val="0"/>
                      <w:color w:val="auto"/>
                      <w:spacing w:val="0"/>
                      <w:kern w:val="0"/>
                      <w:sz w:val="21"/>
                      <w:szCs w:val="21"/>
                      <w:shd w:val="clear" w:color="auto" w:fill="FFFFFF"/>
                      <w:lang w:val="en-US" w:eastAsia="zh-CN" w:bidi="ar-SA"/>
                      <w:highlight w:val="none"/>
                    </w:rPr>
                    <w:t>废</w:t>
                  </w:r>
                  <w:r>
                    <w:rPr>
                      <w:rFonts w:eastAsia="Segoe UI" w:cs="Times New Roman" w:hint="eastAsia"/>
                      <w:b w:val="0"/>
                      <w:bCs w:val="0"/>
                      <w:i w:val="0"/>
                      <w:iCs w:val="0"/>
                      <w:caps w:val="0"/>
                      <w:smallCaps w:val="0"/>
                      <w:color w:val="auto"/>
                      <w:spacing w:val="0"/>
                      <w:kern w:val="0"/>
                      <w:sz w:val="21"/>
                      <w:szCs w:val="21"/>
                      <w:shd w:val="clear" w:color="auto" w:fill="FFFFFF"/>
                      <w:lang w:val="en-US" w:eastAsia="zh-CN" w:bidi="ar-SA"/>
                      <w:highlight w:val="none"/>
                    </w:rPr>
                    <w:t>电解液、废碱液、</w:t>
                  </w:r>
                  <w:r>
                    <w:rPr>
                      <w:rFonts w:hint="eastAsia"/>
                      <w:color w:val="auto"/>
                      <w:sz w:val="21"/>
                      <w:szCs w:val="21"/>
                      <w:lang w:eastAsia="zh-CN"/>
                      <w:highlight w:val="none"/>
                    </w:rPr>
                    <w:t>废防护用具等置于独立的危废间，全部交由有资质单位处置。生活垃圾由环卫部门统一清运处理。</w:t>
                  </w:r>
                </w:p>
              </w:tc>
            </w:tr>
            <w:tr>
              <w:trPr>
                <w:cantSplit/>
                <w:trHeight w:val="397"/>
              </w:trPr>
              <w:tc>
                <w:tcPr>
                  <w:tcW w:w="333" w:type="pct"/>
                  <w:tcBorders>
                    <w:tl2br w:val="nil"/>
                    <w:tr2bl w:val="nil"/>
                  </w:tcBorders>
                  <w:vAlign w:val="center"/>
                </w:tcPr>
                <w:p>
                  <w:pPr>
                    <w:jc w:val="center"/>
                    <w:rPr>
                      <w:color w:val="auto"/>
                      <w:szCs w:val="21"/>
                      <w:highlight w:val="none"/>
                    </w:rPr>
                  </w:pPr>
                </w:p>
              </w:tc>
              <w:tc>
                <w:tcPr>
                  <w:tcW w:w="607" w:type="pct"/>
                  <w:tcBorders>
                    <w:tl2br w:val="nil"/>
                    <w:tr2bl w:val="nil"/>
                  </w:tcBorders>
                  <w:vAlign w:val="center"/>
                </w:tcPr>
                <w:p>
                  <w:pPr>
                    <w:jc w:val="center"/>
                    <w:rPr>
                      <w:rFonts w:eastAsia="宋体" w:hint="eastAsia"/>
                      <w:color w:val="auto"/>
                      <w:sz w:val="21"/>
                      <w:szCs w:val="21"/>
                      <w:lang w:eastAsia="zh-CN"/>
                      <w:highlight w:val="none"/>
                    </w:rPr>
                  </w:pPr>
                  <w:r>
                    <w:rPr>
                      <w:rFonts w:hint="eastAsia"/>
                      <w:color w:val="auto"/>
                      <w:sz w:val="21"/>
                      <w:szCs w:val="21"/>
                      <w:lang w:eastAsia="zh-CN"/>
                      <w:highlight w:val="none"/>
                    </w:rPr>
                    <w:t>管理</w:t>
                  </w:r>
                </w:p>
              </w:tc>
              <w:tc>
                <w:tcPr>
                  <w:tcW w:w="4058" w:type="pct"/>
                  <w:tcBorders>
                    <w:tl2br w:val="nil"/>
                    <w:tr2bl w:val="nil"/>
                  </w:tcBorders>
                  <w:vAlign w:val="center"/>
                </w:tcPr>
                <w:p>
                  <w:pPr>
                    <w:rPr>
                      <w:rFonts w:hint="eastAsia"/>
                      <w:color w:val="auto"/>
                      <w:kern w:val="0"/>
                    </w:rPr>
                  </w:pPr>
                  <w:r>
                    <w:rPr>
                      <w:rFonts w:hint="eastAsia"/>
                      <w:color w:val="auto"/>
                      <w:kern w:val="0"/>
                    </w:rPr>
                    <w:t>企业要建立危险废物经营情况记录簿，详细记录每日接收、贮存、利用、处置废铅蓄电池的类别、来源、重量、工况运行及环境监测等情况。危险废物经营情况记录簿要保存10年以上。</w:t>
                  </w:r>
                </w:p>
              </w:tc>
            </w:tr>
          </w:tbl>
          <w:p>
            <w:pPr>
              <w:keepNext w:val="0"/>
              <w:keepLines w:val="0"/>
              <w:pageBreakBefore w:val="0"/>
              <w:widowControl w:val="0"/>
              <w:kinsoku/>
              <w:wordWrap/>
              <w:overflowPunct/>
              <w:topLinePunct w:val="0"/>
              <w:autoSpaceDE/>
              <w:autoSpaceDN/>
              <w:bidi w:val="0"/>
              <w:adjustRightInd/>
              <w:snapToGrid/>
              <w:spacing w:line="460" w:lineRule="exact"/>
              <w:ind w:firstLineChars="200" w:firstLine="480"/>
              <w:textAlignment w:val="auto"/>
              <w:rPr>
                <w:rFonts w:eastAsia="宋体" w:hint="eastAsia"/>
                <w:b/>
                <w:bCs/>
                <w:color w:val="auto"/>
                <w:sz w:val="24"/>
                <w:lang w:eastAsia="zh-CN"/>
                <w:highlight w:val="none"/>
              </w:rPr>
            </w:pPr>
            <w:r>
              <w:rPr>
                <w:rFonts w:hint="eastAsia"/>
                <w:b/>
                <w:bCs/>
                <w:color w:val="auto"/>
                <w:sz w:val="24"/>
                <w:lang w:val="en-US" w:eastAsia="zh-CN"/>
                <w:highlight w:val="none"/>
              </w:rPr>
              <w:t>4</w:t>
            </w:r>
            <w:r>
              <w:rPr>
                <w:rFonts w:hint="eastAsia"/>
                <w:b/>
                <w:bCs/>
                <w:color w:val="auto"/>
                <w:sz w:val="24"/>
                <w:highlight w:val="none"/>
              </w:rPr>
              <w:t>、</w:t>
            </w:r>
            <w:r>
              <w:rPr>
                <w:rFonts w:hint="eastAsia"/>
                <w:b/>
                <w:bCs/>
                <w:color w:val="auto"/>
                <w:sz w:val="24"/>
                <w:lang w:eastAsia="zh-CN"/>
                <w:highlight w:val="none"/>
              </w:rPr>
              <w:t>贮存方案</w:t>
            </w:r>
          </w:p>
          <w:p>
            <w:pPr>
              <w:keepNext w:val="0"/>
              <w:keepLines w:val="0"/>
              <w:pageBreakBefore w:val="0"/>
              <w:widowControl w:val="0"/>
              <w:kinsoku/>
              <w:wordWrap/>
              <w:overflowPunct/>
              <w:topLinePunct w:val="0"/>
              <w:autoSpaceDE/>
              <w:autoSpaceDN/>
              <w:bidi w:val="0"/>
              <w:adjustRightInd/>
              <w:snapToGrid/>
              <w:spacing w:line="460" w:lineRule="exact"/>
              <w:ind w:firstLineChars="200" w:firstLine="480"/>
              <w:textAlignment w:val="auto"/>
              <w:rPr>
                <w:rFonts w:hint="eastAsia"/>
                <w:color w:val="auto"/>
                <w:sz w:val="24"/>
                <w:highlight w:val="none"/>
              </w:rPr>
            </w:pPr>
            <w:r>
              <w:rPr>
                <w:rFonts w:hint="eastAsia"/>
                <w:color w:val="auto"/>
                <w:sz w:val="24"/>
                <w:highlight w:val="none"/>
              </w:rPr>
              <w:t>项目</w:t>
            </w:r>
            <w:r>
              <w:rPr>
                <w:rFonts w:hint="eastAsia"/>
                <w:color w:val="auto"/>
                <w:sz w:val="24"/>
                <w:lang w:val="en-US" w:eastAsia="zh-CN"/>
                <w:highlight w:val="none"/>
              </w:rPr>
              <w:t>贮存方案</w:t>
            </w:r>
            <w:r>
              <w:rPr>
                <w:rFonts w:hint="eastAsia"/>
                <w:color w:val="auto"/>
                <w:sz w:val="24"/>
                <w:highlight w:val="none"/>
              </w:rPr>
              <w:t>见表2-2。</w:t>
            </w:r>
          </w:p>
          <w:p>
            <w:pPr>
              <w:jc w:val="center"/>
              <w:rPr>
                <w:b/>
                <w:bCs/>
                <w:color w:val="auto"/>
                <w:sz w:val="24"/>
                <w:highlight w:val="none"/>
              </w:rPr>
            </w:pPr>
            <w:bookmarkStart w:id="38" w:name="_Hlk180481875"/>
            <w:r>
              <w:rPr>
                <w:b/>
                <w:bCs/>
                <w:color w:val="auto"/>
                <w:sz w:val="24"/>
                <w:highlight w:val="none"/>
              </w:rPr>
              <w:t xml:space="preserve">表2-2  </w:t>
            </w:r>
            <w:r>
              <w:rPr>
                <w:rFonts w:hint="eastAsia"/>
                <w:b/>
                <w:bCs/>
                <w:color w:val="auto"/>
                <w:sz w:val="24"/>
                <w:highlight w:val="none"/>
              </w:rPr>
              <w:t>项目</w:t>
            </w:r>
            <w:r>
              <w:rPr>
                <w:rFonts w:hint="eastAsia"/>
                <w:b/>
                <w:bCs/>
                <w:color w:val="auto"/>
                <w:sz w:val="24"/>
                <w:lang w:val="en-US" w:eastAsia="zh-CN"/>
                <w:highlight w:val="none"/>
              </w:rPr>
              <w:t>废电池贮存方案</w:t>
            </w:r>
            <w:r>
              <w:rPr>
                <w:b/>
                <w:bCs/>
                <w:color w:val="auto"/>
                <w:sz w:val="24"/>
                <w:highlight w:val="none"/>
              </w:rPr>
              <w:t>一览表</w:t>
            </w:r>
          </w:p>
          <w:tbl>
            <w:tblPr>
              <w:jc w:val="center"/>
              <w:tblW w:w="4997" w:type="pct"/>
              <w:tblBorders>
                <w:top w:val="single" w:sz="12" w:space="0" w:color="auto"/>
                <w:left w:val="none" w:sz="0" w:space="0" w:color="auto"/>
                <w:bottom w:val="single" w:sz="12" w:space="0" w:color="auto"/>
                <w:right w:val="none" w:sz="0" w:space="0" w:color="auto"/>
                <w:insideH w:val="single" w:sz="4" w:space="0" w:color="auto"/>
                <w:insideV w:val="single" w:sz="4" w:space="0" w:color="auto"/>
              </w:tblBorders>
              <w:tblCellMar>
                <w:top w:w="0" w:type="dxa"/>
                <w:left w:w="108" w:type="dxa"/>
                <w:bottom w:w="0" w:type="dxa"/>
                <w:right w:w="108" w:type="dxa"/>
              </w:tblCellMar>
              <w:tblLook w:val="0600" w:firstRow="0" w:lastRow="0" w:firstColumn="0" w:lastColumn="0" w:noHBand="1" w:noVBand="1"/>
            </w:tblPr>
            <w:tblGrid>
              <w:gridCol w:w="814"/>
              <w:gridCol w:w="1363"/>
              <w:gridCol w:w="1188"/>
              <w:gridCol w:w="1023"/>
              <w:gridCol w:w="1089"/>
              <w:gridCol w:w="1188"/>
              <w:gridCol w:w="1434"/>
            </w:tblGrid>
            <w:tr>
              <w:trPr>
                <w:trHeight w:val="397"/>
              </w:trPr>
              <w:tc>
                <w:tcPr>
                  <w:tcW w:w="502" w:type="pct"/>
                  <w:tcBorders>
                    <w:tl2br w:val="nil"/>
                    <w:tr2bl w:val="nil"/>
                  </w:tcBorders>
                  <w:vAlign w:val="center"/>
                </w:tcPr>
                <w:p>
                  <w:pPr>
                    <w:jc w:val="center"/>
                    <w:rPr>
                      <w:rFonts w:ascii="Times New Roman" w:eastAsia="宋体" w:cs="Times New Roman" w:hAnsi="Times New Roman" w:hint="eastAsia"/>
                      <w:b/>
                      <w:bCs/>
                      <w:color w:val="auto"/>
                      <w:szCs w:val="21"/>
                      <w:lang w:eastAsia="zh-CN"/>
                      <w:highlight w:val="none"/>
                    </w:rPr>
                  </w:pPr>
                  <w:bookmarkStart w:id="39" w:name="_Hlk161671440"/>
                  <w:r>
                    <w:rPr>
                      <w:rFonts w:cs="Times New Roman" w:hint="eastAsia"/>
                      <w:b/>
                      <w:bCs/>
                      <w:color w:val="auto"/>
                      <w:szCs w:val="21"/>
                      <w:lang w:eastAsia="zh-CN"/>
                      <w:highlight w:val="none"/>
                    </w:rPr>
                    <w:t>电池种类</w:t>
                  </w:r>
                </w:p>
              </w:tc>
              <w:tc>
                <w:tcPr>
                  <w:tcW w:w="841" w:type="pct"/>
                  <w:tcBorders>
                    <w:tl2br w:val="nil"/>
                    <w:tr2bl w:val="nil"/>
                  </w:tcBorders>
                  <w:vAlign w:val="center"/>
                </w:tcPr>
                <w:p>
                  <w:pPr>
                    <w:jc w:val="center"/>
                    <w:rPr>
                      <w:rFonts w:ascii="Times New Roman" w:eastAsia="宋体" w:cs="Times New Roman" w:hAnsi="Times New Roman"/>
                      <w:b/>
                      <w:bCs/>
                      <w:color w:val="auto"/>
                      <w:szCs w:val="21"/>
                      <w:lang w:val="en-US" w:eastAsia="zh-CN"/>
                      <w:highlight w:val="none"/>
                    </w:rPr>
                  </w:pPr>
                  <w:r>
                    <w:rPr>
                      <w:rFonts w:cs="Times New Roman" w:hint="eastAsia"/>
                      <w:b/>
                      <w:bCs/>
                      <w:color w:val="auto"/>
                      <w:szCs w:val="21"/>
                      <w:lang w:val="en-US" w:eastAsia="zh-CN"/>
                      <w:highlight w:val="none"/>
                    </w:rPr>
                    <w:t>来源</w:t>
                  </w:r>
                </w:p>
              </w:tc>
              <w:tc>
                <w:tcPr>
                  <w:tcW w:w="733" w:type="pct"/>
                  <w:tcBorders>
                    <w:tl2br w:val="nil"/>
                    <w:tr2bl w:val="nil"/>
                  </w:tcBorders>
                  <w:vAlign w:val="center"/>
                </w:tcPr>
                <w:p>
                  <w:pPr>
                    <w:jc w:val="center"/>
                    <w:rPr>
                      <w:rFonts w:cs="Times New Roman"/>
                      <w:b/>
                      <w:bCs/>
                      <w:color w:val="auto"/>
                      <w:szCs w:val="21"/>
                      <w:lang w:val="en-US" w:eastAsia="zh-CN"/>
                      <w:highlight w:val="none"/>
                    </w:rPr>
                  </w:pPr>
                  <w:r>
                    <w:rPr>
                      <w:rFonts w:cs="Times New Roman" w:hint="eastAsia"/>
                      <w:b/>
                      <w:bCs/>
                      <w:color w:val="auto"/>
                      <w:szCs w:val="21"/>
                      <w:lang w:val="en-US" w:eastAsia="zh-CN"/>
                      <w:highlight w:val="none"/>
                    </w:rPr>
                    <w:t>库房最大贮存（t/d）</w:t>
                  </w:r>
                </w:p>
              </w:tc>
              <w:tc>
                <w:tcPr>
                  <w:tcW w:w="631" w:type="pct"/>
                  <w:tcBorders>
                    <w:tl2br w:val="nil"/>
                    <w:tr2bl w:val="nil"/>
                  </w:tcBorders>
                  <w:vAlign w:val="center"/>
                </w:tcPr>
                <w:p>
                  <w:pPr>
                    <w:jc w:val="center"/>
                    <w:rPr>
                      <w:rFonts w:ascii="Times New Roman" w:eastAsia="宋体" w:cs="Times New Roman" w:hAnsi="Times New Roman" w:hint="eastAsia"/>
                      <w:b/>
                      <w:bCs/>
                      <w:color w:val="auto"/>
                      <w:szCs w:val="21"/>
                      <w:lang w:eastAsia="zh-CN"/>
                      <w:highlight w:val="none"/>
                    </w:rPr>
                  </w:pPr>
                  <w:r>
                    <w:rPr>
                      <w:rFonts w:cs="Times New Roman" w:hint="eastAsia"/>
                      <w:b/>
                      <w:bCs/>
                      <w:color w:val="auto"/>
                      <w:szCs w:val="21"/>
                      <w:lang w:val="en-US" w:eastAsia="zh-CN"/>
                      <w:highlight w:val="none"/>
                    </w:rPr>
                    <w:t>周转周期（天）</w:t>
                  </w:r>
                </w:p>
              </w:tc>
              <w:tc>
                <w:tcPr>
                  <w:tcW w:w="672" w:type="pct"/>
                  <w:tcBorders>
                    <w:tl2br w:val="nil"/>
                    <w:tr2bl w:val="nil"/>
                  </w:tcBorders>
                  <w:vAlign w:val="center"/>
                </w:tcPr>
                <w:p>
                  <w:pPr>
                    <w:jc w:val="center"/>
                    <w:rPr>
                      <w:rFonts w:cs="Times New Roman"/>
                      <w:b/>
                      <w:bCs/>
                      <w:color w:val="auto"/>
                      <w:szCs w:val="21"/>
                      <w:lang w:val="en-US" w:eastAsia="zh-CN"/>
                      <w:highlight w:val="none"/>
                    </w:rPr>
                  </w:pPr>
                  <w:r>
                    <w:rPr>
                      <w:rFonts w:cs="Times New Roman" w:hint="eastAsia"/>
                      <w:b/>
                      <w:bCs/>
                      <w:color w:val="auto"/>
                      <w:szCs w:val="21"/>
                      <w:lang w:val="en-US" w:eastAsia="zh-CN"/>
                      <w:highlight w:val="none"/>
                    </w:rPr>
                    <w:t>年中转能力（t/a）</w:t>
                  </w:r>
                </w:p>
              </w:tc>
              <w:tc>
                <w:tcPr>
                  <w:tcW w:w="733" w:type="pct"/>
                  <w:tcBorders>
                    <w:tl2br w:val="nil"/>
                    <w:tr2bl w:val="nil"/>
                  </w:tcBorders>
                  <w:vAlign w:val="center"/>
                </w:tcPr>
                <w:p>
                  <w:pPr>
                    <w:jc w:val="center"/>
                    <w:rPr>
                      <w:rFonts w:cs="Times New Roman" w:hint="eastAsia"/>
                      <w:b/>
                      <w:bCs/>
                      <w:color w:val="auto"/>
                      <w:szCs w:val="21"/>
                      <w:lang w:val="en-US" w:eastAsia="zh-CN"/>
                      <w:highlight w:val="none"/>
                    </w:rPr>
                  </w:pPr>
                  <w:r>
                    <w:rPr>
                      <w:rFonts w:cs="Times New Roman" w:hint="eastAsia"/>
                      <w:b/>
                      <w:bCs/>
                      <w:color w:val="auto"/>
                      <w:szCs w:val="21"/>
                      <w:lang w:val="en-US" w:eastAsia="zh-CN"/>
                      <w:highlight w:val="none"/>
                    </w:rPr>
                    <w:t>废物类别及代码</w:t>
                  </w:r>
                </w:p>
              </w:tc>
              <w:tc>
                <w:tcPr>
                  <w:tcW w:w="885" w:type="pct"/>
                  <w:tcBorders>
                    <w:tl2br w:val="nil"/>
                    <w:tr2bl w:val="nil"/>
                  </w:tcBorders>
                  <w:vAlign w:val="center"/>
                </w:tcPr>
                <w:p>
                  <w:pPr>
                    <w:jc w:val="center"/>
                    <w:rPr>
                      <w:rFonts w:cs="Times New Roman" w:hint="eastAsia"/>
                      <w:b/>
                      <w:bCs/>
                      <w:color w:val="auto"/>
                      <w:szCs w:val="21"/>
                      <w:lang w:val="en-US" w:eastAsia="zh-CN"/>
                      <w:highlight w:val="none"/>
                    </w:rPr>
                  </w:pPr>
                  <w:r>
                    <w:rPr>
                      <w:rFonts w:cs="Times New Roman" w:hint="eastAsia"/>
                      <w:b/>
                      <w:bCs/>
                      <w:color w:val="auto"/>
                      <w:szCs w:val="21"/>
                      <w:lang w:val="en-US" w:eastAsia="zh-CN"/>
                      <w:highlight w:val="none"/>
                    </w:rPr>
                    <w:t>备注</w:t>
                  </w:r>
                </w:p>
              </w:tc>
            </w:tr>
            <w:tr>
              <w:trPr>
                <w:trHeight w:val="397"/>
              </w:trPr>
              <w:tc>
                <w:tcPr>
                  <w:tcW w:w="502" w:type="pct"/>
                  <w:tcBorders>
                    <w:tl2br w:val="nil"/>
                    <w:tr2bl w:val="nil"/>
                  </w:tcBorders>
                  <w:vAlign w:val="center"/>
                </w:tcPr>
                <w:p>
                  <w:pPr>
                    <w:jc w:val="center"/>
                    <w:rPr>
                      <w:rFonts w:eastAsia="宋体" w:hint="eastAsia"/>
                      <w:color w:val="auto"/>
                      <w:szCs w:val="21"/>
                      <w:lang w:val="en-US" w:eastAsia="zh-CN"/>
                      <w:highlight w:val="none"/>
                    </w:rPr>
                  </w:pPr>
                  <w:r>
                    <w:rPr>
                      <w:rFonts w:hint="eastAsia"/>
                      <w:color w:val="auto"/>
                      <w:szCs w:val="21"/>
                      <w:lang w:val="en-US" w:eastAsia="zh-CN"/>
                      <w:highlight w:val="none"/>
                    </w:rPr>
                    <w:t>废铅蓄电池</w:t>
                  </w:r>
                </w:p>
              </w:tc>
              <w:tc>
                <w:tcPr>
                  <w:tcW w:w="841" w:type="pct"/>
                  <w:tcBorders>
                    <w:tl2br w:val="nil"/>
                    <w:tr2bl w:val="nil"/>
                  </w:tcBorders>
                  <w:vAlign w:val="center"/>
                </w:tcPr>
                <w:p>
                  <w:pPr>
                    <w:jc w:val="center"/>
                    <w:rPr>
                      <w:rFonts w:hint="eastAsia"/>
                      <w:color w:val="auto"/>
                      <w:szCs w:val="21"/>
                      <w:lang w:val="en-US" w:eastAsia="zh-CN"/>
                      <w:highlight w:val="none"/>
                    </w:rPr>
                  </w:pPr>
                  <w:r>
                    <w:rPr>
                      <w:rFonts w:hint="eastAsia"/>
                      <w:color w:val="auto"/>
                      <w:szCs w:val="21"/>
                      <w:lang w:val="en-US" w:eastAsia="zh-CN"/>
                      <w:highlight w:val="none"/>
                    </w:rPr>
                    <w:t>园区、医院、机关单位等部门</w:t>
                  </w:r>
                </w:p>
              </w:tc>
              <w:tc>
                <w:tcPr>
                  <w:tcW w:w="733" w:type="pct"/>
                  <w:tcBorders>
                    <w:tl2br w:val="nil"/>
                    <w:tr2bl w:val="nil"/>
                  </w:tcBorders>
                  <w:vAlign w:val="center"/>
                </w:tcPr>
                <w:p>
                  <w:pPr>
                    <w:jc w:val="center"/>
                    <w:rPr>
                      <w:color w:val="auto"/>
                      <w:szCs w:val="21"/>
                      <w:lang w:val="en-US" w:eastAsia="zh-CN"/>
                      <w:highlight w:val="none"/>
                    </w:rPr>
                  </w:pPr>
                  <w:r>
                    <w:rPr>
                      <w:rFonts w:hint="eastAsia"/>
                      <w:color w:val="auto"/>
                      <w:szCs w:val="21"/>
                      <w:lang w:val="en-US" w:eastAsia="zh-CN"/>
                      <w:highlight w:val="none"/>
                    </w:rPr>
                    <w:t>100</w:t>
                  </w:r>
                </w:p>
              </w:tc>
              <w:tc>
                <w:tcPr>
                  <w:tcW w:w="631" w:type="pct"/>
                  <w:tcBorders>
                    <w:tl2br w:val="nil"/>
                    <w:tr2bl w:val="nil"/>
                  </w:tcBorders>
                  <w:vAlign w:val="center"/>
                </w:tcPr>
                <w:p>
                  <w:pPr>
                    <w:jc w:val="center"/>
                    <w:rPr>
                      <w:rFonts w:ascii="Times New Roman" w:eastAsia="宋体" w:cs="Times New Roman" w:hAnsi="Times New Roman"/>
                      <w:color w:val="auto"/>
                      <w:szCs w:val="21"/>
                      <w:lang w:val="en-US" w:eastAsia="zh-CN"/>
                      <w:highlight w:val="none"/>
                    </w:rPr>
                  </w:pPr>
                  <w:r>
                    <w:rPr>
                      <w:rFonts w:cs="Times New Roman" w:hint="eastAsia"/>
                      <w:color w:val="auto"/>
                      <w:szCs w:val="21"/>
                      <w:lang w:val="en-US" w:eastAsia="zh-CN"/>
                      <w:highlight w:val="none"/>
                    </w:rPr>
                    <w:t>5</w:t>
                  </w:r>
                </w:p>
              </w:tc>
              <w:tc>
                <w:tcPr>
                  <w:tcW w:w="672" w:type="pct"/>
                  <w:tcBorders>
                    <w:tl2br w:val="nil"/>
                    <w:tr2bl w:val="nil"/>
                  </w:tcBorders>
                  <w:vAlign w:val="center"/>
                </w:tcPr>
                <w:p>
                  <w:pPr>
                    <w:jc w:val="center"/>
                    <w:rPr>
                      <w:rFonts w:ascii="Times New Roman" w:eastAsia="宋体" w:cs="Times New Roman" w:hAnsi="Times New Roman"/>
                      <w:color w:val="auto"/>
                      <w:szCs w:val="21"/>
                      <w:lang w:val="en-US" w:eastAsia="zh-CN"/>
                      <w:highlight w:val="none"/>
                    </w:rPr>
                  </w:pPr>
                  <w:r>
                    <w:rPr>
                      <w:rFonts w:cs="Times New Roman" w:hint="eastAsia"/>
                      <w:color w:val="auto"/>
                      <w:szCs w:val="21"/>
                      <w:lang w:val="en-US" w:eastAsia="zh-CN"/>
                      <w:highlight w:val="none"/>
                    </w:rPr>
                    <w:t>6000</w:t>
                  </w:r>
                </w:p>
              </w:tc>
              <w:tc>
                <w:tcPr>
                  <w:tcW w:w="733" w:type="pct"/>
                  <w:tcBorders>
                    <w:tl2br w:val="nil"/>
                    <w:tr2bl w:val="nil"/>
                  </w:tcBorders>
                  <w:vAlign w:val="center"/>
                </w:tcPr>
                <w:p>
                  <w:pPr>
                    <w:jc w:val="center"/>
                    <w:rPr>
                      <w:rFonts w:ascii="Times New Roman" w:eastAsia="宋体" w:cs="Times New Roman" w:hAnsi="Times New Roman" w:hint="eastAsia"/>
                      <w:color w:val="auto"/>
                      <w:szCs w:val="21"/>
                      <w:lang w:val="en-US" w:eastAsia="zh-CN"/>
                      <w:highlight w:val="none"/>
                    </w:rPr>
                  </w:pPr>
                  <w:r>
                    <w:rPr>
                      <w:rFonts w:ascii="Times New Roman" w:eastAsia="宋体" w:cs="Times New Roman" w:hAnsi="Times New Roman" w:hint="eastAsia"/>
                      <w:color w:val="auto"/>
                      <w:szCs w:val="21"/>
                      <w:lang w:val="en-US" w:eastAsia="zh-CN"/>
                      <w:highlight w:val="none"/>
                    </w:rPr>
                    <w:t>HW31</w:t>
                  </w:r>
                  <w:r>
                    <w:rPr>
                      <w:rFonts w:cs="Times New Roman" w:hint="eastAsia"/>
                      <w:color w:val="auto"/>
                      <w:szCs w:val="21"/>
                      <w:lang w:val="en-US" w:eastAsia="zh-CN"/>
                      <w:highlight w:val="none"/>
                    </w:rPr>
                    <w:t xml:space="preserve"> </w:t>
                  </w:r>
                  <w:r>
                    <w:rPr>
                      <w:rFonts w:ascii="Times New Roman" w:eastAsia="宋体" w:cs="Times New Roman" w:hAnsi="Times New Roman" w:hint="eastAsia"/>
                      <w:color w:val="auto"/>
                      <w:szCs w:val="21"/>
                      <w:lang w:val="en-US" w:eastAsia="zh-CN"/>
                      <w:highlight w:val="none"/>
                    </w:rPr>
                    <w:t>900-052-31</w:t>
                  </w:r>
                </w:p>
              </w:tc>
              <w:tc>
                <w:tcPr>
                  <w:tcW w:w="885" w:type="pct"/>
                  <w:tcBorders>
                    <w:tl2br w:val="nil"/>
                    <w:tr2bl w:val="nil"/>
                  </w:tcBorders>
                  <w:vAlign w:val="center"/>
                </w:tcPr>
                <w:p>
                  <w:pPr>
                    <w:jc w:val="center"/>
                    <w:rPr>
                      <w:rFonts w:ascii="Times New Roman" w:eastAsia="宋体" w:cs="Times New Roman" w:hAnsi="Times New Roman" w:hint="eastAsia"/>
                      <w:color w:val="auto"/>
                      <w:szCs w:val="21"/>
                      <w:lang w:val="en-US" w:eastAsia="zh-CN"/>
                      <w:highlight w:val="none"/>
                    </w:rPr>
                  </w:pPr>
                  <w:r>
                    <w:rPr>
                      <w:rFonts w:cs="Times New Roman" w:hint="eastAsia"/>
                      <w:color w:val="auto"/>
                      <w:szCs w:val="21"/>
                      <w:lang w:val="en-US" w:eastAsia="zh-CN"/>
                      <w:highlight w:val="none"/>
                    </w:rPr>
                    <w:t>仅涉及贮存，不涉及运输、拆解、利用等</w:t>
                  </w:r>
                </w:p>
              </w:tc>
            </w:tr>
          </w:tbl>
          <w:p>
            <w:pPr>
              <w:keepNext w:val="0"/>
              <w:keepLines w:val="0"/>
              <w:pageBreakBefore w:val="0"/>
              <w:widowControl w:val="0"/>
              <w:kinsoku/>
              <w:wordWrap/>
              <w:overflowPunct/>
              <w:topLinePunct w:val="0"/>
              <w:autoSpaceDE/>
              <w:autoSpaceDN/>
              <w:bidi w:val="0"/>
              <w:adjustRightInd/>
              <w:snapToGrid/>
              <w:spacing w:line="460" w:lineRule="exact"/>
              <w:ind w:firstLineChars="200" w:firstLine="480"/>
              <w:textAlignment w:val="auto"/>
              <w:rPr>
                <w:color w:val="auto"/>
                <w:sz w:val="24"/>
                <w:lang w:eastAsia="zh-CN"/>
                <w:highlight w:val="none"/>
              </w:rPr>
            </w:pPr>
            <w:bookmarkEnd w:id="38"/>
            <w:bookmarkEnd w:id="39"/>
            <w:r>
              <w:rPr>
                <w:rFonts w:hint="eastAsia"/>
                <w:color w:val="auto"/>
                <w:sz w:val="24"/>
                <w:lang w:val="en-US" w:eastAsia="zh-CN"/>
                <w:highlight w:val="none"/>
              </w:rPr>
              <w:t>本项目仅涉及废电池的收集</w:t>
            </w:r>
            <w:r>
              <w:rPr>
                <w:color w:val="auto"/>
                <w:sz w:val="24"/>
                <w:lang w:eastAsia="zh-CN"/>
                <w:highlight w:val="none"/>
              </w:rPr>
              <w:t>，</w:t>
            </w:r>
            <w:r>
              <w:rPr>
                <w:rFonts w:hint="eastAsia"/>
                <w:color w:val="auto"/>
                <w:sz w:val="24"/>
                <w:lang w:val="en-US" w:eastAsia="zh-CN"/>
                <w:highlight w:val="none"/>
              </w:rPr>
              <w:t>不涉及运输、拆解及利用等。废铅蓄电池主要来源于园区、医院、机关单位等部门的定期更换。根据《国家危险废物名录（2025年版）》，废铅蓄电池属于HW31含铅废物，废物代码为900-052-31，具有毒性及腐蚀性等危险特性。根据环境风险大小将废铅蓄电池分为两类，第I类废铅蓄电池指未破损的密闭式免维护废铅蓄电池</w:t>
            </w:r>
            <w:r>
              <w:rPr>
                <w:color w:val="auto"/>
                <w:sz w:val="24"/>
                <w:lang w:eastAsia="zh-CN"/>
                <w:highlight w:val="none"/>
              </w:rPr>
              <w:t>；</w:t>
            </w:r>
            <w:r>
              <w:rPr>
                <w:rFonts w:hint="eastAsia"/>
                <w:color w:val="auto"/>
                <w:sz w:val="24"/>
                <w:lang w:val="en-US" w:eastAsia="zh-CN"/>
                <w:highlight w:val="none"/>
              </w:rPr>
              <w:t>第II类废铅蓄电池指开口式废铅蓄电池和破损的密闭式免维护废铅蓄电池。目前市场上开口式普通铅蓄电池已淘汰，本项目只收集完好的密闭式免维护废铅蓄电池，即第I类废铅蓄电池。完好</w:t>
            </w:r>
            <w:r>
              <w:rPr>
                <w:rFonts w:hint="eastAsia"/>
                <w:color w:val="auto"/>
                <w:sz w:val="24"/>
                <w:lang w:val="en-US"/>
                <w:highlight w:val="none"/>
              </w:rPr>
              <w:t>的废铅蓄</w:t>
            </w:r>
            <w:r>
              <w:rPr>
                <w:rFonts w:hint="eastAsia"/>
                <w:color w:val="auto"/>
                <w:sz w:val="24"/>
                <w:lang w:val="en-US" w:eastAsia="zh-CN"/>
                <w:highlight w:val="none"/>
              </w:rPr>
              <w:t>电池有可能在运输环节发生挤压碰撞，出现少量破损时会在进厂后分拣过程中被选出按照第II类废铅蓄电池管理要求进行单独贮存</w:t>
            </w:r>
            <w:r>
              <w:rPr>
                <w:color w:val="auto"/>
                <w:sz w:val="24"/>
                <w:lang w:eastAsia="zh-CN"/>
                <w:highlight w:val="none"/>
              </w:rPr>
              <w:t>。</w:t>
            </w:r>
          </w:p>
          <w:p>
            <w:pPr>
              <w:keepNext w:val="0"/>
              <w:keepLines w:val="0"/>
              <w:pageBreakBefore w:val="0"/>
              <w:widowControl w:val="0"/>
              <w:kinsoku/>
              <w:wordWrap/>
              <w:overflowPunct/>
              <w:topLinePunct w:val="0"/>
              <w:autoSpaceDE/>
              <w:autoSpaceDN/>
              <w:bidi w:val="0"/>
              <w:adjustRightInd/>
              <w:snapToGrid/>
              <w:spacing w:line="460" w:lineRule="exact"/>
              <w:ind w:firstLineChars="200" w:firstLine="480"/>
              <w:textAlignment w:val="auto"/>
              <w:rPr>
                <w:rFonts w:hint="eastAsia"/>
                <w:color w:val="auto"/>
                <w:lang w:val="en-US" w:eastAsia="zh-CN"/>
              </w:rPr>
            </w:pPr>
            <w:r>
              <w:rPr>
                <w:rFonts w:hint="eastAsia"/>
                <w:color w:val="auto"/>
                <w:sz w:val="24"/>
                <w:lang w:val="en-US" w:eastAsia="zh-CN"/>
                <w:highlight w:val="none"/>
              </w:rPr>
              <w:t>废铅蓄电池主要结构组成、主要成分及理化性质见表2-3、表2-4和表2-5。</w:t>
            </w:r>
          </w:p>
          <w:p>
            <w:pPr>
              <w:pStyle w:val="93"/>
              <w:jc w:val="center"/>
              <w:rPr>
                <w:rFonts w:ascii="Times New Roman" w:eastAsia="宋体" w:cs="Times New Roman" w:hAnsi="Times New Roman"/>
                <w:b/>
                <w:bCs/>
                <w:color w:val="auto"/>
                <w:kern w:val="2"/>
                <w:sz w:val="24"/>
                <w:szCs w:val="24"/>
                <w:lang w:val="en-US" w:eastAsia="zh-CN" w:bidi="ar-SA"/>
                <w:highlight w:val="none"/>
              </w:rPr>
            </w:pPr>
            <w:r>
              <w:rPr>
                <w:rFonts w:ascii="Times New Roman" w:eastAsia="宋体" w:cs="Times New Roman" w:hAnsi="Times New Roman"/>
                <w:b/>
                <w:bCs/>
                <w:color w:val="auto"/>
                <w:kern w:val="2"/>
                <w:sz w:val="24"/>
                <w:szCs w:val="24"/>
                <w:lang w:val="en-US" w:eastAsia="zh-CN" w:bidi="ar-SA"/>
                <w:highlight w:val="none"/>
              </w:rPr>
              <w:t>表</w:t>
            </w:r>
            <w:r>
              <w:rPr>
                <w:rFonts w:ascii="Times New Roman" w:eastAsia="宋体" w:cs="Times New Roman" w:hAnsi="Times New Roman" w:hint="eastAsia"/>
                <w:b/>
                <w:bCs/>
                <w:color w:val="auto"/>
                <w:kern w:val="2"/>
                <w:sz w:val="24"/>
                <w:szCs w:val="24"/>
                <w:lang w:val="en-US" w:eastAsia="zh-CN" w:bidi="ar-SA"/>
                <w:highlight w:val="none"/>
              </w:rPr>
              <w:t>2-3</w:t>
            </w:r>
            <w:r>
              <w:rPr>
                <w:rFonts w:ascii="Times New Roman" w:eastAsia="宋体" w:cs="Times New Roman" w:hAnsi="Times New Roman"/>
                <w:b/>
                <w:bCs/>
                <w:color w:val="auto"/>
                <w:kern w:val="2"/>
                <w:sz w:val="24"/>
                <w:szCs w:val="24"/>
                <w:lang w:val="en-US" w:eastAsia="zh-CN" w:bidi="ar-SA"/>
                <w:highlight w:val="none"/>
              </w:rPr>
              <w:t xml:space="preserve"> 铅酸蓄电池主要结构</w:t>
            </w:r>
          </w:p>
          <w:tbl>
            <w:tblPr>
              <w:jc w:val="left"/>
              <w:tblInd w:w="0" w:type="dxa"/>
              <w:tblW w:w="4999" w:type="pct"/>
              <w:tblBorders>
                <w:top w:val="single" w:sz="12" w:space="0" w:color="000000"/>
                <w:left w:val="none" w:sz="0" w:space="0" w:color="auto"/>
                <w:bottom w:val="single" w:sz="12" w:space="0" w:color="000000"/>
                <w:right w:val="none" w:sz="0" w:space="0" w:color="auto"/>
                <w:insideH w:val="single" w:sz="4" w:space="0" w:color="auto"/>
                <w:insideV w:val="single" w:sz="4" w:space="0" w:color="auto"/>
              </w:tblBorders>
              <w:tblCellMar>
                <w:top w:w="0" w:type="dxa"/>
                <w:left w:w="0" w:type="dxa"/>
                <w:bottom w:w="0" w:type="dxa"/>
                <w:right w:w="0" w:type="dxa"/>
              </w:tblCellMar>
              <w:tblLook w:val="0600" w:firstRow="0" w:lastRow="0" w:firstColumn="0" w:lastColumn="0" w:noHBand="1" w:noVBand="1"/>
            </w:tblPr>
            <w:tblGrid>
              <w:gridCol w:w="2200"/>
              <w:gridCol w:w="5905"/>
            </w:tblGrid>
            <w:tr>
              <w:trPr>
                <w:trHeight w:val="340"/>
              </w:trPr>
              <w:tc>
                <w:tcPr>
                  <w:tcW w:w="1357" w:type="pct"/>
                  <w:vAlign w:val="center"/>
                </w:tcPr>
                <w:p>
                  <w:pPr>
                    <w:pStyle w:val="94"/>
                    <w:rPr>
                      <w:rFonts w:hint="eastAsia"/>
                      <w:b/>
                      <w:bCs/>
                      <w:color w:val="auto"/>
                    </w:rPr>
                  </w:pPr>
                  <w:r>
                    <w:rPr>
                      <w:rFonts w:hint="eastAsia"/>
                      <w:b/>
                      <w:bCs/>
                      <w:color w:val="auto"/>
                    </w:rPr>
                    <w:t>主要构成</w:t>
                  </w:r>
                </w:p>
              </w:tc>
              <w:tc>
                <w:tcPr>
                  <w:tcW w:w="3642" w:type="pct"/>
                  <w:vAlign w:val="center"/>
                </w:tcPr>
                <w:p>
                  <w:pPr>
                    <w:pStyle w:val="94"/>
                    <w:rPr>
                      <w:rFonts w:hint="eastAsia"/>
                      <w:b/>
                      <w:bCs/>
                      <w:color w:val="auto"/>
                    </w:rPr>
                  </w:pPr>
                  <w:r>
                    <w:rPr>
                      <w:rFonts w:hint="eastAsia"/>
                      <w:b/>
                      <w:bCs/>
                      <w:color w:val="auto"/>
                    </w:rPr>
                    <w:t>简述</w:t>
                  </w:r>
                </w:p>
              </w:tc>
            </w:tr>
            <w:tr>
              <w:trPr>
                <w:trHeight w:val="340"/>
              </w:trPr>
              <w:tc>
                <w:tcPr>
                  <w:tcW w:w="1357" w:type="pct"/>
                  <w:vAlign w:val="center"/>
                </w:tcPr>
                <w:p>
                  <w:pPr>
                    <w:pStyle w:val="94"/>
                    <w:rPr>
                      <w:rFonts w:hint="eastAsia"/>
                      <w:color w:val="auto"/>
                    </w:rPr>
                  </w:pPr>
                  <w:r>
                    <w:rPr>
                      <w:rFonts w:hint="eastAsia"/>
                      <w:color w:val="auto"/>
                    </w:rPr>
                    <w:t>正负极板</w:t>
                  </w:r>
                </w:p>
              </w:tc>
              <w:tc>
                <w:tcPr>
                  <w:tcW w:w="3642" w:type="pct"/>
                  <w:vAlign w:val="center"/>
                </w:tcPr>
                <w:p>
                  <w:pPr>
                    <w:pStyle w:val="94"/>
                    <w:rPr>
                      <w:rFonts w:hint="eastAsia"/>
                      <w:color w:val="auto"/>
                    </w:rPr>
                  </w:pPr>
                  <w:r>
                    <w:rPr>
                      <w:rFonts w:hint="eastAsia"/>
                      <w:color w:val="auto"/>
                      <w:lang w:val="en-US" w:eastAsia="zh-CN"/>
                    </w:rPr>
                    <w:t>极板分正极板和负极板两种，均由栅架和填充在其上的活性物质构成</w:t>
                  </w:r>
                </w:p>
                <w:p>
                  <w:pPr>
                    <w:pStyle w:val="94"/>
                    <w:rPr>
                      <w:rFonts w:eastAsia="宋体" w:hint="eastAsia"/>
                      <w:color w:val="auto"/>
                      <w:lang w:eastAsia="zh-CN"/>
                    </w:rPr>
                  </w:pPr>
                  <w:r>
                    <w:rPr>
                      <w:rFonts w:hint="eastAsia"/>
                      <w:color w:val="auto"/>
                    </w:rPr>
                    <w:t>。正极板上的活性物质是二氧化铅</w:t>
                  </w:r>
                  <w:bookmarkStart w:id="40" w:name="_GoBack"/>
                  <w:r>
                    <w:rPr>
                      <w:rFonts w:hint="eastAsia"/>
                      <w:color w:val="auto"/>
                    </w:rPr>
                    <w:t>(</w:t>
                  </w:r>
                  <w:bookmarkEnd w:id="40"/>
                  <w:r>
                    <w:rPr>
                      <w:rFonts w:hint="eastAsia"/>
                      <w:color w:val="auto"/>
                    </w:rPr>
                    <w:t>PbO</w:t>
                  </w:r>
                  <w:r>
                    <w:rPr>
                      <w:rFonts w:hint="eastAsia"/>
                      <w:color w:val="auto"/>
                      <w:vertAlign w:val="subscript"/>
                    </w:rPr>
                    <w:t>2</w:t>
                  </w:r>
                  <w:r>
                    <w:rPr>
                      <w:rFonts w:hint="eastAsia"/>
                      <w:color w:val="auto"/>
                    </w:rPr>
                    <w:t>)，呈深棕色；负极板上的活性物质是海绵状纯铅(Pb)，呈青灰色</w:t>
                  </w:r>
                  <w:r>
                    <w:rPr>
                      <w:color w:val="auto"/>
                    </w:rPr>
                    <w:t>。硫酸铅（PbSO₄，极板硫化或放电产物）混合存在于铅膏中</w:t>
                  </w:r>
                  <w:r>
                    <w:rPr>
                      <w:rFonts w:hint="eastAsia"/>
                      <w:color w:val="auto"/>
                      <w:lang w:eastAsia="zh-CN"/>
                    </w:rPr>
                    <w:t>。</w:t>
                  </w:r>
                </w:p>
              </w:tc>
            </w:tr>
            <w:tr>
              <w:trPr>
                <w:trHeight w:val="340"/>
              </w:trPr>
              <w:tc>
                <w:tcPr>
                  <w:tcW w:w="1357" w:type="pct"/>
                  <w:vAlign w:val="center"/>
                </w:tcPr>
                <w:p>
                  <w:pPr>
                    <w:pStyle w:val="94"/>
                    <w:rPr>
                      <w:rFonts w:hint="eastAsia"/>
                      <w:color w:val="auto"/>
                    </w:rPr>
                  </w:pPr>
                  <w:r>
                    <w:rPr>
                      <w:rFonts w:hint="eastAsia"/>
                      <w:color w:val="auto"/>
                    </w:rPr>
                    <w:t>隔板</w:t>
                  </w:r>
                </w:p>
              </w:tc>
              <w:tc>
                <w:tcPr>
                  <w:tcW w:w="3642" w:type="pct"/>
                  <w:vAlign w:val="center"/>
                </w:tcPr>
                <w:p>
                  <w:pPr>
                    <w:pStyle w:val="94"/>
                    <w:rPr>
                      <w:rFonts w:hint="eastAsia"/>
                      <w:color w:val="auto"/>
                    </w:rPr>
                  </w:pPr>
                  <w:r>
                    <w:rPr>
                      <w:rFonts w:hint="eastAsia"/>
                      <w:color w:val="auto"/>
                    </w:rPr>
                    <w:t>由微孔橡胶、颜料、玻璃纤维等材料制成</w:t>
                  </w:r>
                </w:p>
              </w:tc>
            </w:tr>
            <w:tr>
              <w:trPr>
                <w:trHeight w:val="340"/>
              </w:trPr>
              <w:tc>
                <w:tcPr>
                  <w:tcW w:w="1357" w:type="pct"/>
                  <w:vAlign w:val="center"/>
                </w:tcPr>
                <w:p>
                  <w:pPr>
                    <w:pStyle w:val="94"/>
                    <w:rPr>
                      <w:rFonts w:hint="eastAsia"/>
                      <w:color w:val="auto"/>
                    </w:rPr>
                  </w:pPr>
                  <w:r>
                    <w:rPr>
                      <w:rFonts w:hint="eastAsia"/>
                      <w:color w:val="auto"/>
                    </w:rPr>
                    <w:t>电解液</w:t>
                  </w:r>
                </w:p>
              </w:tc>
              <w:tc>
                <w:tcPr>
                  <w:tcW w:w="3642" w:type="pct"/>
                  <w:vAlign w:val="center"/>
                </w:tcPr>
                <w:p>
                  <w:pPr>
                    <w:pStyle w:val="94"/>
                    <w:rPr>
                      <w:rFonts w:hint="eastAsia"/>
                      <w:color w:val="auto"/>
                    </w:rPr>
                  </w:pPr>
                  <w:r>
                    <w:rPr>
                      <w:rFonts w:hint="eastAsia"/>
                      <w:color w:val="auto"/>
                    </w:rPr>
                    <w:t>由浓硫酸和纯水配制而成，一般硫酸浓度40%左右</w:t>
                  </w:r>
                </w:p>
              </w:tc>
            </w:tr>
            <w:tr>
              <w:trPr>
                <w:trHeight w:val="340"/>
              </w:trPr>
              <w:tc>
                <w:tcPr>
                  <w:tcW w:w="1357" w:type="pct"/>
                  <w:vAlign w:val="center"/>
                </w:tcPr>
                <w:p>
                  <w:pPr>
                    <w:pStyle w:val="94"/>
                    <w:rPr>
                      <w:rFonts w:hint="eastAsia"/>
                      <w:color w:val="auto"/>
                    </w:rPr>
                  </w:pPr>
                  <w:r>
                    <w:rPr>
                      <w:rFonts w:hint="eastAsia"/>
                      <w:color w:val="auto"/>
                    </w:rPr>
                    <w:t>电池壳、盖</w:t>
                  </w:r>
                </w:p>
              </w:tc>
              <w:tc>
                <w:tcPr>
                  <w:tcW w:w="3642" w:type="pct"/>
                  <w:vAlign w:val="center"/>
                </w:tcPr>
                <w:p>
                  <w:pPr>
                    <w:pStyle w:val="94"/>
                    <w:rPr>
                      <w:rFonts w:hint="eastAsia"/>
                      <w:color w:val="auto"/>
                    </w:rPr>
                  </w:pPr>
                  <w:r>
                    <w:rPr>
                      <w:rFonts w:hint="eastAsia"/>
                      <w:color w:val="auto"/>
                    </w:rPr>
                    <w:t>装正、负极板和电解液的容器，一般由塑料和橡胶材料制成</w:t>
                  </w:r>
                </w:p>
              </w:tc>
            </w:tr>
            <w:tr>
              <w:trPr>
                <w:trHeight w:val="340"/>
              </w:trPr>
              <w:tc>
                <w:tcPr>
                  <w:tcW w:w="1357" w:type="pct"/>
                  <w:vAlign w:val="center"/>
                </w:tcPr>
                <w:p>
                  <w:pPr>
                    <w:pStyle w:val="94"/>
                    <w:rPr>
                      <w:rFonts w:hint="eastAsia"/>
                      <w:color w:val="auto"/>
                    </w:rPr>
                  </w:pPr>
                  <w:r>
                    <w:rPr>
                      <w:rFonts w:hint="eastAsia"/>
                      <w:color w:val="auto"/>
                    </w:rPr>
                    <w:t>排气栓</w:t>
                  </w:r>
                </w:p>
              </w:tc>
              <w:tc>
                <w:tcPr>
                  <w:tcW w:w="3642" w:type="pct"/>
                  <w:vAlign w:val="center"/>
                </w:tcPr>
                <w:p>
                  <w:pPr>
                    <w:pStyle w:val="94"/>
                    <w:rPr>
                      <w:rFonts w:hint="eastAsia"/>
                      <w:color w:val="auto"/>
                    </w:rPr>
                  </w:pPr>
                  <w:r>
                    <w:rPr>
                      <w:rFonts w:hint="eastAsia"/>
                      <w:color w:val="auto"/>
                    </w:rPr>
                    <w:t>由塑料材料制成</w:t>
                  </w:r>
                </w:p>
              </w:tc>
            </w:tr>
          </w:tbl>
          <w:p>
            <w:pPr>
              <w:jc w:val="center"/>
              <w:rPr>
                <w:rFonts w:eastAsia="宋体"/>
                <w:b/>
                <w:bCs/>
                <w:color w:val="auto"/>
                <w:sz w:val="24"/>
                <w:lang w:val="en-US" w:eastAsia="zh-CN"/>
                <w:highlight w:val="none"/>
              </w:rPr>
            </w:pPr>
            <w:r>
              <w:rPr>
                <w:b/>
                <w:bCs/>
                <w:color w:val="auto"/>
                <w:sz w:val="24"/>
                <w:highlight w:val="none"/>
              </w:rPr>
              <w:t>表2-</w:t>
            </w:r>
            <w:r>
              <w:rPr>
                <w:rFonts w:hint="eastAsia"/>
                <w:b/>
                <w:bCs/>
                <w:color w:val="auto"/>
                <w:sz w:val="24"/>
                <w:lang w:val="en-US" w:eastAsia="zh-CN"/>
                <w:highlight w:val="none"/>
              </w:rPr>
              <w:t>4</w:t>
            </w:r>
            <w:r>
              <w:rPr>
                <w:b/>
                <w:bCs/>
                <w:color w:val="auto"/>
                <w:sz w:val="24"/>
                <w:highlight w:val="none"/>
              </w:rPr>
              <w:t xml:space="preserve">  </w:t>
            </w:r>
            <w:r>
              <w:rPr>
                <w:rFonts w:hint="eastAsia"/>
                <w:b/>
                <w:bCs/>
                <w:color w:val="auto"/>
                <w:sz w:val="24"/>
                <w:lang w:eastAsia="zh-CN"/>
                <w:highlight w:val="none"/>
              </w:rPr>
              <w:t>铅蓄电池主要成分</w:t>
            </w:r>
            <w:r>
              <w:rPr>
                <w:b/>
                <w:bCs/>
                <w:color w:val="auto"/>
                <w:sz w:val="24"/>
                <w:highlight w:val="none"/>
              </w:rPr>
              <w:t>一览表</w:t>
            </w:r>
            <w:r>
              <w:rPr>
                <w:rFonts w:hint="eastAsia"/>
                <w:b/>
                <w:bCs/>
                <w:color w:val="auto"/>
                <w:sz w:val="24"/>
                <w:lang w:val="en-US" w:eastAsia="zh-CN"/>
                <w:highlight w:val="none"/>
              </w:rPr>
              <w:t xml:space="preserve">     </w:t>
            </w:r>
          </w:p>
          <w:tbl>
            <w:tblPr>
              <w:jc w:val="center"/>
              <w:tblW w:w="4987" w:type="pct"/>
              <w:tblBorders>
                <w:top w:val="single" w:sz="12" w:space="0" w:color="auto"/>
                <w:left w:val="none" w:sz="0" w:space="0" w:color="auto"/>
                <w:bottom w:val="single" w:sz="12" w:space="0" w:color="auto"/>
                <w:right w:val="none" w:sz="0" w:space="0" w:color="auto"/>
                <w:insideH w:val="single" w:sz="4" w:space="0" w:color="auto"/>
                <w:insideV w:val="single" w:sz="4" w:space="0" w:color="auto"/>
              </w:tblBorders>
              <w:tblCellMar>
                <w:top w:w="0" w:type="dxa"/>
                <w:left w:w="108" w:type="dxa"/>
                <w:bottom w:w="0" w:type="dxa"/>
                <w:right w:w="108" w:type="dxa"/>
              </w:tblCellMar>
              <w:tblLook w:val="0600" w:firstRow="0" w:lastRow="0" w:firstColumn="0" w:lastColumn="0" w:noHBand="1" w:noVBand="1"/>
            </w:tblPr>
            <w:tblGrid>
              <w:gridCol w:w="1275"/>
              <w:gridCol w:w="1333"/>
              <w:gridCol w:w="1351"/>
              <w:gridCol w:w="1516"/>
              <w:gridCol w:w="1307"/>
              <w:gridCol w:w="1302"/>
            </w:tblGrid>
            <w:tr>
              <w:trPr>
                <w:trHeight w:val="397"/>
              </w:trPr>
              <w:tc>
                <w:tcPr>
                  <w:tcW w:w="788" w:type="pct"/>
                  <w:tcBorders>
                    <w:tl2br w:val="nil"/>
                    <w:tr2bl w:val="nil"/>
                  </w:tcBorders>
                  <w:vAlign w:val="center"/>
                </w:tcPr>
                <w:p>
                  <w:pPr>
                    <w:jc w:val="center"/>
                    <w:rPr>
                      <w:rFonts w:ascii="Times New Roman" w:eastAsia="宋体" w:cs="Times New Roman" w:hAnsi="Times New Roman" w:hint="eastAsia"/>
                      <w:b/>
                      <w:bCs/>
                      <w:color w:val="auto"/>
                      <w:szCs w:val="21"/>
                      <w:lang w:eastAsia="zh-CN"/>
                      <w:highlight w:val="none"/>
                    </w:rPr>
                  </w:pPr>
                  <w:r>
                    <w:rPr>
                      <w:rFonts w:cs="Times New Roman" w:hint="eastAsia"/>
                      <w:b/>
                      <w:bCs/>
                      <w:color w:val="auto"/>
                      <w:szCs w:val="21"/>
                      <w:lang w:eastAsia="zh-CN"/>
                      <w:highlight w:val="none"/>
                    </w:rPr>
                    <w:t>成分</w:t>
                  </w:r>
                </w:p>
              </w:tc>
              <w:tc>
                <w:tcPr>
                  <w:tcW w:w="824" w:type="pct"/>
                  <w:tcBorders>
                    <w:tl2br w:val="nil"/>
                    <w:tr2bl w:val="nil"/>
                  </w:tcBorders>
                  <w:vAlign w:val="center"/>
                </w:tcPr>
                <w:p>
                  <w:pPr>
                    <w:jc w:val="center"/>
                    <w:rPr>
                      <w:rFonts w:ascii="Times New Roman" w:eastAsia="宋体" w:cs="Times New Roman" w:hAnsi="Times New Roman" w:hint="eastAsia"/>
                      <w:b/>
                      <w:bCs/>
                      <w:color w:val="auto"/>
                      <w:szCs w:val="21"/>
                      <w:lang w:eastAsia="zh-CN"/>
                      <w:highlight w:val="none"/>
                    </w:rPr>
                  </w:pPr>
                  <w:r>
                    <w:rPr>
                      <w:rFonts w:ascii="Times New Roman" w:eastAsia="宋体" w:cs="Times New Roman" w:hAnsi="Times New Roman" w:hint="eastAsia"/>
                      <w:b/>
                      <w:bCs/>
                      <w:color w:val="auto"/>
                      <w:szCs w:val="21"/>
                      <w:lang w:eastAsia="zh-CN"/>
                      <w:highlight w:val="none"/>
                    </w:rPr>
                    <w:t>板栅及零件</w:t>
                  </w:r>
                </w:p>
              </w:tc>
              <w:tc>
                <w:tcPr>
                  <w:tcW w:w="835" w:type="pct"/>
                  <w:tcBorders>
                    <w:tl2br w:val="nil"/>
                    <w:tr2bl w:val="nil"/>
                  </w:tcBorders>
                  <w:vAlign w:val="center"/>
                </w:tcPr>
                <w:p>
                  <w:pPr>
                    <w:jc w:val="center"/>
                    <w:rPr>
                      <w:rFonts w:ascii="Times New Roman" w:eastAsia="宋体" w:cs="Times New Roman" w:hAnsi="Times New Roman" w:hint="eastAsia"/>
                      <w:b/>
                      <w:bCs/>
                      <w:color w:val="auto"/>
                      <w:szCs w:val="21"/>
                      <w:lang w:eastAsia="zh-CN"/>
                      <w:highlight w:val="none"/>
                    </w:rPr>
                  </w:pPr>
                  <w:r>
                    <w:rPr>
                      <w:rFonts w:ascii="Times New Roman" w:eastAsia="宋体" w:cs="Times New Roman" w:hAnsi="Times New Roman" w:hint="eastAsia"/>
                      <w:b/>
                      <w:bCs/>
                      <w:color w:val="auto"/>
                      <w:szCs w:val="21"/>
                      <w:lang w:eastAsia="zh-CN"/>
                      <w:highlight w:val="none"/>
                    </w:rPr>
                    <w:t>铅膏</w:t>
                  </w:r>
                </w:p>
              </w:tc>
              <w:tc>
                <w:tcPr>
                  <w:tcW w:w="937" w:type="pct"/>
                  <w:tcBorders>
                    <w:tl2br w:val="nil"/>
                    <w:tr2bl w:val="nil"/>
                  </w:tcBorders>
                  <w:vAlign w:val="center"/>
                </w:tcPr>
                <w:p>
                  <w:pPr>
                    <w:jc w:val="center"/>
                    <w:rPr>
                      <w:rFonts w:ascii="Times New Roman" w:eastAsia="宋体" w:cs="Times New Roman" w:hAnsi="Times New Roman" w:hint="eastAsia"/>
                      <w:b/>
                      <w:bCs/>
                      <w:color w:val="auto"/>
                      <w:szCs w:val="21"/>
                      <w:lang w:eastAsia="zh-CN"/>
                      <w:highlight w:val="none"/>
                    </w:rPr>
                  </w:pPr>
                  <w:r>
                    <w:rPr>
                      <w:rFonts w:cs="Times New Roman" w:hint="eastAsia"/>
                      <w:b/>
                      <w:bCs/>
                      <w:color w:val="auto"/>
                      <w:szCs w:val="21"/>
                      <w:lang w:eastAsia="zh-CN"/>
                      <w:highlight w:val="none"/>
                    </w:rPr>
                    <w:t>电池</w:t>
                  </w:r>
                  <w:r>
                    <w:rPr>
                      <w:rFonts w:ascii="Times New Roman" w:eastAsia="宋体" w:cs="Times New Roman" w:hAnsi="Times New Roman" w:hint="eastAsia"/>
                      <w:b/>
                      <w:bCs/>
                      <w:color w:val="auto"/>
                      <w:szCs w:val="21"/>
                      <w:lang w:eastAsia="zh-CN"/>
                      <w:highlight w:val="none"/>
                    </w:rPr>
                    <w:t>外壳</w:t>
                  </w:r>
                </w:p>
              </w:tc>
              <w:tc>
                <w:tcPr>
                  <w:tcW w:w="808" w:type="pct"/>
                  <w:tcBorders>
                    <w:tl2br w:val="nil"/>
                    <w:tr2bl w:val="nil"/>
                  </w:tcBorders>
                  <w:shd w:val="clear" w:color="auto" w:fill="auto"/>
                  <w:vAlign w:val="center"/>
                </w:tcPr>
                <w:p>
                  <w:pPr>
                    <w:jc w:val="center"/>
                    <w:rPr>
                      <w:rFonts w:ascii="Times New Roman" w:eastAsia="宋体" w:cs="Times New Roman" w:hAnsi="Times New Roman" w:hint="eastAsia"/>
                      <w:b/>
                      <w:bCs/>
                      <w:color w:val="auto"/>
                      <w:kern w:val="2"/>
                      <w:sz w:val="21"/>
                      <w:szCs w:val="21"/>
                      <w:lang w:val="en-US" w:eastAsia="zh-CN" w:bidi="ar-SA"/>
                      <w:highlight w:val="none"/>
                    </w:rPr>
                  </w:pPr>
                  <w:r>
                    <w:rPr>
                      <w:rFonts w:cs="Times New Roman" w:hint="eastAsia"/>
                      <w:b/>
                      <w:bCs/>
                      <w:color w:val="auto"/>
                      <w:szCs w:val="21"/>
                      <w:lang w:eastAsia="zh-CN"/>
                      <w:highlight w:val="none"/>
                    </w:rPr>
                    <w:t>废电解液（硫酸）</w:t>
                  </w:r>
                </w:p>
              </w:tc>
              <w:tc>
                <w:tcPr>
                  <w:tcW w:w="805" w:type="pct"/>
                  <w:tcBorders>
                    <w:tl2br w:val="nil"/>
                    <w:tr2bl w:val="nil"/>
                  </w:tcBorders>
                  <w:vAlign w:val="center"/>
                </w:tcPr>
                <w:p>
                  <w:pPr>
                    <w:jc w:val="center"/>
                    <w:rPr>
                      <w:rFonts w:cs="Times New Roman" w:hint="eastAsia"/>
                      <w:b/>
                      <w:bCs/>
                      <w:color w:val="auto"/>
                      <w:szCs w:val="21"/>
                      <w:lang w:eastAsia="zh-CN"/>
                      <w:highlight w:val="none"/>
                    </w:rPr>
                  </w:pPr>
                  <w:r>
                    <w:rPr>
                      <w:rFonts w:cs="Times New Roman" w:hint="eastAsia"/>
                      <w:b/>
                      <w:bCs/>
                      <w:color w:val="auto"/>
                      <w:szCs w:val="21"/>
                      <w:lang w:eastAsia="zh-CN"/>
                      <w:highlight w:val="none"/>
                    </w:rPr>
                    <w:t>隔板及其他</w:t>
                  </w:r>
                </w:p>
              </w:tc>
            </w:tr>
            <w:tr>
              <w:trPr>
                <w:trHeight w:val="397"/>
              </w:trPr>
              <w:tc>
                <w:tcPr>
                  <w:tcW w:w="788" w:type="pct"/>
                  <w:tcBorders>
                    <w:tl2br w:val="nil"/>
                    <w:tr2bl w:val="nil"/>
                  </w:tcBorders>
                  <w:vAlign w:val="center"/>
                </w:tcPr>
                <w:p>
                  <w:pPr>
                    <w:jc w:val="center"/>
                    <w:rPr>
                      <w:rFonts w:eastAsia="宋体" w:hint="eastAsia"/>
                      <w:color w:val="auto"/>
                      <w:szCs w:val="21"/>
                      <w:lang w:eastAsia="zh-CN"/>
                      <w:highlight w:val="none"/>
                    </w:rPr>
                  </w:pPr>
                  <w:r>
                    <w:rPr>
                      <w:rFonts w:hint="eastAsia"/>
                      <w:color w:val="auto"/>
                      <w:szCs w:val="21"/>
                      <w:lang w:eastAsia="zh-CN"/>
                      <w:highlight w:val="none"/>
                    </w:rPr>
                    <w:t>含量（</w:t>
                  </w:r>
                  <w:r>
                    <w:rPr>
                      <w:rFonts w:hint="eastAsia"/>
                      <w:color w:val="auto"/>
                      <w:szCs w:val="21"/>
                      <w:lang w:val="en-US" w:eastAsia="zh-CN"/>
                      <w:highlight w:val="none"/>
                    </w:rPr>
                    <w:t>%</w:t>
                  </w:r>
                  <w:r>
                    <w:rPr>
                      <w:rFonts w:hint="eastAsia"/>
                      <w:color w:val="auto"/>
                      <w:szCs w:val="21"/>
                      <w:lang w:eastAsia="zh-CN"/>
                      <w:highlight w:val="none"/>
                    </w:rPr>
                    <w:t>）</w:t>
                  </w:r>
                </w:p>
              </w:tc>
              <w:tc>
                <w:tcPr>
                  <w:tcW w:w="824" w:type="pct"/>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ascii="Times New Roman" w:eastAsia="宋体" w:cs="Times New Roman" w:hAnsi="Times New Roman"/>
                      <w:color w:val="auto"/>
                      <w:kern w:val="2"/>
                      <w:sz w:val="21"/>
                      <w:szCs w:val="21"/>
                      <w:lang w:val="en-US" w:eastAsia="zh-CN" w:bidi="ar-SA"/>
                      <w:highlight w:val="none"/>
                    </w:rPr>
                  </w:pPr>
                  <w:r>
                    <w:rPr>
                      <w:rFonts w:cs="Times New Roman" w:hint="eastAsia"/>
                      <w:color w:val="auto"/>
                      <w:szCs w:val="21"/>
                      <w:lang w:val="en-US" w:eastAsia="zh-CN"/>
                      <w:highlight w:val="none"/>
                    </w:rPr>
                    <w:t>30</w:t>
                  </w:r>
                </w:p>
              </w:tc>
              <w:tc>
                <w:tcPr>
                  <w:tcW w:w="835" w:type="pct"/>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ascii="Times New Roman" w:eastAsia="宋体" w:cs="Times New Roman" w:hAnsi="Times New Roman"/>
                      <w:color w:val="auto"/>
                      <w:kern w:val="2"/>
                      <w:sz w:val="21"/>
                      <w:szCs w:val="21"/>
                      <w:lang w:val="en-US" w:eastAsia="zh-CN" w:bidi="ar-SA"/>
                      <w:highlight w:val="none"/>
                    </w:rPr>
                  </w:pPr>
                  <w:r>
                    <w:rPr>
                      <w:rFonts w:cs="Times New Roman" w:hint="eastAsia"/>
                      <w:color w:val="auto"/>
                      <w:kern w:val="2"/>
                      <w:sz w:val="21"/>
                      <w:szCs w:val="21"/>
                      <w:lang w:val="en-US" w:eastAsia="zh-CN" w:bidi="ar-SA"/>
                      <w:highlight w:val="none"/>
                    </w:rPr>
                    <w:t>41</w:t>
                  </w:r>
                </w:p>
              </w:tc>
              <w:tc>
                <w:tcPr>
                  <w:tcW w:w="937" w:type="pct"/>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ascii="Times New Roman" w:eastAsia="宋体" w:cs="Times New Roman" w:hAnsi="Times New Roman"/>
                      <w:color w:val="auto"/>
                      <w:kern w:val="2"/>
                      <w:sz w:val="21"/>
                      <w:szCs w:val="21"/>
                      <w:lang w:val="en-US" w:eastAsia="zh-CN" w:bidi="ar-SA"/>
                      <w:highlight w:val="none"/>
                    </w:rPr>
                  </w:pPr>
                  <w:r>
                    <w:rPr>
                      <w:rFonts w:cs="Times New Roman" w:hint="eastAsia"/>
                      <w:color w:val="auto"/>
                      <w:kern w:val="2"/>
                      <w:sz w:val="21"/>
                      <w:szCs w:val="21"/>
                      <w:lang w:val="en-US" w:eastAsia="zh-CN" w:bidi="ar-SA"/>
                      <w:highlight w:val="none"/>
                    </w:rPr>
                    <w:t>10</w:t>
                  </w:r>
                </w:p>
              </w:tc>
              <w:tc>
                <w:tcPr>
                  <w:tcW w:w="808" w:type="pct"/>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ascii="Times New Roman" w:eastAsia="宋体" w:cs="Times New Roman" w:hAnsi="Times New Roman"/>
                      <w:color w:val="auto"/>
                      <w:kern w:val="2"/>
                      <w:sz w:val="21"/>
                      <w:szCs w:val="24"/>
                      <w:lang w:val="en-US" w:eastAsia="zh-CN" w:bidi="ar-SA"/>
                      <w:highlight w:val="none"/>
                    </w:rPr>
                  </w:pPr>
                  <w:r>
                    <w:rPr>
                      <w:rFonts w:cs="Times New Roman" w:hint="eastAsia"/>
                      <w:color w:val="auto"/>
                      <w:lang w:val="en-US" w:eastAsia="zh-CN"/>
                      <w:highlight w:val="none"/>
                    </w:rPr>
                    <w:t>15</w:t>
                  </w:r>
                </w:p>
              </w:tc>
              <w:tc>
                <w:tcPr>
                  <w:tcW w:w="805" w:type="pct"/>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cs="Times New Roman"/>
                      <w:color w:val="auto"/>
                      <w:lang w:val="en-US" w:eastAsia="zh-CN"/>
                      <w:highlight w:val="none"/>
                    </w:rPr>
                  </w:pPr>
                  <w:r>
                    <w:rPr>
                      <w:rFonts w:cs="Times New Roman" w:hint="eastAsia"/>
                      <w:color w:val="auto"/>
                      <w:lang w:val="en-US" w:eastAsia="zh-CN"/>
                      <w:highlight w:val="none"/>
                    </w:rPr>
                    <w:t>4</w:t>
                  </w:r>
                </w:p>
              </w:tc>
            </w:tr>
          </w:tbl>
          <w:p>
            <w:pPr>
              <w:pStyle w:val="93"/>
              <w:jc w:val="center"/>
              <w:rPr>
                <w:rFonts w:ascii="Times New Roman" w:eastAsia="宋体" w:cs="Times New Roman" w:hAnsi="Times New Roman"/>
                <w:b/>
                <w:bCs/>
                <w:color w:val="auto"/>
                <w:kern w:val="2"/>
                <w:sz w:val="24"/>
                <w:szCs w:val="24"/>
                <w:lang w:val="en-US" w:eastAsia="zh-CN" w:bidi="ar-SA"/>
                <w:highlight w:val="none"/>
              </w:rPr>
            </w:pPr>
            <w:r>
              <w:rPr>
                <w:rFonts w:ascii="Times New Roman" w:eastAsia="宋体" w:cs="Times New Roman" w:hAnsi="Times New Roman"/>
                <w:b/>
                <w:bCs/>
                <w:color w:val="auto"/>
                <w:kern w:val="2"/>
                <w:sz w:val="24"/>
                <w:szCs w:val="24"/>
                <w:lang w:val="en-US" w:eastAsia="zh-CN" w:bidi="ar-SA"/>
                <w:highlight w:val="none"/>
              </w:rPr>
              <w:t>表</w:t>
            </w:r>
            <w:r>
              <w:rPr>
                <w:rFonts w:ascii="Times New Roman" w:eastAsia="宋体" w:cs="Times New Roman" w:hAnsi="Times New Roman" w:hint="eastAsia"/>
                <w:b/>
                <w:bCs/>
                <w:color w:val="auto"/>
                <w:kern w:val="2"/>
                <w:sz w:val="24"/>
                <w:szCs w:val="24"/>
                <w:lang w:val="en-US" w:eastAsia="zh-CN" w:bidi="ar-SA"/>
                <w:highlight w:val="none"/>
              </w:rPr>
              <w:t>2-</w:t>
            </w:r>
            <w:r>
              <w:rPr>
                <w:rFonts w:eastAsia="宋体" w:cs="Times New Roman" w:hint="eastAsia"/>
                <w:b/>
                <w:bCs/>
                <w:color w:val="auto"/>
                <w:kern w:val="2"/>
                <w:sz w:val="24"/>
                <w:szCs w:val="24"/>
                <w:lang w:val="en-US" w:eastAsia="zh-CN" w:bidi="ar-SA"/>
                <w:highlight w:val="none"/>
              </w:rPr>
              <w:t>5</w:t>
            </w:r>
            <w:r>
              <w:rPr>
                <w:rFonts w:ascii="Times New Roman" w:eastAsia="宋体" w:cs="Times New Roman" w:hAnsi="Times New Roman"/>
                <w:b/>
                <w:bCs/>
                <w:color w:val="auto"/>
                <w:kern w:val="2"/>
                <w:sz w:val="24"/>
                <w:szCs w:val="24"/>
                <w:lang w:val="en-US" w:eastAsia="zh-CN" w:bidi="ar-SA"/>
                <w:highlight w:val="none"/>
              </w:rPr>
              <w:t xml:space="preserve">  铅酸电池主要成分理化性质一览表</w:t>
            </w:r>
          </w:p>
          <w:tbl>
            <w:tblPr>
              <w:jc w:val="center"/>
              <w:tblW w:w="4998" w:type="pct"/>
              <w:tblBorders>
                <w:top w:val="single" w:sz="12" w:space="0" w:color="auto"/>
                <w:left w:val="none" w:sz="0" w:space="0" w:color="auto"/>
                <w:bottom w:val="single" w:sz="12" w:space="0" w:color="auto"/>
                <w:right w:val="none" w:sz="0" w:space="0" w:color="auto"/>
                <w:insideH w:val="single" w:sz="4" w:space="0" w:color="auto"/>
                <w:insideV w:val="single" w:sz="4" w:space="0" w:color="auto"/>
              </w:tblBorders>
              <w:tblCellMar>
                <w:top w:w="0" w:type="dxa"/>
                <w:left w:w="108" w:type="dxa"/>
                <w:bottom w:w="0" w:type="dxa"/>
                <w:right w:w="108" w:type="dxa"/>
              </w:tblCellMar>
              <w:tblLook w:val="0600" w:firstRow="0" w:lastRow="0" w:firstColumn="0" w:lastColumn="0" w:noHBand="1" w:noVBand="1"/>
            </w:tblPr>
            <w:tblGrid>
              <w:gridCol w:w="584"/>
              <w:gridCol w:w="1005"/>
              <w:gridCol w:w="4641"/>
              <w:gridCol w:w="1872"/>
            </w:tblGrid>
            <w:tr>
              <w:trPr>
                <w:cantSplit/>
                <w:trHeight w:hRule="exact" w:val="340"/>
                <w:tblHeader/>
              </w:trPr>
              <w:tc>
                <w:tcPr>
                  <w:tcW w:w="360" w:type="pct"/>
                  <w:vAlign w:val="center"/>
                </w:tcPr>
                <w:p>
                  <w:pPr>
                    <w:snapToGrid w:val="0"/>
                    <w:jc w:val="center"/>
                    <w:rPr>
                      <w:b/>
                      <w:color w:val="auto"/>
                      <w:szCs w:val="21"/>
                    </w:rPr>
                  </w:pPr>
                  <w:r>
                    <w:rPr>
                      <w:b/>
                      <w:color w:val="auto"/>
                      <w:szCs w:val="21"/>
                    </w:rPr>
                    <w:t>序号</w:t>
                  </w:r>
                </w:p>
              </w:tc>
              <w:tc>
                <w:tcPr>
                  <w:tcW w:w="620" w:type="pct"/>
                  <w:vAlign w:val="center"/>
                </w:tcPr>
                <w:p>
                  <w:pPr>
                    <w:snapToGrid w:val="0"/>
                    <w:jc w:val="center"/>
                    <w:rPr>
                      <w:b/>
                      <w:color w:val="auto"/>
                      <w:szCs w:val="21"/>
                    </w:rPr>
                  </w:pPr>
                  <w:r>
                    <w:rPr>
                      <w:b/>
                      <w:color w:val="auto"/>
                      <w:szCs w:val="21"/>
                    </w:rPr>
                    <w:t>名称</w:t>
                  </w:r>
                </w:p>
              </w:tc>
              <w:tc>
                <w:tcPr>
                  <w:tcW w:w="2863" w:type="pct"/>
                  <w:vAlign w:val="center"/>
                </w:tcPr>
                <w:p>
                  <w:pPr>
                    <w:snapToGrid w:val="0"/>
                    <w:jc w:val="center"/>
                    <w:rPr>
                      <w:b/>
                      <w:color w:val="auto"/>
                      <w:szCs w:val="21"/>
                    </w:rPr>
                  </w:pPr>
                  <w:r>
                    <w:rPr>
                      <w:b/>
                      <w:color w:val="auto"/>
                      <w:szCs w:val="21"/>
                    </w:rPr>
                    <w:t>理化性质</w:t>
                  </w:r>
                </w:p>
              </w:tc>
              <w:tc>
                <w:tcPr>
                  <w:tcW w:w="1155" w:type="pct"/>
                  <w:vAlign w:val="center"/>
                </w:tcPr>
                <w:p>
                  <w:pPr>
                    <w:snapToGrid w:val="0"/>
                    <w:jc w:val="center"/>
                    <w:rPr>
                      <w:b/>
                      <w:color w:val="auto"/>
                      <w:szCs w:val="21"/>
                    </w:rPr>
                  </w:pPr>
                  <w:r>
                    <w:rPr>
                      <w:b/>
                      <w:color w:val="auto"/>
                      <w:szCs w:val="21"/>
                    </w:rPr>
                    <w:t>毒理性</w:t>
                  </w:r>
                </w:p>
              </w:tc>
            </w:tr>
            <w:tr>
              <w:trPr>
                <w:cantSplit/>
                <w:trHeight w:hRule="exact" w:val="1619"/>
                <w:tblHeader/>
              </w:trPr>
              <w:tc>
                <w:tcPr>
                  <w:tcW w:w="360" w:type="pct"/>
                  <w:vAlign w:val="center"/>
                </w:tcPr>
                <w:p>
                  <w:pPr>
                    <w:snapToGrid w:val="0"/>
                    <w:jc w:val="center"/>
                    <w:rPr>
                      <w:color w:val="auto"/>
                      <w:szCs w:val="21"/>
                    </w:rPr>
                  </w:pPr>
                  <w:r>
                    <w:rPr>
                      <w:color w:val="auto"/>
                      <w:szCs w:val="21"/>
                    </w:rPr>
                    <w:t>1</w:t>
                  </w:r>
                </w:p>
              </w:tc>
              <w:tc>
                <w:tcPr>
                  <w:tcW w:w="620" w:type="pct"/>
                  <w:vAlign w:val="center"/>
                </w:tcPr>
                <w:p>
                  <w:pPr>
                    <w:snapToGrid w:val="0"/>
                    <w:jc w:val="center"/>
                    <w:rPr>
                      <w:color w:val="auto"/>
                      <w:szCs w:val="21"/>
                    </w:rPr>
                  </w:pPr>
                  <w:r>
                    <w:rPr>
                      <w:color w:val="auto"/>
                      <w:szCs w:val="21"/>
                    </w:rPr>
                    <w:t>铅</w:t>
                  </w:r>
                </w:p>
              </w:tc>
              <w:tc>
                <w:tcPr>
                  <w:tcW w:w="2863" w:type="pct"/>
                  <w:vAlign w:val="center"/>
                </w:tcPr>
                <w:p>
                  <w:pPr>
                    <w:snapToGrid w:val="0"/>
                    <w:jc w:val="center"/>
                    <w:rPr>
                      <w:color w:val="auto"/>
                      <w:szCs w:val="21"/>
                    </w:rPr>
                  </w:pPr>
                  <w:r>
                    <w:rPr>
                      <w:color w:val="auto"/>
                      <w:szCs w:val="21"/>
                    </w:rPr>
                    <w:t>Pb</w:t>
                  </w:r>
                  <w:r>
                    <w:rPr>
                      <w:rFonts w:hint="eastAsia"/>
                      <w:color w:val="auto"/>
                      <w:szCs w:val="21"/>
                      <w:lang w:eastAsia="zh-CN"/>
                    </w:rPr>
                    <w:t>（</w:t>
                  </w:r>
                  <w:r>
                    <w:rPr>
                      <w:color w:val="auto"/>
                      <w:szCs w:val="21"/>
                    </w:rPr>
                    <w:t>207.2</w:t>
                  </w:r>
                  <w:r>
                    <w:rPr>
                      <w:rFonts w:hint="eastAsia"/>
                      <w:color w:val="auto"/>
                      <w:szCs w:val="21"/>
                      <w:lang w:eastAsia="zh-CN"/>
                    </w:rPr>
                    <w:t>）</w:t>
                  </w:r>
                  <w:r>
                    <w:rPr>
                      <w:color w:val="auto"/>
                      <w:szCs w:val="21"/>
                    </w:rPr>
                    <w:t>；纯品为灰白色质软的粉末，切削面有光泽，延性弱，展性强。熔点327℃，沸点1620℃，蒸气压0.13</w:t>
                  </w:r>
                  <w:r>
                    <w:rPr>
                      <w:rFonts w:hint="eastAsia"/>
                      <w:color w:val="auto"/>
                      <w:szCs w:val="21"/>
                      <w:lang w:eastAsia="zh-CN"/>
                    </w:rPr>
                    <w:t>（</w:t>
                  </w:r>
                  <w:r>
                    <w:rPr>
                      <w:color w:val="auto"/>
                      <w:szCs w:val="21"/>
                    </w:rPr>
                    <w:t>970℃</w:t>
                  </w:r>
                  <w:r>
                    <w:rPr>
                      <w:rFonts w:hint="eastAsia"/>
                      <w:color w:val="auto"/>
                      <w:szCs w:val="21"/>
                      <w:lang w:eastAsia="zh-CN"/>
                    </w:rPr>
                    <w:t>）</w:t>
                  </w:r>
                  <w:r>
                    <w:rPr>
                      <w:color w:val="auto"/>
                      <w:szCs w:val="21"/>
                    </w:rPr>
                    <w:t xml:space="preserve"> ，相对密度11.34</w:t>
                  </w:r>
                  <w:r>
                    <w:rPr>
                      <w:rFonts w:hint="eastAsia"/>
                      <w:color w:val="auto"/>
                      <w:szCs w:val="21"/>
                      <w:lang w:eastAsia="zh-CN"/>
                    </w:rPr>
                    <w:t>（</w:t>
                  </w:r>
                  <w:r>
                    <w:rPr>
                      <w:color w:val="auto"/>
                      <w:szCs w:val="21"/>
                    </w:rPr>
                    <w:t>20℃</w:t>
                  </w:r>
                  <w:r>
                    <w:rPr>
                      <w:rFonts w:hint="eastAsia"/>
                      <w:color w:val="auto"/>
                      <w:szCs w:val="21"/>
                      <w:lang w:eastAsia="zh-CN"/>
                    </w:rPr>
                    <w:t>）</w:t>
                  </w:r>
                  <w:r>
                    <w:rPr>
                      <w:color w:val="auto"/>
                      <w:szCs w:val="21"/>
                    </w:rPr>
                    <w:t>，水中嗅觉阈浓度：水中铅浓度2mg/L时，有金属味，不溶于水，溶于硝酸、热浓硫酸、碱液，不溶于稀盐酸。</w:t>
                  </w:r>
                </w:p>
              </w:tc>
              <w:tc>
                <w:tcPr>
                  <w:tcW w:w="1155" w:type="pct"/>
                  <w:vAlign w:val="center"/>
                </w:tcPr>
                <w:p>
                  <w:pPr>
                    <w:snapToGrid w:val="0"/>
                    <w:jc w:val="center"/>
                    <w:rPr>
                      <w:color w:val="auto"/>
                      <w:szCs w:val="21"/>
                    </w:rPr>
                  </w:pPr>
                  <w:r>
                    <w:rPr>
                      <w:color w:val="auto"/>
                      <w:szCs w:val="21"/>
                    </w:rPr>
                    <w:t>LD5070mg/kg</w:t>
                  </w:r>
                  <w:r>
                    <w:rPr>
                      <w:rFonts w:hint="eastAsia"/>
                      <w:color w:val="auto"/>
                      <w:szCs w:val="21"/>
                      <w:lang w:eastAsia="zh-CN"/>
                    </w:rPr>
                    <w:t>（</w:t>
                  </w:r>
                  <w:r>
                    <w:rPr>
                      <w:color w:val="auto"/>
                      <w:szCs w:val="21"/>
                    </w:rPr>
                    <w:t>大鼠经静脉</w:t>
                  </w:r>
                  <w:r>
                    <w:rPr>
                      <w:rFonts w:hint="eastAsia"/>
                      <w:color w:val="auto"/>
                      <w:szCs w:val="21"/>
                      <w:lang w:eastAsia="zh-CN"/>
                    </w:rPr>
                    <w:t>）</w:t>
                  </w:r>
                  <w:r>
                    <w:rPr>
                      <w:color w:val="auto"/>
                      <w:szCs w:val="21"/>
                    </w:rPr>
                    <w:t>，致癌</w:t>
                  </w:r>
                </w:p>
              </w:tc>
            </w:tr>
            <w:tr>
              <w:trPr>
                <w:cantSplit/>
                <w:trHeight w:hRule="exact" w:val="1934"/>
                <w:tblHeader/>
              </w:trPr>
              <w:tc>
                <w:tcPr>
                  <w:tcW w:w="360" w:type="pct"/>
                  <w:vAlign w:val="center"/>
                </w:tcPr>
                <w:p>
                  <w:pPr>
                    <w:snapToGrid w:val="0"/>
                    <w:jc w:val="center"/>
                    <w:rPr>
                      <w:rFonts w:eastAsia="宋体" w:hint="eastAsia"/>
                      <w:color w:val="auto"/>
                      <w:szCs w:val="21"/>
                      <w:lang w:val="en-US" w:eastAsia="zh-CN"/>
                    </w:rPr>
                  </w:pPr>
                  <w:r>
                    <w:rPr>
                      <w:rFonts w:hint="eastAsia"/>
                      <w:color w:val="auto"/>
                      <w:szCs w:val="21"/>
                      <w:lang w:val="en-US" w:eastAsia="zh-CN"/>
                    </w:rPr>
                    <w:t>2</w:t>
                  </w:r>
                </w:p>
              </w:tc>
              <w:tc>
                <w:tcPr>
                  <w:tcW w:w="620" w:type="pct"/>
                  <w:vAlign w:val="center"/>
                </w:tcPr>
                <w:p>
                  <w:pPr>
                    <w:snapToGrid w:val="0"/>
                    <w:jc w:val="center"/>
                    <w:rPr>
                      <w:rFonts w:eastAsia="宋体" w:hint="eastAsia"/>
                      <w:color w:val="auto"/>
                      <w:szCs w:val="21"/>
                      <w:lang w:val="en-US"/>
                    </w:rPr>
                  </w:pPr>
                  <w:r>
                    <w:rPr>
                      <w:rFonts w:hint="eastAsia"/>
                      <w:color w:val="auto"/>
                      <w:szCs w:val="21"/>
                      <w:lang w:val="en-US"/>
                    </w:rPr>
                    <w:t>二氧化铅</w:t>
                  </w:r>
                </w:p>
              </w:tc>
              <w:tc>
                <w:tcPr>
                  <w:tcW w:w="2863" w:type="pct"/>
                  <w:vAlign w:val="center"/>
                </w:tcPr>
                <w:p>
                  <w:pPr>
                    <w:snapToGrid w:val="0"/>
                    <w:jc w:val="center"/>
                    <w:rPr>
                      <w:color w:val="auto"/>
                      <w:szCs w:val="21"/>
                    </w:rPr>
                  </w:pPr>
                  <w:r>
                    <w:rPr>
                      <w:rFonts w:hint="eastAsia"/>
                      <w:color w:val="auto"/>
                      <w:szCs w:val="21"/>
                    </w:rPr>
                    <w:t>是一种无机化合物，化学式为PbO</w:t>
                  </w:r>
                  <w:r>
                    <w:rPr>
                      <w:rFonts w:hint="eastAsia"/>
                      <w:color w:val="auto"/>
                      <w:szCs w:val="21"/>
                      <w:vertAlign w:val="subscript"/>
                    </w:rPr>
                    <w:t>2</w:t>
                  </w:r>
                  <w:r>
                    <w:rPr>
                      <w:rFonts w:hint="eastAsia"/>
                      <w:color w:val="auto"/>
                      <w:szCs w:val="21"/>
                    </w:rPr>
                    <w:t>，有两种晶型，外观为棕黑色粉末，不溶于水和醇，溶于乙酸和氢氧化钠，经过加热会分解，常用于染料、火柴、焰火、合成橡胶、电极等制造，也可用作氧化剂</w:t>
                  </w:r>
                  <w:r>
                    <w:rPr>
                      <w:color w:val="auto"/>
                      <w:szCs w:val="21"/>
                    </w:rPr>
                    <w:t>。</w:t>
                  </w:r>
                  <w:r>
                    <w:rPr>
                      <w:color w:val="auto"/>
                      <w:szCs w:val="21"/>
                      <w:lang w:eastAsia="zh-CN"/>
                    </w:rPr>
                    <w:t>密度：9.38g/cm</w:t>
                  </w:r>
                  <w:r>
                    <w:rPr>
                      <w:color w:val="auto"/>
                      <w:szCs w:val="21"/>
                      <w:vertAlign w:val="superscript"/>
                      <w:lang w:eastAsia="zh-CN"/>
                    </w:rPr>
                    <w:t>3</w:t>
                  </w:r>
                  <w:r>
                    <w:rPr>
                      <w:rFonts w:hint="eastAsia"/>
                      <w:color w:val="auto"/>
                      <w:szCs w:val="21"/>
                    </w:rPr>
                    <w:t>，</w:t>
                  </w:r>
                  <w:r>
                    <w:rPr>
                      <w:color w:val="auto"/>
                      <w:szCs w:val="21"/>
                      <w:lang w:eastAsia="zh-CN"/>
                    </w:rPr>
                    <w:t>熔点：290℃</w:t>
                  </w:r>
                  <w:r>
                    <w:rPr>
                      <w:rFonts w:hint="eastAsia"/>
                      <w:color w:val="auto"/>
                      <w:szCs w:val="21"/>
                      <w:lang w:eastAsia="zh-CN"/>
                    </w:rPr>
                    <w:t>，</w:t>
                  </w:r>
                  <w:r>
                    <w:rPr>
                      <w:color w:val="auto"/>
                      <w:szCs w:val="21"/>
                      <w:lang w:eastAsia="zh-CN"/>
                    </w:rPr>
                    <w:t>外观：棕黑色粉末</w:t>
                  </w:r>
                  <w:r>
                    <w:rPr>
                      <w:rFonts w:hint="eastAsia"/>
                      <w:color w:val="auto"/>
                      <w:szCs w:val="21"/>
                      <w:lang w:eastAsia="zh-CN"/>
                    </w:rPr>
                    <w:t>。</w:t>
                  </w:r>
                  <w:r>
                    <w:rPr>
                      <w:color w:val="auto"/>
                      <w:szCs w:val="21"/>
                      <w:lang w:eastAsia="zh-CN"/>
                    </w:rPr>
                    <w:t>溶解性：不溶于水、醇，溶于乙酸、氢氧化钠水溶液</w:t>
                  </w:r>
                  <w:r>
                    <w:rPr>
                      <w:rFonts w:hint="eastAsia"/>
                      <w:color w:val="auto"/>
                      <w:szCs w:val="21"/>
                      <w:lang w:eastAsia="zh-CN"/>
                    </w:rPr>
                    <w:t>。</w:t>
                  </w:r>
                </w:p>
              </w:tc>
              <w:tc>
                <w:tcPr>
                  <w:tcW w:w="1155" w:type="pct"/>
                  <w:vAlign w:val="center"/>
                </w:tcPr>
                <w:p>
                  <w:pPr>
                    <w:snapToGrid w:val="0"/>
                    <w:jc w:val="center"/>
                    <w:rPr>
                      <w:color w:val="auto"/>
                      <w:szCs w:val="21"/>
                    </w:rPr>
                  </w:pPr>
                  <w:r>
                    <w:rPr>
                      <w:color w:val="auto"/>
                      <w:szCs w:val="21"/>
                      <w:lang w:val="en-US" w:eastAsia="zh-CN"/>
                    </w:rPr>
                    <w:t>LD50约‌</w:t>
                  </w:r>
                  <w:r>
                    <w:rPr>
                      <w:rFonts w:hint="eastAsia"/>
                      <w:color w:val="auto"/>
                      <w:szCs w:val="21"/>
                      <w:lang w:val="en-US" w:eastAsia="zh-CN"/>
                    </w:rPr>
                    <w:t>200 mg/kg</w:t>
                  </w:r>
                  <w:r>
                    <w:rPr>
                      <w:color w:val="auto"/>
                      <w:szCs w:val="21"/>
                      <w:lang w:eastAsia="zh-CN"/>
                    </w:rPr>
                    <w:t>（豚鼠腹膜内注射 ）</w:t>
                  </w:r>
                  <w:r>
                    <w:rPr>
                      <w:rFonts w:hint="eastAsia"/>
                      <w:color w:val="auto"/>
                      <w:szCs w:val="21"/>
                      <w:lang w:val="en-US" w:eastAsia="zh-CN"/>
                    </w:rPr>
                    <w:t>‌；人类短时大剂量接触可引发急性/亚急性铅中毒</w:t>
                  </w:r>
                </w:p>
              </w:tc>
            </w:tr>
            <w:tr>
              <w:trPr>
                <w:cantSplit/>
                <w:trHeight w:hRule="exact" w:val="1438"/>
                <w:tblHeader/>
              </w:trPr>
              <w:tc>
                <w:tcPr>
                  <w:tcW w:w="360" w:type="pct"/>
                  <w:vAlign w:val="center"/>
                </w:tcPr>
                <w:p>
                  <w:pPr>
                    <w:snapToGrid w:val="0"/>
                    <w:jc w:val="center"/>
                    <w:rPr>
                      <w:color w:val="auto"/>
                      <w:szCs w:val="21"/>
                      <w:lang w:val="en-US" w:eastAsia="zh-CN"/>
                    </w:rPr>
                  </w:pPr>
                  <w:r>
                    <w:rPr>
                      <w:rFonts w:hint="eastAsia"/>
                      <w:color w:val="auto"/>
                      <w:szCs w:val="21"/>
                      <w:lang w:val="en-US" w:eastAsia="zh-CN"/>
                    </w:rPr>
                    <w:t>3</w:t>
                  </w:r>
                </w:p>
              </w:tc>
              <w:tc>
                <w:tcPr>
                  <w:tcW w:w="620" w:type="pct"/>
                  <w:vAlign w:val="center"/>
                </w:tcPr>
                <w:p>
                  <w:pPr>
                    <w:snapToGrid w:val="0"/>
                    <w:jc w:val="center"/>
                    <w:rPr>
                      <w:rFonts w:eastAsia="宋体" w:hint="eastAsia"/>
                      <w:color w:val="auto"/>
                      <w:szCs w:val="21"/>
                      <w:lang w:val="en-US" w:eastAsia="zh-CN"/>
                    </w:rPr>
                  </w:pPr>
                  <w:r>
                    <w:rPr>
                      <w:color w:val="auto"/>
                      <w:szCs w:val="21"/>
                    </w:rPr>
                    <w:t>硫酸铅</w:t>
                  </w:r>
                </w:p>
              </w:tc>
              <w:tc>
                <w:tcPr>
                  <w:tcW w:w="2863" w:type="pct"/>
                  <w:vAlign w:val="center"/>
                </w:tcPr>
                <w:p>
                  <w:pPr>
                    <w:snapToGrid w:val="0"/>
                    <w:jc w:val="center"/>
                    <w:rPr>
                      <w:rFonts w:hint="eastAsia"/>
                      <w:color w:val="auto"/>
                      <w:szCs w:val="21"/>
                    </w:rPr>
                  </w:pPr>
                  <w:r>
                    <w:rPr>
                      <w:color w:val="auto"/>
                      <w:szCs w:val="21"/>
                    </w:rPr>
                    <w:t>PbSO4(303.26)；</w:t>
                  </w:r>
                  <w:r>
                    <w:rPr>
                      <w:rFonts w:hint="eastAsia"/>
                      <w:color w:val="auto"/>
                      <w:szCs w:val="21"/>
                    </w:rPr>
                    <w:t>外观：白色结晶粉末；水溶性：‌难溶‌（约 0.04 g/100 mL</w:t>
                  </w:r>
                  <w:r>
                    <w:rPr>
                      <w:rFonts w:hint="eastAsia"/>
                      <w:color w:val="auto"/>
                      <w:szCs w:val="21"/>
                      <w:lang w:eastAsia="zh-CN"/>
                    </w:rPr>
                    <w:t>，</w:t>
                  </w:r>
                  <w:r>
                    <w:rPr>
                      <w:rFonts w:hint="eastAsia"/>
                      <w:color w:val="auto"/>
                      <w:szCs w:val="21"/>
                    </w:rPr>
                    <w:t>25℃）</w:t>
                  </w:r>
                  <w:r>
                    <w:rPr>
                      <w:color w:val="auto"/>
                      <w:szCs w:val="21"/>
                    </w:rPr>
                    <w:t>。</w:t>
                  </w:r>
                </w:p>
              </w:tc>
              <w:tc>
                <w:tcPr>
                  <w:tcW w:w="1155" w:type="pct"/>
                  <w:vAlign w:val="center"/>
                </w:tcPr>
                <w:p>
                  <w:pPr>
                    <w:snapToGrid w:val="0"/>
                    <w:jc w:val="center"/>
                    <w:rPr>
                      <w:color w:val="auto"/>
                      <w:szCs w:val="21"/>
                    </w:rPr>
                  </w:pPr>
                  <w:r>
                    <w:rPr>
                      <w:rFonts w:hint="eastAsia"/>
                      <w:color w:val="auto"/>
                      <w:szCs w:val="21"/>
                    </w:rPr>
                    <w:t>铅及其化合物对所有生物都有毒性作用。特别能使神经系统、血液、血管发生变化</w:t>
                  </w:r>
                </w:p>
              </w:tc>
            </w:tr>
            <w:tr>
              <w:trPr>
                <w:cantSplit/>
                <w:trHeight w:hRule="exact" w:val="1201"/>
                <w:tblHeader/>
              </w:trPr>
              <w:tc>
                <w:tcPr>
                  <w:tcW w:w="360" w:type="pct"/>
                  <w:vAlign w:val="center"/>
                </w:tcPr>
                <w:p>
                  <w:pPr>
                    <w:snapToGrid w:val="0"/>
                    <w:jc w:val="center"/>
                    <w:rPr>
                      <w:rFonts w:eastAsia="宋体" w:hint="eastAsia"/>
                      <w:color w:val="auto"/>
                      <w:szCs w:val="21"/>
                      <w:lang w:eastAsia="zh-CN"/>
                    </w:rPr>
                  </w:pPr>
                  <w:r>
                    <w:rPr>
                      <w:rFonts w:hint="eastAsia"/>
                      <w:color w:val="auto"/>
                      <w:szCs w:val="21"/>
                      <w:lang w:val="en-US" w:eastAsia="zh-CN"/>
                    </w:rPr>
                    <w:t>4</w:t>
                  </w:r>
                </w:p>
              </w:tc>
              <w:tc>
                <w:tcPr>
                  <w:tcW w:w="620" w:type="pct"/>
                  <w:vAlign w:val="center"/>
                </w:tcPr>
                <w:p>
                  <w:pPr>
                    <w:snapToGrid w:val="0"/>
                    <w:jc w:val="center"/>
                    <w:rPr>
                      <w:color w:val="auto"/>
                      <w:szCs w:val="21"/>
                    </w:rPr>
                  </w:pPr>
                  <w:r>
                    <w:rPr>
                      <w:color w:val="auto"/>
                      <w:szCs w:val="21"/>
                    </w:rPr>
                    <w:t>硫酸</w:t>
                  </w:r>
                </w:p>
              </w:tc>
              <w:tc>
                <w:tcPr>
                  <w:tcW w:w="2863" w:type="pct"/>
                  <w:vAlign w:val="center"/>
                </w:tcPr>
                <w:p>
                  <w:pPr>
                    <w:snapToGrid w:val="0"/>
                    <w:jc w:val="center"/>
                    <w:rPr>
                      <w:color w:val="auto"/>
                      <w:szCs w:val="21"/>
                    </w:rPr>
                  </w:pPr>
                  <w:r>
                    <w:rPr>
                      <w:color w:val="auto"/>
                      <w:szCs w:val="21"/>
                    </w:rPr>
                    <w:t>H</w:t>
                  </w:r>
                  <w:r>
                    <w:rPr>
                      <w:color w:val="auto"/>
                      <w:szCs w:val="21"/>
                      <w:vertAlign w:val="subscript"/>
                    </w:rPr>
                    <w:t>2</w:t>
                  </w:r>
                  <w:r>
                    <w:rPr>
                      <w:color w:val="auto"/>
                      <w:szCs w:val="21"/>
                    </w:rPr>
                    <w:t>SO</w:t>
                  </w:r>
                  <w:r>
                    <w:rPr>
                      <w:color w:val="auto"/>
                      <w:szCs w:val="21"/>
                      <w:vertAlign w:val="subscript"/>
                    </w:rPr>
                    <w:t>4</w:t>
                  </w:r>
                  <w:r>
                    <w:rPr>
                      <w:rFonts w:hint="eastAsia"/>
                      <w:color w:val="auto"/>
                      <w:szCs w:val="21"/>
                      <w:lang w:eastAsia="zh-CN"/>
                    </w:rPr>
                    <w:t>（</w:t>
                  </w:r>
                  <w:r>
                    <w:rPr>
                      <w:color w:val="auto"/>
                      <w:szCs w:val="21"/>
                    </w:rPr>
                    <w:t>98.08</w:t>
                  </w:r>
                  <w:r>
                    <w:rPr>
                      <w:rFonts w:hint="eastAsia"/>
                      <w:color w:val="auto"/>
                      <w:szCs w:val="21"/>
                      <w:lang w:eastAsia="zh-CN"/>
                    </w:rPr>
                    <w:t>）</w:t>
                  </w:r>
                  <w:r>
                    <w:rPr>
                      <w:color w:val="auto"/>
                      <w:szCs w:val="21"/>
                    </w:rPr>
                    <w:t>；纯品为无色透明油状液体，无臭。相对密度</w:t>
                  </w:r>
                  <w:r>
                    <w:rPr>
                      <w:rFonts w:hint="eastAsia"/>
                      <w:color w:val="auto"/>
                      <w:szCs w:val="21"/>
                      <w:lang w:eastAsia="zh-CN"/>
                    </w:rPr>
                    <w:t>（</w:t>
                  </w:r>
                  <w:r>
                    <w:rPr>
                      <w:color w:val="auto"/>
                      <w:szCs w:val="21"/>
                    </w:rPr>
                    <w:t>水=1</w:t>
                  </w:r>
                  <w:r>
                    <w:rPr>
                      <w:rFonts w:hint="eastAsia"/>
                      <w:color w:val="auto"/>
                      <w:szCs w:val="21"/>
                      <w:lang w:eastAsia="zh-CN"/>
                    </w:rPr>
                    <w:t>）</w:t>
                  </w:r>
                  <w:r>
                    <w:rPr>
                      <w:color w:val="auto"/>
                      <w:szCs w:val="21"/>
                    </w:rPr>
                    <w:t>1.83</w:t>
                  </w:r>
                  <w:r>
                    <w:rPr>
                      <w:rFonts w:hint="eastAsia"/>
                      <w:color w:val="auto"/>
                      <w:szCs w:val="21"/>
                      <w:lang w:eastAsia="zh-CN"/>
                    </w:rPr>
                    <w:t>（</w:t>
                  </w:r>
                  <w:r>
                    <w:rPr>
                      <w:color w:val="auto"/>
                      <w:szCs w:val="21"/>
                    </w:rPr>
                    <w:t>空气=1</w:t>
                  </w:r>
                  <w:r>
                    <w:rPr>
                      <w:rFonts w:hint="eastAsia"/>
                      <w:color w:val="auto"/>
                      <w:szCs w:val="21"/>
                      <w:lang w:eastAsia="zh-CN"/>
                    </w:rPr>
                    <w:t>）</w:t>
                  </w:r>
                  <w:r>
                    <w:rPr>
                      <w:color w:val="auto"/>
                      <w:szCs w:val="21"/>
                    </w:rPr>
                    <w:t>3.4，熔点10.5℃， 沸点330.0℃ ，蒸气压0.13</w:t>
                  </w:r>
                  <w:r>
                    <w:rPr>
                      <w:rFonts w:hint="eastAsia"/>
                      <w:color w:val="auto"/>
                      <w:szCs w:val="21"/>
                      <w:lang w:eastAsia="zh-CN"/>
                    </w:rPr>
                    <w:t>（</w:t>
                  </w:r>
                  <w:r>
                    <w:rPr>
                      <w:color w:val="auto"/>
                      <w:szCs w:val="21"/>
                    </w:rPr>
                    <w:t>145.8℃</w:t>
                  </w:r>
                  <w:r>
                    <w:rPr>
                      <w:rFonts w:hint="eastAsia"/>
                      <w:color w:val="auto"/>
                      <w:szCs w:val="21"/>
                      <w:lang w:eastAsia="zh-CN"/>
                    </w:rPr>
                    <w:t>）</w:t>
                  </w:r>
                  <w:r>
                    <w:rPr>
                      <w:color w:val="auto"/>
                      <w:szCs w:val="21"/>
                    </w:rPr>
                    <w:t>，与水混溶。</w:t>
                  </w:r>
                </w:p>
              </w:tc>
              <w:tc>
                <w:tcPr>
                  <w:tcW w:w="1155" w:type="pct"/>
                  <w:vAlign w:val="center"/>
                </w:tcPr>
                <w:p>
                  <w:pPr>
                    <w:snapToGrid w:val="0"/>
                    <w:jc w:val="center"/>
                    <w:rPr>
                      <w:rFonts w:eastAsia="宋体" w:hint="eastAsia"/>
                      <w:color w:val="auto"/>
                      <w:szCs w:val="21"/>
                      <w:lang w:eastAsia="zh-CN"/>
                    </w:rPr>
                  </w:pPr>
                  <w:r>
                    <w:rPr>
                      <w:color w:val="auto"/>
                      <w:szCs w:val="21"/>
                    </w:rPr>
                    <w:t>LD502140mg/kg</w:t>
                  </w:r>
                  <w:r>
                    <w:rPr>
                      <w:rFonts w:hint="eastAsia"/>
                      <w:color w:val="auto"/>
                      <w:szCs w:val="21"/>
                      <w:lang w:eastAsia="zh-CN"/>
                    </w:rPr>
                    <w:t>（</w:t>
                  </w:r>
                  <w:r>
                    <w:rPr>
                      <w:color w:val="auto"/>
                      <w:szCs w:val="21"/>
                    </w:rPr>
                    <w:t>大鼠经口</w:t>
                  </w:r>
                  <w:r>
                    <w:rPr>
                      <w:rFonts w:hint="eastAsia"/>
                      <w:color w:val="auto"/>
                      <w:szCs w:val="21"/>
                      <w:lang w:eastAsia="zh-CN"/>
                    </w:rPr>
                    <w:t>）</w:t>
                  </w:r>
                  <w:r>
                    <w:rPr>
                      <w:color w:val="auto"/>
                      <w:szCs w:val="21"/>
                    </w:rPr>
                    <w:t>；LC50510mg/m</w:t>
                  </w:r>
                  <w:r>
                    <w:rPr>
                      <w:color w:val="auto"/>
                      <w:szCs w:val="21"/>
                      <w:vertAlign w:val="superscript"/>
                    </w:rPr>
                    <w:t>3</w:t>
                  </w:r>
                  <w:r>
                    <w:rPr>
                      <w:color w:val="auto"/>
                      <w:szCs w:val="21"/>
                    </w:rPr>
                    <w:t>，2小时</w:t>
                  </w:r>
                  <w:r>
                    <w:rPr>
                      <w:rFonts w:hint="eastAsia"/>
                      <w:color w:val="auto"/>
                      <w:szCs w:val="21"/>
                      <w:lang w:eastAsia="zh-CN"/>
                    </w:rPr>
                    <w:t>（</w:t>
                  </w:r>
                  <w:r>
                    <w:rPr>
                      <w:color w:val="auto"/>
                      <w:szCs w:val="21"/>
                    </w:rPr>
                    <w:t>大鼠吸入</w:t>
                  </w:r>
                  <w:r>
                    <w:rPr>
                      <w:rFonts w:hint="eastAsia"/>
                      <w:color w:val="auto"/>
                      <w:szCs w:val="21"/>
                      <w:lang w:eastAsia="zh-CN"/>
                    </w:rPr>
                    <w:t>）</w:t>
                  </w:r>
                </w:p>
              </w:tc>
            </w:tr>
          </w:tbl>
          <w:p>
            <w:pPr>
              <w:keepNext w:val="0"/>
              <w:keepLines w:val="0"/>
              <w:pageBreakBefore w:val="0"/>
              <w:widowControl w:val="0"/>
              <w:kinsoku/>
              <w:wordWrap/>
              <w:overflowPunct/>
              <w:topLinePunct w:val="0"/>
              <w:autoSpaceDE/>
              <w:autoSpaceDN/>
              <w:bidi w:val="0"/>
              <w:snapToGrid/>
              <w:spacing w:line="460" w:lineRule="exact"/>
              <w:ind w:firstLineChars="200" w:firstLine="480"/>
              <w:rPr>
                <w:b/>
                <w:bCs/>
                <w:color w:val="auto"/>
                <w:sz w:val="24"/>
                <w:highlight w:val="none"/>
              </w:rPr>
            </w:pPr>
            <w:r>
              <w:rPr>
                <w:rFonts w:hint="eastAsia"/>
                <w:b/>
                <w:bCs/>
                <w:color w:val="auto"/>
                <w:sz w:val="24"/>
                <w:lang w:val="en-US" w:eastAsia="zh-CN"/>
                <w:highlight w:val="none"/>
              </w:rPr>
              <w:t>5</w:t>
            </w:r>
            <w:r>
              <w:rPr>
                <w:rFonts w:hint="eastAsia"/>
                <w:b/>
                <w:bCs/>
                <w:color w:val="auto"/>
                <w:sz w:val="24"/>
                <w:highlight w:val="none"/>
              </w:rPr>
              <w:t>、主要设备参数</w:t>
            </w:r>
          </w:p>
          <w:p>
            <w:pPr>
              <w:keepNext w:val="0"/>
              <w:keepLines w:val="0"/>
              <w:pageBreakBefore w:val="0"/>
              <w:widowControl w:val="0"/>
              <w:kinsoku/>
              <w:wordWrap/>
              <w:overflowPunct/>
              <w:topLinePunct w:val="0"/>
              <w:autoSpaceDE/>
              <w:autoSpaceDN/>
              <w:bidi w:val="0"/>
              <w:snapToGrid/>
              <w:spacing w:line="460" w:lineRule="exact"/>
              <w:ind w:firstLineChars="200" w:firstLine="480"/>
              <w:rPr>
                <w:rFonts w:hint="eastAsia"/>
                <w:color w:val="auto"/>
                <w:sz w:val="24"/>
                <w:highlight w:val="none"/>
              </w:rPr>
            </w:pPr>
            <w:r>
              <w:rPr>
                <w:rFonts w:hint="eastAsia"/>
                <w:color w:val="auto"/>
                <w:sz w:val="24"/>
                <w:highlight w:val="none"/>
              </w:rPr>
              <w:t>项目主要设备一览表见表2-</w:t>
            </w:r>
            <w:r>
              <w:rPr>
                <w:rFonts w:hint="eastAsia"/>
                <w:color w:val="auto"/>
                <w:sz w:val="24"/>
                <w:lang w:val="en-US" w:eastAsia="zh-CN"/>
                <w:highlight w:val="none"/>
              </w:rPr>
              <w:t>6</w:t>
            </w:r>
            <w:r>
              <w:rPr>
                <w:rFonts w:hint="eastAsia"/>
                <w:color w:val="auto"/>
                <w:sz w:val="24"/>
                <w:highlight w:val="none"/>
              </w:rPr>
              <w:t>。</w:t>
            </w:r>
          </w:p>
          <w:p>
            <w:pPr>
              <w:jc w:val="center"/>
              <w:rPr>
                <w:rFonts w:eastAsia="宋体"/>
                <w:b/>
                <w:bCs/>
                <w:color w:val="auto"/>
                <w:sz w:val="24"/>
                <w:lang w:val="en-US" w:eastAsia="zh-CN"/>
                <w:highlight w:val="none"/>
              </w:rPr>
            </w:pPr>
            <w:bookmarkStart w:id="41" w:name="_Hlk180482146"/>
            <w:r>
              <w:rPr>
                <w:b/>
                <w:bCs/>
                <w:color w:val="auto"/>
                <w:sz w:val="24"/>
                <w:highlight w:val="none"/>
              </w:rPr>
              <w:t>表2-</w:t>
            </w:r>
            <w:r>
              <w:rPr>
                <w:rFonts w:hint="eastAsia"/>
                <w:b/>
                <w:bCs/>
                <w:color w:val="auto"/>
                <w:sz w:val="24"/>
                <w:lang w:val="en-US" w:eastAsia="zh-CN"/>
                <w:highlight w:val="none"/>
              </w:rPr>
              <w:t>6</w:t>
            </w:r>
            <w:r>
              <w:rPr>
                <w:b/>
                <w:bCs/>
                <w:color w:val="auto"/>
                <w:sz w:val="24"/>
                <w:highlight w:val="none"/>
              </w:rPr>
              <w:t xml:space="preserve">  主要设备一览表</w:t>
            </w:r>
            <w:r>
              <w:rPr>
                <w:rFonts w:hint="eastAsia"/>
                <w:b/>
                <w:bCs/>
                <w:color w:val="auto"/>
                <w:sz w:val="24"/>
                <w:lang w:val="en-US" w:eastAsia="zh-CN"/>
                <w:highlight w:val="none"/>
              </w:rPr>
              <w:t xml:space="preserve">     单位：台/套</w:t>
            </w:r>
          </w:p>
          <w:tbl>
            <w:tblPr>
              <w:jc w:val="center"/>
              <w:tblW w:w="4995" w:type="pct"/>
              <w:tblBorders>
                <w:top w:val="single" w:sz="12" w:space="0" w:color="auto"/>
                <w:left w:val="none" w:sz="0" w:space="0" w:color="auto"/>
                <w:bottom w:val="single" w:sz="12" w:space="0" w:color="auto"/>
                <w:right w:val="none" w:sz="0" w:space="0" w:color="auto"/>
                <w:insideH w:val="single" w:sz="4" w:space="0" w:color="auto"/>
                <w:insideV w:val="single" w:sz="4" w:space="0" w:color="auto"/>
              </w:tblBorders>
              <w:tblCellMar>
                <w:top w:w="0" w:type="dxa"/>
                <w:left w:w="108" w:type="dxa"/>
                <w:bottom w:w="0" w:type="dxa"/>
                <w:right w:w="108" w:type="dxa"/>
              </w:tblCellMar>
              <w:tblLook w:val="0600" w:firstRow="0" w:lastRow="0" w:firstColumn="0" w:lastColumn="0" w:noHBand="1" w:noVBand="1"/>
            </w:tblPr>
            <w:tblGrid>
              <w:gridCol w:w="854"/>
              <w:gridCol w:w="1674"/>
              <w:gridCol w:w="3124"/>
              <w:gridCol w:w="1215"/>
              <w:gridCol w:w="1231"/>
            </w:tblGrid>
            <w:tr>
              <w:trPr>
                <w:trHeight w:val="397"/>
              </w:trPr>
              <w:tc>
                <w:tcPr>
                  <w:tcW w:w="527" w:type="pct"/>
                  <w:tcBorders>
                    <w:tl2br w:val="nil"/>
                    <w:tr2bl w:val="nil"/>
                  </w:tcBorders>
                  <w:vAlign w:val="center"/>
                </w:tcPr>
                <w:p>
                  <w:pPr>
                    <w:jc w:val="center"/>
                    <w:rPr>
                      <w:rFonts w:ascii="Times New Roman" w:eastAsia="宋体" w:cs="Times New Roman" w:hAnsi="Times New Roman" w:hint="eastAsia"/>
                      <w:b/>
                      <w:bCs/>
                      <w:color w:val="auto"/>
                      <w:szCs w:val="21"/>
                      <w:highlight w:val="none"/>
                    </w:rPr>
                  </w:pPr>
                  <w:bookmarkStart w:id="42" w:name="_Hlk161671695"/>
                  <w:r>
                    <w:rPr>
                      <w:rFonts w:ascii="Times New Roman" w:eastAsia="宋体" w:cs="Times New Roman" w:hAnsi="Times New Roman" w:hint="eastAsia"/>
                      <w:b/>
                      <w:bCs/>
                      <w:color w:val="auto"/>
                      <w:szCs w:val="21"/>
                      <w:highlight w:val="none"/>
                    </w:rPr>
                    <w:t>序号</w:t>
                  </w:r>
                </w:p>
              </w:tc>
              <w:tc>
                <w:tcPr>
                  <w:tcW w:w="1033" w:type="pct"/>
                  <w:tcBorders>
                    <w:tl2br w:val="nil"/>
                    <w:tr2bl w:val="nil"/>
                  </w:tcBorders>
                  <w:vAlign w:val="center"/>
                </w:tcPr>
                <w:p>
                  <w:pPr>
                    <w:jc w:val="center"/>
                    <w:rPr>
                      <w:rFonts w:ascii="Times New Roman" w:eastAsia="宋体" w:cs="Times New Roman" w:hAnsi="Times New Roman" w:hint="eastAsia"/>
                      <w:b/>
                      <w:bCs/>
                      <w:color w:val="auto"/>
                      <w:szCs w:val="21"/>
                      <w:highlight w:val="none"/>
                    </w:rPr>
                  </w:pPr>
                  <w:r>
                    <w:rPr>
                      <w:rFonts w:ascii="Times New Roman" w:eastAsia="宋体" w:cs="Times New Roman" w:hAnsi="Times New Roman" w:hint="eastAsia"/>
                      <w:b/>
                      <w:bCs/>
                      <w:color w:val="auto"/>
                      <w:szCs w:val="21"/>
                      <w:highlight w:val="none"/>
                    </w:rPr>
                    <w:t>名称</w:t>
                  </w:r>
                </w:p>
              </w:tc>
              <w:tc>
                <w:tcPr>
                  <w:tcW w:w="1928" w:type="pct"/>
                  <w:tcBorders>
                    <w:tl2br w:val="nil"/>
                    <w:tr2bl w:val="nil"/>
                  </w:tcBorders>
                  <w:vAlign w:val="center"/>
                </w:tcPr>
                <w:p>
                  <w:pPr>
                    <w:jc w:val="center"/>
                    <w:rPr>
                      <w:rFonts w:ascii="Times New Roman" w:eastAsia="宋体" w:cs="Times New Roman" w:hAnsi="Times New Roman" w:hint="eastAsia"/>
                      <w:b/>
                      <w:bCs/>
                      <w:color w:val="auto"/>
                      <w:szCs w:val="21"/>
                      <w:highlight w:val="none"/>
                    </w:rPr>
                  </w:pPr>
                  <w:r>
                    <w:rPr>
                      <w:rFonts w:ascii="Times New Roman" w:eastAsia="宋体" w:cs="Times New Roman" w:hAnsi="Times New Roman" w:hint="eastAsia"/>
                      <w:b/>
                      <w:bCs/>
                      <w:color w:val="auto"/>
                      <w:szCs w:val="21"/>
                      <w:highlight w:val="none"/>
                    </w:rPr>
                    <w:t>型号</w:t>
                  </w:r>
                </w:p>
              </w:tc>
              <w:tc>
                <w:tcPr>
                  <w:tcW w:w="750" w:type="pct"/>
                  <w:tcBorders>
                    <w:tl2br w:val="nil"/>
                    <w:tr2bl w:val="nil"/>
                  </w:tcBorders>
                  <w:vAlign w:val="center"/>
                </w:tcPr>
                <w:p>
                  <w:pPr>
                    <w:jc w:val="center"/>
                    <w:rPr>
                      <w:rFonts w:ascii="Times New Roman" w:eastAsia="宋体" w:cs="Times New Roman" w:hAnsi="Times New Roman" w:hint="eastAsia"/>
                      <w:b/>
                      <w:bCs/>
                      <w:color w:val="auto"/>
                      <w:szCs w:val="21"/>
                      <w:highlight w:val="none"/>
                    </w:rPr>
                  </w:pPr>
                  <w:r>
                    <w:rPr>
                      <w:rFonts w:ascii="Times New Roman" w:eastAsia="宋体" w:cs="Times New Roman" w:hAnsi="Times New Roman" w:hint="eastAsia"/>
                      <w:b/>
                      <w:bCs/>
                      <w:color w:val="auto"/>
                      <w:szCs w:val="21"/>
                      <w:highlight w:val="none"/>
                    </w:rPr>
                    <w:t>数量</w:t>
                  </w:r>
                </w:p>
              </w:tc>
              <w:tc>
                <w:tcPr>
                  <w:tcW w:w="760" w:type="pct"/>
                  <w:tcBorders>
                    <w:tl2br w:val="nil"/>
                    <w:tr2bl w:val="nil"/>
                  </w:tcBorders>
                  <w:vAlign w:val="center"/>
                </w:tcPr>
                <w:p>
                  <w:pPr>
                    <w:jc w:val="center"/>
                    <w:rPr>
                      <w:rFonts w:ascii="Times New Roman" w:eastAsia="宋体" w:cs="Times New Roman" w:hAnsi="Times New Roman" w:hint="eastAsia"/>
                      <w:b/>
                      <w:bCs/>
                      <w:color w:val="auto"/>
                      <w:szCs w:val="21"/>
                      <w:highlight w:val="none"/>
                    </w:rPr>
                  </w:pPr>
                  <w:r>
                    <w:rPr>
                      <w:rFonts w:ascii="Times New Roman" w:eastAsia="宋体" w:cs="Times New Roman" w:hAnsi="Times New Roman" w:hint="eastAsia"/>
                      <w:b/>
                      <w:bCs/>
                      <w:color w:val="auto"/>
                      <w:szCs w:val="21"/>
                      <w:highlight w:val="none"/>
                    </w:rPr>
                    <w:t>单位</w:t>
                  </w:r>
                </w:p>
              </w:tc>
            </w:tr>
            <w:tr>
              <w:trPr>
                <w:trHeight w:val="397"/>
              </w:trPr>
              <w:tc>
                <w:tcPr>
                  <w:tcW w:w="527" w:type="pct"/>
                  <w:tcBorders>
                    <w:tl2br w:val="nil"/>
                    <w:tr2bl w:val="nil"/>
                  </w:tcBorders>
                  <w:vAlign w:val="center"/>
                </w:tcPr>
                <w:p>
                  <w:pPr>
                    <w:jc w:val="center"/>
                    <w:rPr>
                      <w:color w:val="auto"/>
                      <w:szCs w:val="21"/>
                      <w:highlight w:val="none"/>
                    </w:rPr>
                  </w:pPr>
                  <w:r>
                    <w:rPr>
                      <w:rFonts w:hint="eastAsia"/>
                      <w:color w:val="auto"/>
                      <w:szCs w:val="21"/>
                      <w:highlight w:val="none"/>
                    </w:rPr>
                    <w:t>1</w:t>
                  </w:r>
                </w:p>
              </w:tc>
              <w:tc>
                <w:tcPr>
                  <w:tcW w:w="1033" w:type="pct"/>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ascii="Times New Roman" w:eastAsia="宋体" w:cs="Times New Roman" w:hAnsi="Times New Roman"/>
                      <w:color w:val="auto"/>
                      <w:kern w:val="2"/>
                      <w:sz w:val="21"/>
                      <w:szCs w:val="21"/>
                      <w:lang w:val="en-US" w:eastAsia="zh-CN" w:bidi="ar-SA"/>
                      <w:highlight w:val="none"/>
                    </w:rPr>
                  </w:pPr>
                  <w:r>
                    <w:rPr>
                      <w:rFonts w:cs="Times New Roman" w:hint="eastAsia"/>
                      <w:color w:val="auto"/>
                      <w:szCs w:val="21"/>
                      <w:lang w:val="en-US" w:eastAsia="zh-CN"/>
                      <w:highlight w:val="none"/>
                    </w:rPr>
                    <w:t>叉车</w:t>
                  </w:r>
                </w:p>
              </w:tc>
              <w:tc>
                <w:tcPr>
                  <w:tcW w:w="1928" w:type="pct"/>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ascii="Times New Roman" w:eastAsia="宋体" w:cs="Times New Roman" w:hAnsi="Times New Roman"/>
                      <w:color w:val="auto"/>
                      <w:kern w:val="2"/>
                      <w:sz w:val="21"/>
                      <w:szCs w:val="21"/>
                      <w:lang w:val="en-US" w:eastAsia="zh-CN" w:bidi="ar-SA"/>
                      <w:highlight w:val="none"/>
                    </w:rPr>
                  </w:pPr>
                  <w:r>
                    <w:rPr>
                      <w:rFonts w:ascii="Times New Roman" w:eastAsia="宋体" w:cs="Times New Roman" w:hAnsi="Times New Roman" w:hint="eastAsia"/>
                      <w:color w:val="auto"/>
                      <w:kern w:val="2"/>
                      <w:sz w:val="21"/>
                      <w:szCs w:val="21"/>
                      <w:lang w:val="en-US" w:eastAsia="zh-CN" w:bidi="ar-SA"/>
                      <w:highlight w:val="none"/>
                    </w:rPr>
                    <w:t>手动液压叉车</w:t>
                  </w:r>
                </w:p>
              </w:tc>
              <w:tc>
                <w:tcPr>
                  <w:tcW w:w="750" w:type="pct"/>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ascii="Times New Roman" w:eastAsia="宋体" w:cs="Times New Roman" w:hAnsi="Times New Roman" w:hint="eastAsia"/>
                      <w:color w:val="auto"/>
                      <w:kern w:val="2"/>
                      <w:sz w:val="21"/>
                      <w:szCs w:val="21"/>
                      <w:lang w:val="en-US" w:eastAsia="zh-CN" w:bidi="ar-SA"/>
                      <w:highlight w:val="none"/>
                    </w:rPr>
                  </w:pPr>
                  <w:r>
                    <w:rPr>
                      <w:rFonts w:ascii="Times New Roman" w:eastAsia="宋体" w:cs="Times New Roman" w:hAnsi="Times New Roman" w:hint="eastAsia"/>
                      <w:color w:val="auto"/>
                      <w:kern w:val="2"/>
                      <w:sz w:val="21"/>
                      <w:szCs w:val="21"/>
                      <w:lang w:val="en-US" w:eastAsia="zh-CN" w:bidi="ar-SA"/>
                      <w:highlight w:val="none"/>
                    </w:rPr>
                    <w:t>2</w:t>
                  </w:r>
                </w:p>
              </w:tc>
              <w:tc>
                <w:tcPr>
                  <w:tcW w:w="760" w:type="pct"/>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ascii="Times New Roman" w:cs="Times New Roman" w:hAnsi="Times New Roman" w:hint="eastAsia"/>
                      <w:color w:val="auto"/>
                      <w:lang w:val="en-US" w:eastAsia="zh-CN"/>
                      <w:highlight w:val="none"/>
                    </w:rPr>
                  </w:pPr>
                  <w:r>
                    <w:rPr>
                      <w:rFonts w:ascii="Times New Roman" w:cs="Times New Roman" w:hAnsi="Times New Roman" w:hint="eastAsia"/>
                      <w:color w:val="auto"/>
                      <w:lang w:val="en-US" w:eastAsia="zh-CN"/>
                      <w:highlight w:val="none"/>
                    </w:rPr>
                    <w:t>台</w:t>
                  </w:r>
                </w:p>
              </w:tc>
            </w:tr>
            <w:tr>
              <w:trPr>
                <w:trHeight w:val="397"/>
              </w:trPr>
              <w:tc>
                <w:tcPr>
                  <w:tcW w:w="527" w:type="pct"/>
                  <w:tcBorders>
                    <w:tl2br w:val="nil"/>
                    <w:tr2bl w:val="nil"/>
                  </w:tcBorders>
                  <w:vAlign w:val="center"/>
                </w:tcPr>
                <w:p>
                  <w:pPr>
                    <w:jc w:val="center"/>
                    <w:rPr>
                      <w:color w:val="auto"/>
                      <w:szCs w:val="21"/>
                      <w:highlight w:val="none"/>
                    </w:rPr>
                  </w:pPr>
                  <w:r>
                    <w:rPr>
                      <w:rFonts w:hint="eastAsia"/>
                      <w:color w:val="auto"/>
                      <w:szCs w:val="21"/>
                      <w:highlight w:val="none"/>
                    </w:rPr>
                    <w:t>2</w:t>
                  </w:r>
                </w:p>
              </w:tc>
              <w:tc>
                <w:tcPr>
                  <w:tcW w:w="1033" w:type="pct"/>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ascii="Times New Roman" w:eastAsia="宋体" w:cs="Times New Roman" w:hAnsi="Times New Roman"/>
                      <w:color w:val="auto"/>
                      <w:kern w:val="2"/>
                      <w:sz w:val="21"/>
                      <w:szCs w:val="21"/>
                      <w:lang w:val="en-US" w:eastAsia="zh-CN" w:bidi="ar-SA"/>
                      <w:highlight w:val="none"/>
                    </w:rPr>
                  </w:pPr>
                  <w:r>
                    <w:rPr>
                      <w:rFonts w:ascii="Times New Roman" w:eastAsia="宋体" w:cs="Times New Roman" w:hAnsi="Times New Roman"/>
                      <w:color w:val="auto"/>
                      <w:kern w:val="2"/>
                      <w:sz w:val="21"/>
                      <w:szCs w:val="21"/>
                      <w:lang w:val="en-US" w:eastAsia="zh-CN" w:bidi="ar-SA"/>
                      <w:highlight w:val="none"/>
                    </w:rPr>
                    <w:t>称重设备</w:t>
                  </w:r>
                </w:p>
              </w:tc>
              <w:tc>
                <w:tcPr>
                  <w:tcW w:w="1928" w:type="pct"/>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ascii="Times New Roman" w:eastAsia="宋体" w:cs="Times New Roman" w:hAnsi="Times New Roman"/>
                      <w:color w:val="auto"/>
                      <w:kern w:val="2"/>
                      <w:sz w:val="21"/>
                      <w:szCs w:val="21"/>
                      <w:lang w:val="en-US" w:eastAsia="zh-CN" w:bidi="ar-SA"/>
                      <w:highlight w:val="none"/>
                    </w:rPr>
                  </w:pPr>
                  <w:r>
                    <w:rPr>
                      <w:rFonts w:ascii="Times New Roman" w:eastAsia="宋体" w:cs="Times New Roman" w:hAnsi="Times New Roman" w:hint="eastAsia"/>
                      <w:color w:val="auto"/>
                      <w:kern w:val="2"/>
                      <w:sz w:val="21"/>
                      <w:szCs w:val="21"/>
                      <w:lang w:val="en-US" w:eastAsia="zh-CN" w:bidi="ar-SA"/>
                      <w:highlight w:val="none"/>
                    </w:rPr>
                    <w:t>100吨地泵</w:t>
                  </w:r>
                </w:p>
              </w:tc>
              <w:tc>
                <w:tcPr>
                  <w:tcW w:w="750" w:type="pct"/>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ascii="Times New Roman" w:eastAsia="宋体" w:cs="Times New Roman" w:hAnsi="Times New Roman" w:hint="eastAsia"/>
                      <w:color w:val="auto"/>
                      <w:kern w:val="2"/>
                      <w:sz w:val="21"/>
                      <w:szCs w:val="21"/>
                      <w:lang w:val="en-US" w:eastAsia="zh-CN" w:bidi="ar-SA"/>
                      <w:highlight w:val="none"/>
                    </w:rPr>
                  </w:pPr>
                  <w:r>
                    <w:rPr>
                      <w:rFonts w:ascii="Times New Roman" w:eastAsia="宋体" w:cs="Times New Roman" w:hAnsi="Times New Roman" w:hint="eastAsia"/>
                      <w:color w:val="auto"/>
                      <w:kern w:val="2"/>
                      <w:sz w:val="21"/>
                      <w:szCs w:val="21"/>
                      <w:lang w:val="en-US" w:eastAsia="zh-CN" w:bidi="ar-SA"/>
                      <w:highlight w:val="none"/>
                    </w:rPr>
                    <w:t>1</w:t>
                  </w:r>
                </w:p>
              </w:tc>
              <w:tc>
                <w:tcPr>
                  <w:tcW w:w="760" w:type="pct"/>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cs="Times New Roman" w:hint="eastAsia"/>
                      <w:color w:val="auto"/>
                      <w:lang w:val="en-US" w:eastAsia="zh-CN"/>
                      <w:highlight w:val="none"/>
                    </w:rPr>
                  </w:pPr>
                  <w:r>
                    <w:rPr>
                      <w:rFonts w:cs="Times New Roman" w:hint="eastAsia"/>
                      <w:color w:val="auto"/>
                      <w:lang w:val="en-US" w:eastAsia="zh-CN"/>
                      <w:highlight w:val="none"/>
                    </w:rPr>
                    <w:t>台</w:t>
                  </w:r>
                </w:p>
              </w:tc>
            </w:tr>
            <w:tr>
              <w:trPr>
                <w:trHeight w:val="397"/>
              </w:trPr>
              <w:tc>
                <w:tcPr>
                  <w:tcW w:w="527" w:type="pct"/>
                  <w:tcBorders>
                    <w:tl2br w:val="nil"/>
                    <w:tr2bl w:val="nil"/>
                  </w:tcBorders>
                  <w:shd w:val="clear" w:color="auto" w:fill="auto"/>
                  <w:vAlign w:val="center"/>
                </w:tcPr>
                <w:p>
                  <w:pPr>
                    <w:jc w:val="center"/>
                    <w:rPr>
                      <w:rFonts w:ascii="Times New Roman" w:eastAsia="宋体" w:cs="Times New Roman" w:hAnsi="Times New Roman" w:hint="eastAsia"/>
                      <w:color w:val="auto"/>
                      <w:kern w:val="2"/>
                      <w:sz w:val="21"/>
                      <w:szCs w:val="21"/>
                      <w:lang w:val="en-US" w:eastAsia="zh-CN" w:bidi="ar-SA"/>
                      <w:highlight w:val="none"/>
                    </w:rPr>
                  </w:pPr>
                  <w:r>
                    <w:rPr>
                      <w:rFonts w:hint="eastAsia"/>
                      <w:color w:val="auto"/>
                      <w:szCs w:val="21"/>
                      <w:highlight w:val="none"/>
                    </w:rPr>
                    <w:t>3</w:t>
                  </w:r>
                </w:p>
              </w:tc>
              <w:tc>
                <w:tcPr>
                  <w:tcW w:w="1033" w:type="pct"/>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ascii="Times New Roman" w:cs="Times New Roman" w:hAnsi="Times New Roman"/>
                      <w:color w:val="auto"/>
                      <w:highlight w:val="none"/>
                    </w:rPr>
                  </w:pPr>
                  <w:r>
                    <w:rPr>
                      <w:rFonts w:ascii="Times New Roman" w:cs="Times New Roman" w:hAnsi="Times New Roman"/>
                      <w:color w:val="auto"/>
                      <w:highlight w:val="none"/>
                    </w:rPr>
                    <w:t>耐腐蚀PE桶</w:t>
                  </w:r>
                </w:p>
              </w:tc>
              <w:tc>
                <w:tcPr>
                  <w:tcW w:w="1928" w:type="pct"/>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ascii="Times New Roman" w:cs="Times New Roman" w:hAnsi="Times New Roman"/>
                      <w:color w:val="auto"/>
                      <w:highlight w:val="none"/>
                    </w:rPr>
                  </w:pPr>
                  <w:r>
                    <w:rPr>
                      <w:rFonts w:cs="Times New Roman" w:hint="eastAsia"/>
                      <w:color w:val="auto"/>
                      <w:szCs w:val="21"/>
                      <w:lang w:val="en-US" w:eastAsia="zh-CN"/>
                      <w:highlight w:val="none"/>
                    </w:rPr>
                    <w:t>20L-50L带盖耐酸碱桶</w:t>
                  </w:r>
                </w:p>
              </w:tc>
              <w:tc>
                <w:tcPr>
                  <w:tcW w:w="750" w:type="pct"/>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ascii="Times New Roman" w:cs="Times New Roman" w:hAnsi="Times New Roman"/>
                      <w:color w:val="auto"/>
                      <w:lang w:val="en-US" w:eastAsia="zh-CN"/>
                      <w:highlight w:val="none"/>
                    </w:rPr>
                  </w:pPr>
                  <w:r>
                    <w:rPr>
                      <w:rFonts w:ascii="Times New Roman" w:cs="Times New Roman" w:hAnsi="Times New Roman" w:hint="eastAsia"/>
                      <w:color w:val="auto"/>
                      <w:lang w:val="en-US" w:eastAsia="zh-CN"/>
                      <w:highlight w:val="none"/>
                    </w:rPr>
                    <w:t>10</w:t>
                  </w:r>
                </w:p>
              </w:tc>
              <w:tc>
                <w:tcPr>
                  <w:tcW w:w="760" w:type="pct"/>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cs="Times New Roman" w:hint="eastAsia"/>
                      <w:color w:val="auto"/>
                      <w:lang w:val="en-US" w:eastAsia="zh-CN"/>
                      <w:highlight w:val="none"/>
                    </w:rPr>
                  </w:pPr>
                  <w:r>
                    <w:rPr>
                      <w:rFonts w:cs="Times New Roman" w:hint="eastAsia"/>
                      <w:color w:val="auto"/>
                      <w:lang w:val="en-US" w:eastAsia="zh-CN"/>
                      <w:highlight w:val="none"/>
                    </w:rPr>
                    <w:t>个</w:t>
                  </w:r>
                </w:p>
              </w:tc>
            </w:tr>
            <w:tr>
              <w:trPr>
                <w:trHeight w:val="397"/>
              </w:trPr>
              <w:tc>
                <w:tcPr>
                  <w:tcW w:w="527" w:type="pct"/>
                  <w:tcBorders>
                    <w:tl2br w:val="nil"/>
                    <w:tr2bl w:val="nil"/>
                  </w:tcBorders>
                  <w:shd w:val="clear" w:color="auto" w:fill="auto"/>
                  <w:vAlign w:val="center"/>
                </w:tcPr>
                <w:p>
                  <w:pPr>
                    <w:jc w:val="center"/>
                    <w:rPr>
                      <w:rFonts w:ascii="Times New Roman" w:eastAsia="宋体" w:cs="Times New Roman" w:hAnsi="Times New Roman" w:hint="eastAsia"/>
                      <w:color w:val="auto"/>
                      <w:kern w:val="2"/>
                      <w:sz w:val="21"/>
                      <w:szCs w:val="21"/>
                      <w:lang w:val="en-US" w:eastAsia="zh-CN" w:bidi="ar-SA"/>
                      <w:highlight w:val="none"/>
                    </w:rPr>
                  </w:pPr>
                  <w:r>
                    <w:rPr>
                      <w:rFonts w:hint="eastAsia"/>
                      <w:color w:val="auto"/>
                      <w:szCs w:val="21"/>
                      <w:highlight w:val="none"/>
                    </w:rPr>
                    <w:t>4</w:t>
                  </w:r>
                </w:p>
              </w:tc>
              <w:tc>
                <w:tcPr>
                  <w:tcW w:w="1033" w:type="pct"/>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ascii="Times New Roman" w:eastAsia="宋体" w:cs="Times New Roman" w:hAnsi="Times New Roman" w:hint="eastAsia"/>
                      <w:color w:val="auto"/>
                      <w:lang w:eastAsia="zh-CN"/>
                      <w:highlight w:val="none"/>
                    </w:rPr>
                  </w:pPr>
                  <w:r>
                    <w:rPr>
                      <w:rFonts w:cs="Times New Roman" w:hint="eastAsia"/>
                      <w:color w:val="auto"/>
                      <w:lang w:eastAsia="zh-CN"/>
                      <w:highlight w:val="none"/>
                    </w:rPr>
                    <w:t>托盘</w:t>
                  </w:r>
                </w:p>
              </w:tc>
              <w:tc>
                <w:tcPr>
                  <w:tcW w:w="1928" w:type="pct"/>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ascii="Times New Roman" w:cs="Times New Roman" w:hAnsi="Times New Roman"/>
                      <w:color w:val="auto"/>
                      <w:highlight w:val="none"/>
                    </w:rPr>
                  </w:pPr>
                  <w:r>
                    <w:rPr>
                      <w:rFonts w:cs="Times New Roman" w:hint="eastAsia"/>
                      <w:color w:val="auto"/>
                      <w:szCs w:val="21"/>
                      <w:lang w:val="en-US" w:eastAsia="zh-CN"/>
                      <w:highlight w:val="none"/>
                    </w:rPr>
                    <w:t>1200×1000mm 标准托盘</w:t>
                  </w:r>
                </w:p>
              </w:tc>
              <w:tc>
                <w:tcPr>
                  <w:tcW w:w="750" w:type="pct"/>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ascii="Times New Roman" w:cs="Times New Roman" w:hAnsi="Times New Roman"/>
                      <w:color w:val="auto"/>
                      <w:lang w:val="en-US" w:eastAsia="zh-CN"/>
                      <w:highlight w:val="none"/>
                    </w:rPr>
                  </w:pPr>
                  <w:r>
                    <w:rPr>
                      <w:rFonts w:ascii="Times New Roman" w:cs="Times New Roman" w:hAnsi="Times New Roman" w:hint="eastAsia"/>
                      <w:color w:val="auto"/>
                      <w:lang w:val="en-US" w:eastAsia="zh-CN"/>
                      <w:highlight w:val="none"/>
                    </w:rPr>
                    <w:t>10</w:t>
                  </w:r>
                </w:p>
              </w:tc>
              <w:tc>
                <w:tcPr>
                  <w:tcW w:w="760" w:type="pct"/>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cs="Times New Roman" w:hint="eastAsia"/>
                      <w:color w:val="auto"/>
                      <w:lang w:val="en-US" w:eastAsia="zh-CN"/>
                      <w:highlight w:val="none"/>
                    </w:rPr>
                  </w:pPr>
                  <w:r>
                    <w:rPr>
                      <w:rFonts w:cs="Times New Roman" w:hint="eastAsia"/>
                      <w:color w:val="auto"/>
                      <w:lang w:val="en-US" w:eastAsia="zh-CN"/>
                      <w:highlight w:val="none"/>
                    </w:rPr>
                    <w:t>个</w:t>
                  </w:r>
                </w:p>
              </w:tc>
            </w:tr>
            <w:tr>
              <w:trPr>
                <w:trHeight w:val="397"/>
              </w:trPr>
              <w:tc>
                <w:tcPr>
                  <w:tcW w:w="527" w:type="pct"/>
                  <w:tcBorders>
                    <w:tl2br w:val="nil"/>
                    <w:tr2bl w:val="nil"/>
                  </w:tcBorders>
                  <w:shd w:val="clear" w:color="auto" w:fill="auto"/>
                  <w:vAlign w:val="center"/>
                </w:tcPr>
                <w:p>
                  <w:pPr>
                    <w:jc w:val="center"/>
                    <w:rPr>
                      <w:rFonts w:ascii="Times New Roman" w:eastAsia="宋体" w:cs="Times New Roman" w:hAnsi="Times New Roman" w:hint="eastAsia"/>
                      <w:color w:val="auto"/>
                      <w:kern w:val="2"/>
                      <w:sz w:val="21"/>
                      <w:szCs w:val="21"/>
                      <w:lang w:val="en-US" w:eastAsia="zh-CN" w:bidi="ar-SA"/>
                      <w:highlight w:val="none"/>
                    </w:rPr>
                  </w:pPr>
                  <w:r>
                    <w:rPr>
                      <w:rFonts w:hint="eastAsia"/>
                      <w:color w:val="auto"/>
                      <w:szCs w:val="21"/>
                      <w:highlight w:val="none"/>
                    </w:rPr>
                    <w:t>5</w:t>
                  </w:r>
                </w:p>
              </w:tc>
              <w:tc>
                <w:tcPr>
                  <w:tcW w:w="1033" w:type="pct"/>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ascii="Times New Roman" w:cs="Times New Roman" w:hAnsi="Times New Roman"/>
                      <w:color w:val="auto"/>
                      <w:highlight w:val="none"/>
                    </w:rPr>
                  </w:pPr>
                  <w:r>
                    <w:rPr>
                      <w:rFonts w:hint="eastAsia"/>
                      <w:color w:val="auto"/>
                      <w:sz w:val="21"/>
                      <w:szCs w:val="21"/>
                      <w:lang w:eastAsia="zh-CN"/>
                      <w:highlight w:val="none"/>
                    </w:rPr>
                    <w:t>碱液喷淋装置</w:t>
                  </w:r>
                </w:p>
              </w:tc>
              <w:tc>
                <w:tcPr>
                  <w:tcW w:w="1928" w:type="pct"/>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ascii="Times New Roman" w:eastAsia="宋体" w:cs="Times New Roman" w:hAnsi="Times New Roman" w:hint="eastAsia"/>
                      <w:color w:val="auto"/>
                      <w:lang w:val="en-US" w:eastAsia="zh-CN"/>
                      <w:highlight w:val="none"/>
                    </w:rPr>
                  </w:pPr>
                  <w:r>
                    <w:rPr>
                      <w:rFonts w:cs="Times New Roman" w:hint="eastAsia"/>
                      <w:color w:val="auto"/>
                      <w:lang w:val="en-US" w:eastAsia="zh-CN"/>
                      <w:highlight w:val="none"/>
                    </w:rPr>
                    <w:t>/</w:t>
                  </w:r>
                </w:p>
              </w:tc>
              <w:tc>
                <w:tcPr>
                  <w:tcW w:w="750" w:type="pct"/>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ascii="Times New Roman" w:cs="Times New Roman" w:hAnsi="Times New Roman"/>
                      <w:color w:val="auto"/>
                      <w:lang w:val="en-US" w:eastAsia="zh-CN"/>
                      <w:highlight w:val="none"/>
                    </w:rPr>
                  </w:pPr>
                  <w:r>
                    <w:rPr>
                      <w:rFonts w:ascii="Times New Roman" w:cs="Times New Roman" w:hAnsi="Times New Roman" w:hint="eastAsia"/>
                      <w:color w:val="auto"/>
                      <w:lang w:val="en-US" w:eastAsia="zh-CN"/>
                      <w:highlight w:val="none"/>
                    </w:rPr>
                    <w:t>1</w:t>
                  </w:r>
                </w:p>
              </w:tc>
              <w:tc>
                <w:tcPr>
                  <w:tcW w:w="760" w:type="pct"/>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cs="Times New Roman" w:hint="eastAsia"/>
                      <w:color w:val="auto"/>
                      <w:lang w:val="en-US" w:eastAsia="zh-CN"/>
                      <w:highlight w:val="none"/>
                    </w:rPr>
                  </w:pPr>
                  <w:r>
                    <w:rPr>
                      <w:rFonts w:cs="Times New Roman" w:hint="eastAsia"/>
                      <w:color w:val="auto"/>
                      <w:lang w:val="en-US" w:eastAsia="zh-CN"/>
                      <w:highlight w:val="none"/>
                    </w:rPr>
                    <w:t>套</w:t>
                  </w:r>
                </w:p>
              </w:tc>
            </w:tr>
            <w:tr>
              <w:trPr>
                <w:trHeight w:val="397"/>
              </w:trPr>
              <w:tc>
                <w:tcPr>
                  <w:tcW w:w="527" w:type="pct"/>
                  <w:tcBorders>
                    <w:tl2br w:val="nil"/>
                    <w:tr2bl w:val="nil"/>
                  </w:tcBorders>
                  <w:shd w:val="clear" w:color="auto" w:fill="auto"/>
                  <w:vAlign w:val="center"/>
                </w:tcPr>
                <w:p>
                  <w:pPr>
                    <w:jc w:val="center"/>
                    <w:rPr>
                      <w:rFonts w:ascii="Times New Roman" w:eastAsia="宋体" w:cs="Times New Roman" w:hAnsi="Times New Roman" w:hint="eastAsia"/>
                      <w:color w:val="auto"/>
                      <w:kern w:val="2"/>
                      <w:sz w:val="21"/>
                      <w:szCs w:val="21"/>
                      <w:lang w:val="en-US" w:eastAsia="zh-CN" w:bidi="ar-SA"/>
                      <w:highlight w:val="none"/>
                    </w:rPr>
                  </w:pPr>
                  <w:r>
                    <w:rPr>
                      <w:rFonts w:hint="eastAsia"/>
                      <w:color w:val="auto"/>
                      <w:szCs w:val="21"/>
                      <w:highlight w:val="none"/>
                    </w:rPr>
                    <w:t>6</w:t>
                  </w:r>
                </w:p>
              </w:tc>
              <w:tc>
                <w:tcPr>
                  <w:tcW w:w="1033" w:type="pct"/>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ascii="Times New Roman" w:cs="Times New Roman" w:hAnsi="Times New Roman"/>
                      <w:color w:val="auto"/>
                      <w:highlight w:val="none"/>
                    </w:rPr>
                  </w:pPr>
                  <w:r>
                    <w:rPr>
                      <w:rFonts w:ascii="Times New Roman" w:cs="Times New Roman" w:hAnsi="Times New Roman"/>
                      <w:color w:val="auto"/>
                      <w:highlight w:val="none"/>
                    </w:rPr>
                    <w:t>电池存放铁箱</w:t>
                  </w:r>
                </w:p>
              </w:tc>
              <w:tc>
                <w:tcPr>
                  <w:tcW w:w="1928" w:type="pct"/>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ascii="Times New Roman" w:cs="Times New Roman" w:hAnsi="Times New Roman"/>
                      <w:color w:val="auto"/>
                      <w:highlight w:val="none"/>
                    </w:rPr>
                  </w:pPr>
                  <w:r>
                    <w:rPr>
                      <w:rFonts w:cs="Times New Roman" w:hint="eastAsia"/>
                      <w:color w:val="auto"/>
                      <w:szCs w:val="21"/>
                      <w:lang w:val="en-US" w:eastAsia="zh-CN"/>
                      <w:highlight w:val="none"/>
                    </w:rPr>
                    <w:t>定制带盖耐腐铁箱（500kg /个）</w:t>
                  </w:r>
                </w:p>
              </w:tc>
              <w:tc>
                <w:tcPr>
                  <w:tcW w:w="750" w:type="pct"/>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ascii="Times New Roman" w:cs="Times New Roman" w:hAnsi="Times New Roman"/>
                      <w:color w:val="auto"/>
                      <w:lang w:val="en-US" w:eastAsia="zh-CN"/>
                      <w:highlight w:val="none"/>
                    </w:rPr>
                  </w:pPr>
                  <w:r>
                    <w:rPr>
                      <w:rFonts w:ascii="Times New Roman" w:cs="Times New Roman" w:hAnsi="Times New Roman" w:hint="eastAsia"/>
                      <w:color w:val="auto"/>
                      <w:lang w:val="en-US" w:eastAsia="zh-CN"/>
                      <w:highlight w:val="none"/>
                    </w:rPr>
                    <w:t>30</w:t>
                  </w:r>
                </w:p>
              </w:tc>
              <w:tc>
                <w:tcPr>
                  <w:tcW w:w="760" w:type="pct"/>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cs="Times New Roman" w:hint="eastAsia"/>
                      <w:color w:val="auto"/>
                      <w:lang w:val="en-US" w:eastAsia="zh-CN"/>
                      <w:highlight w:val="none"/>
                    </w:rPr>
                  </w:pPr>
                  <w:r>
                    <w:rPr>
                      <w:rFonts w:cs="Times New Roman" w:hint="eastAsia"/>
                      <w:color w:val="auto"/>
                      <w:lang w:val="en-US" w:eastAsia="zh-CN"/>
                      <w:highlight w:val="none"/>
                    </w:rPr>
                    <w:t>个</w:t>
                  </w:r>
                </w:p>
              </w:tc>
            </w:tr>
            <w:tr>
              <w:trPr>
                <w:trHeight w:val="397"/>
              </w:trPr>
              <w:tc>
                <w:tcPr>
                  <w:tcW w:w="527" w:type="pct"/>
                  <w:tcBorders>
                    <w:tl2br w:val="nil"/>
                    <w:tr2bl w:val="nil"/>
                  </w:tcBorders>
                  <w:shd w:val="clear" w:color="auto" w:fill="auto"/>
                  <w:vAlign w:val="center"/>
                </w:tcPr>
                <w:p>
                  <w:pPr>
                    <w:jc w:val="center"/>
                    <w:rPr>
                      <w:rFonts w:ascii="Times New Roman" w:eastAsia="宋体" w:cs="Times New Roman" w:hAnsi="Times New Roman" w:hint="eastAsia"/>
                      <w:color w:val="auto"/>
                      <w:kern w:val="2"/>
                      <w:sz w:val="21"/>
                      <w:szCs w:val="21"/>
                      <w:lang w:val="en-US" w:eastAsia="zh-CN" w:bidi="ar-SA"/>
                      <w:highlight w:val="none"/>
                    </w:rPr>
                  </w:pPr>
                  <w:r>
                    <w:rPr>
                      <w:rFonts w:hint="eastAsia"/>
                      <w:color w:val="auto"/>
                      <w:szCs w:val="21"/>
                      <w:highlight w:val="none"/>
                    </w:rPr>
                    <w:t>7</w:t>
                  </w:r>
                </w:p>
              </w:tc>
              <w:tc>
                <w:tcPr>
                  <w:tcW w:w="1033" w:type="pct"/>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ascii="Times New Roman" w:cs="Times New Roman" w:hAnsi="Times New Roman"/>
                      <w:color w:val="auto"/>
                      <w:highlight w:val="none"/>
                    </w:rPr>
                  </w:pPr>
                  <w:r>
                    <w:rPr>
                      <w:rFonts w:ascii="Times New Roman" w:cs="Times New Roman" w:hAnsi="Times New Roman"/>
                      <w:color w:val="auto"/>
                      <w:highlight w:val="none"/>
                    </w:rPr>
                    <w:t>监控设备</w:t>
                  </w:r>
                </w:p>
              </w:tc>
              <w:tc>
                <w:tcPr>
                  <w:tcW w:w="1928" w:type="pct"/>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ascii="Times New Roman" w:cs="Times New Roman" w:hAnsi="Times New Roman"/>
                      <w:color w:val="auto"/>
                      <w:highlight w:val="none"/>
                    </w:rPr>
                  </w:pPr>
                  <w:r>
                    <w:rPr>
                      <w:rFonts w:cs="Times New Roman" w:hint="eastAsia"/>
                      <w:color w:val="auto"/>
                      <w:szCs w:val="21"/>
                      <w:lang w:val="en-US" w:eastAsia="zh-CN"/>
                      <w:highlight w:val="none"/>
                    </w:rPr>
                    <w:t>高清网络摄像头+硬盘录像机</w:t>
                  </w:r>
                </w:p>
              </w:tc>
              <w:tc>
                <w:tcPr>
                  <w:tcW w:w="750" w:type="pct"/>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ascii="Times New Roman" w:cs="Times New Roman" w:hAnsi="Times New Roman" w:hint="eastAsia"/>
                      <w:color w:val="auto"/>
                      <w:lang w:val="en-US" w:eastAsia="zh-CN"/>
                      <w:highlight w:val="none"/>
                    </w:rPr>
                  </w:pPr>
                  <w:r>
                    <w:rPr>
                      <w:rFonts w:cs="Times New Roman" w:hint="eastAsia"/>
                      <w:color w:val="auto"/>
                      <w:lang w:val="en-US" w:eastAsia="zh-CN"/>
                      <w:highlight w:val="none"/>
                    </w:rPr>
                    <w:t>1</w:t>
                  </w:r>
                </w:p>
              </w:tc>
              <w:tc>
                <w:tcPr>
                  <w:tcW w:w="760" w:type="pct"/>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ascii="Times New Roman" w:eastAsia="宋体" w:cs="Times New Roman" w:hAnsi="Times New Roman" w:hint="eastAsia"/>
                      <w:color w:val="auto"/>
                      <w:szCs w:val="21"/>
                      <w:lang w:val="en-US" w:eastAsia="zh-CN"/>
                      <w:highlight w:val="none"/>
                    </w:rPr>
                  </w:pPr>
                  <w:r>
                    <w:rPr>
                      <w:rFonts w:ascii="Times New Roman" w:eastAsia="宋体" w:cs="Times New Roman" w:hAnsi="Times New Roman" w:hint="eastAsia"/>
                      <w:color w:val="auto"/>
                      <w:szCs w:val="21"/>
                      <w:lang w:val="en-US" w:eastAsia="zh-CN"/>
                      <w:highlight w:val="none"/>
                    </w:rPr>
                    <w:t>套</w:t>
                  </w:r>
                </w:p>
              </w:tc>
            </w:tr>
          </w:tbl>
          <w:p>
            <w:pPr>
              <w:keepNext w:val="0"/>
              <w:keepLines w:val="0"/>
              <w:pageBreakBefore w:val="0"/>
              <w:widowControl w:val="0"/>
              <w:kinsoku/>
              <w:wordWrap/>
              <w:overflowPunct/>
              <w:topLinePunct w:val="0"/>
              <w:bidi w:val="0"/>
              <w:spacing w:line="460" w:lineRule="exact"/>
              <w:ind w:firstLineChars="200" w:firstLine="480"/>
              <w:textAlignment w:val="auto"/>
              <w:rPr>
                <w:b/>
                <w:bCs/>
                <w:color w:val="auto"/>
                <w:sz w:val="24"/>
                <w:highlight w:val="none"/>
              </w:rPr>
            </w:pPr>
            <w:bookmarkEnd w:id="41"/>
            <w:bookmarkEnd w:id="42"/>
            <w:r>
              <w:rPr>
                <w:rFonts w:hint="eastAsia"/>
                <w:b/>
                <w:bCs/>
                <w:color w:val="auto"/>
                <w:sz w:val="24"/>
                <w:lang w:val="en-US" w:eastAsia="zh-CN"/>
                <w:highlight w:val="none"/>
              </w:rPr>
              <w:t>6</w:t>
            </w:r>
            <w:r>
              <w:rPr>
                <w:rFonts w:hint="eastAsia"/>
                <w:b/>
                <w:bCs/>
                <w:color w:val="auto"/>
                <w:sz w:val="24"/>
                <w:highlight w:val="none"/>
              </w:rPr>
              <w:t>、主要</w:t>
            </w:r>
            <w:r>
              <w:rPr>
                <w:rFonts w:hint="eastAsia"/>
                <w:b/>
                <w:bCs/>
                <w:color w:val="auto"/>
                <w:sz w:val="24"/>
                <w:lang w:val="en-US"/>
                <w:highlight w:val="none"/>
              </w:rPr>
              <w:t>辅助</w:t>
            </w:r>
            <w:r>
              <w:rPr>
                <w:rFonts w:hint="eastAsia"/>
                <w:b/>
                <w:bCs/>
                <w:color w:val="auto"/>
                <w:sz w:val="24"/>
                <w:highlight w:val="none"/>
              </w:rPr>
              <w:t>材料</w:t>
            </w:r>
            <w:r>
              <w:rPr>
                <w:rFonts w:hint="eastAsia"/>
                <w:b/>
                <w:bCs/>
                <w:color w:val="auto"/>
                <w:sz w:val="24"/>
                <w:lang w:val="en-US" w:eastAsia="zh-CN"/>
                <w:highlight w:val="none"/>
              </w:rPr>
              <w:t>及能源消耗</w:t>
            </w:r>
          </w:p>
          <w:p>
            <w:pPr>
              <w:keepNext w:val="0"/>
              <w:keepLines w:val="0"/>
              <w:pageBreakBefore w:val="0"/>
              <w:widowControl w:val="0"/>
              <w:kinsoku/>
              <w:wordWrap/>
              <w:overflowPunct/>
              <w:topLinePunct w:val="0"/>
              <w:autoSpaceDE w:val="0"/>
              <w:autoSpaceDN w:val="0"/>
              <w:bidi w:val="0"/>
              <w:adjustRightInd w:val="0"/>
              <w:snapToGrid w:val="0"/>
              <w:spacing w:line="460" w:lineRule="exact"/>
              <w:ind w:firstLineChars="200" w:firstLine="480"/>
              <w:textAlignment w:val="auto"/>
              <w:rPr>
                <w:color w:val="auto"/>
                <w:sz w:val="24"/>
                <w:highlight w:val="none"/>
              </w:rPr>
            </w:pPr>
            <w:r>
              <w:rPr>
                <w:rFonts w:hint="eastAsia"/>
                <w:color w:val="auto"/>
                <w:sz w:val="24"/>
                <w:highlight w:val="none"/>
              </w:rPr>
              <w:t>项目</w:t>
            </w:r>
            <w:r>
              <w:rPr>
                <w:rFonts w:hint="eastAsia"/>
                <w:color w:val="auto"/>
                <w:sz w:val="24"/>
                <w:lang w:val="en-US"/>
                <w:highlight w:val="none"/>
              </w:rPr>
              <w:t>辅助</w:t>
            </w:r>
            <w:r>
              <w:rPr>
                <w:rFonts w:hint="eastAsia"/>
                <w:color w:val="auto"/>
                <w:sz w:val="24"/>
                <w:highlight w:val="none"/>
              </w:rPr>
              <w:t>材料消耗</w:t>
            </w:r>
            <w:r>
              <w:rPr>
                <w:rFonts w:hint="eastAsia"/>
                <w:color w:val="auto"/>
                <w:sz w:val="24"/>
                <w:lang w:val="en-US" w:eastAsia="zh-CN"/>
                <w:highlight w:val="none"/>
              </w:rPr>
              <w:t>及能源消耗</w:t>
            </w:r>
            <w:r>
              <w:rPr>
                <w:rFonts w:hint="eastAsia"/>
                <w:color w:val="auto"/>
                <w:sz w:val="24"/>
                <w:highlight w:val="none"/>
              </w:rPr>
              <w:t>情况见表2-</w:t>
            </w:r>
            <w:r>
              <w:rPr>
                <w:rFonts w:hint="eastAsia"/>
                <w:color w:val="auto"/>
                <w:sz w:val="24"/>
                <w:lang w:val="en-US" w:eastAsia="zh-CN"/>
                <w:highlight w:val="none"/>
              </w:rPr>
              <w:t>7</w:t>
            </w:r>
            <w:r>
              <w:rPr>
                <w:rFonts w:hint="eastAsia"/>
                <w:color w:val="auto"/>
                <w:sz w:val="24"/>
                <w:highlight w:val="none"/>
              </w:rPr>
              <w:t>。</w:t>
            </w:r>
          </w:p>
          <w:p>
            <w:pPr>
              <w:jc w:val="center"/>
              <w:rPr>
                <w:b/>
                <w:bCs/>
                <w:color w:val="auto"/>
                <w:sz w:val="24"/>
                <w:highlight w:val="none"/>
              </w:rPr>
            </w:pPr>
            <w:bookmarkStart w:id="43" w:name="_Hlk180482215"/>
            <w:r>
              <w:rPr>
                <w:b/>
                <w:bCs/>
                <w:color w:val="auto"/>
                <w:sz w:val="24"/>
                <w:highlight w:val="none"/>
              </w:rPr>
              <w:t>表2-</w:t>
            </w:r>
            <w:r>
              <w:rPr>
                <w:rFonts w:hint="eastAsia"/>
                <w:b/>
                <w:bCs/>
                <w:color w:val="auto"/>
                <w:sz w:val="24"/>
                <w:lang w:val="en-US" w:eastAsia="zh-CN"/>
                <w:highlight w:val="none"/>
              </w:rPr>
              <w:t xml:space="preserve">7 </w:t>
            </w:r>
            <w:r>
              <w:rPr>
                <w:b/>
                <w:bCs/>
                <w:color w:val="auto"/>
                <w:sz w:val="24"/>
                <w:highlight w:val="none"/>
              </w:rPr>
              <w:t xml:space="preserve"> 项目</w:t>
            </w:r>
            <w:r>
              <w:rPr>
                <w:rFonts w:hint="eastAsia"/>
                <w:b/>
                <w:bCs/>
                <w:color w:val="auto"/>
                <w:sz w:val="24"/>
                <w:lang w:eastAsia="zh-CN"/>
                <w:highlight w:val="none"/>
              </w:rPr>
              <w:t>辅助</w:t>
            </w:r>
            <w:r>
              <w:rPr>
                <w:b/>
                <w:bCs/>
                <w:color w:val="auto"/>
                <w:sz w:val="24"/>
                <w:highlight w:val="none"/>
              </w:rPr>
              <w:t>材料消耗一览表</w:t>
            </w:r>
          </w:p>
          <w:tbl>
            <w:tblPr>
              <w:jc w:val="center"/>
              <w:tblW w:w="4997" w:type="pct"/>
              <w:tblBorders>
                <w:top w:val="single" w:sz="12" w:space="0" w:color="auto"/>
                <w:left w:val="none" w:sz="0" w:space="0" w:color="auto"/>
                <w:bottom w:val="single" w:sz="12" w:space="0" w:color="auto"/>
                <w:right w:val="none" w:sz="0" w:space="0" w:color="auto"/>
                <w:insideH w:val="single" w:sz="4" w:space="0" w:color="auto"/>
                <w:insideV w:val="single" w:sz="4" w:space="0" w:color="auto"/>
              </w:tblBorders>
              <w:tblCellMar>
                <w:top w:w="0" w:type="dxa"/>
                <w:left w:w="0" w:type="dxa"/>
                <w:bottom w:w="0" w:type="dxa"/>
                <w:right w:w="0" w:type="dxa"/>
              </w:tblCellMar>
              <w:tblLook w:val="0600" w:firstRow="0" w:lastRow="0" w:firstColumn="0" w:lastColumn="0" w:noHBand="1" w:noVBand="1"/>
            </w:tblPr>
            <w:tblGrid>
              <w:gridCol w:w="716"/>
              <w:gridCol w:w="797"/>
              <w:gridCol w:w="1284"/>
              <w:gridCol w:w="1162"/>
              <w:gridCol w:w="1062"/>
              <w:gridCol w:w="1462"/>
              <w:gridCol w:w="1618"/>
            </w:tblGrid>
            <w:tr>
              <w:trPr>
                <w:trHeight w:val="397"/>
              </w:trPr>
              <w:tc>
                <w:tcPr>
                  <w:tcW w:w="442" w:type="pct"/>
                  <w:tcBorders>
                    <w:tl2br w:val="nil"/>
                    <w:tr2bl w:val="nil"/>
                  </w:tcBorders>
                  <w:vAlign w:val="center"/>
                </w:tcPr>
                <w:p>
                  <w:pPr>
                    <w:adjustRightInd w:val="0"/>
                    <w:snapToGrid w:val="0"/>
                    <w:jc w:val="center"/>
                    <w:rPr>
                      <w:color w:val="auto"/>
                      <w:szCs w:val="21"/>
                      <w:highlight w:val="none"/>
                    </w:rPr>
                  </w:pPr>
                  <w:bookmarkStart w:id="44" w:name="_Hlk161671191"/>
                  <w:r>
                    <w:rPr>
                      <w:bCs/>
                      <w:color w:val="auto"/>
                      <w:szCs w:val="21"/>
                      <w:highlight w:val="none"/>
                    </w:rPr>
                    <w:t>序号</w:t>
                  </w:r>
                </w:p>
              </w:tc>
              <w:tc>
                <w:tcPr>
                  <w:tcW w:w="1284" w:type="pct"/>
                  <w:gridSpan w:val="2"/>
                  <w:tcBorders>
                    <w:tl2br w:val="nil"/>
                    <w:tr2bl w:val="nil"/>
                  </w:tcBorders>
                  <w:vAlign w:val="center"/>
                </w:tcPr>
                <w:p>
                  <w:pPr>
                    <w:adjustRightInd w:val="0"/>
                    <w:snapToGrid w:val="0"/>
                    <w:jc w:val="center"/>
                    <w:rPr>
                      <w:color w:val="auto"/>
                      <w:szCs w:val="21"/>
                      <w:highlight w:val="none"/>
                    </w:rPr>
                  </w:pPr>
                  <w:r>
                    <w:rPr>
                      <w:bCs/>
                      <w:color w:val="auto"/>
                      <w:szCs w:val="21"/>
                      <w:highlight w:val="none"/>
                    </w:rPr>
                    <w:t>种类</w:t>
                  </w:r>
                </w:p>
              </w:tc>
              <w:tc>
                <w:tcPr>
                  <w:tcW w:w="717" w:type="pct"/>
                  <w:tcBorders>
                    <w:tl2br w:val="nil"/>
                    <w:tr2bl w:val="nil"/>
                  </w:tcBorders>
                  <w:vAlign w:val="center"/>
                </w:tcPr>
                <w:p>
                  <w:pPr>
                    <w:adjustRightInd w:val="0"/>
                    <w:snapToGrid w:val="0"/>
                    <w:jc w:val="center"/>
                    <w:rPr>
                      <w:color w:val="auto"/>
                      <w:szCs w:val="21"/>
                      <w:highlight w:val="none"/>
                    </w:rPr>
                  </w:pPr>
                  <w:r>
                    <w:rPr>
                      <w:rFonts w:hint="eastAsia"/>
                      <w:bCs/>
                      <w:color w:val="auto"/>
                      <w:szCs w:val="21"/>
                      <w:lang w:eastAsia="zh-CN"/>
                      <w:highlight w:val="none"/>
                    </w:rPr>
                    <w:t>年</w:t>
                  </w:r>
                  <w:r>
                    <w:rPr>
                      <w:bCs/>
                      <w:color w:val="auto"/>
                      <w:szCs w:val="21"/>
                      <w:highlight w:val="none"/>
                    </w:rPr>
                    <w:t>用量</w:t>
                  </w:r>
                </w:p>
              </w:tc>
              <w:tc>
                <w:tcPr>
                  <w:tcW w:w="655" w:type="pct"/>
                  <w:tcBorders>
                    <w:tl2br w:val="nil"/>
                    <w:tr2bl w:val="nil"/>
                  </w:tcBorders>
                  <w:vAlign w:val="center"/>
                </w:tcPr>
                <w:p>
                  <w:pPr>
                    <w:jc w:val="center"/>
                    <w:rPr>
                      <w:rFonts w:eastAsia="宋体" w:hint="eastAsia"/>
                      <w:color w:val="auto"/>
                      <w:szCs w:val="21"/>
                      <w:lang w:eastAsia="zh-CN"/>
                      <w:highlight w:val="none"/>
                    </w:rPr>
                  </w:pPr>
                  <w:r>
                    <w:rPr>
                      <w:rFonts w:hint="eastAsia"/>
                      <w:color w:val="auto"/>
                      <w:szCs w:val="21"/>
                      <w:lang w:eastAsia="zh-CN"/>
                      <w:highlight w:val="none"/>
                    </w:rPr>
                    <w:t>最大存储量</w:t>
                  </w:r>
                </w:p>
              </w:tc>
              <w:tc>
                <w:tcPr>
                  <w:tcW w:w="902" w:type="pct"/>
                  <w:tcBorders>
                    <w:tl2br w:val="nil"/>
                    <w:tr2bl w:val="nil"/>
                  </w:tcBorders>
                  <w:vAlign w:val="center"/>
                </w:tcPr>
                <w:p>
                  <w:pPr>
                    <w:jc w:val="center"/>
                    <w:rPr>
                      <w:color w:val="auto"/>
                      <w:szCs w:val="21"/>
                      <w:highlight w:val="none"/>
                    </w:rPr>
                  </w:pPr>
                  <w:r>
                    <w:rPr>
                      <w:rFonts w:hint="eastAsia"/>
                      <w:color w:val="auto"/>
                      <w:szCs w:val="21"/>
                      <w:highlight w:val="none"/>
                    </w:rPr>
                    <w:t>包装和储存方式</w:t>
                  </w:r>
                </w:p>
              </w:tc>
              <w:tc>
                <w:tcPr>
                  <w:tcW w:w="997" w:type="pct"/>
                  <w:tcBorders>
                    <w:tl2br w:val="nil"/>
                    <w:tr2bl w:val="nil"/>
                  </w:tcBorders>
                  <w:vAlign w:val="center"/>
                </w:tcPr>
                <w:p>
                  <w:pPr>
                    <w:jc w:val="center"/>
                    <w:rPr>
                      <w:rFonts w:eastAsia="宋体" w:hint="eastAsia"/>
                      <w:color w:val="auto"/>
                      <w:szCs w:val="21"/>
                      <w:lang w:eastAsia="zh-CN"/>
                      <w:highlight w:val="none"/>
                    </w:rPr>
                  </w:pPr>
                  <w:r>
                    <w:rPr>
                      <w:rFonts w:hint="eastAsia"/>
                      <w:color w:val="auto"/>
                      <w:szCs w:val="21"/>
                      <w:lang w:eastAsia="zh-CN"/>
                      <w:highlight w:val="none"/>
                    </w:rPr>
                    <w:t>运转周期</w:t>
                  </w:r>
                </w:p>
              </w:tc>
            </w:tr>
            <w:tr>
              <w:trPr>
                <w:trHeight w:val="397"/>
              </w:trPr>
              <w:tc>
                <w:tcPr>
                  <w:tcW w:w="442" w:type="pct"/>
                  <w:tcBorders>
                    <w:tl2br w:val="nil"/>
                    <w:tr2bl w:val="nil"/>
                  </w:tcBorders>
                  <w:vAlign w:val="center"/>
                </w:tcPr>
                <w:p>
                  <w:pPr>
                    <w:jc w:val="center"/>
                    <w:rPr>
                      <w:rFonts w:eastAsia="宋体" w:hint="eastAsia"/>
                      <w:color w:val="auto"/>
                      <w:szCs w:val="21"/>
                      <w:lang w:eastAsia="zh-CN"/>
                      <w:highlight w:val="none"/>
                    </w:rPr>
                  </w:pPr>
                  <w:r>
                    <w:rPr>
                      <w:rFonts w:hint="eastAsia"/>
                      <w:color w:val="auto"/>
                      <w:lang w:val="en-US" w:eastAsia="zh-CN"/>
                      <w:highlight w:val="none"/>
                    </w:rPr>
                    <w:t>1</w:t>
                  </w:r>
                </w:p>
              </w:tc>
              <w:tc>
                <w:tcPr>
                  <w:tcW w:w="492" w:type="pct"/>
                  <w:vMerge w:val="restart"/>
                  <w:tcBorders>
                    <w:tl2br w:val="nil"/>
                    <w:tr2bl w:val="nil"/>
                  </w:tcBorders>
                  <w:vAlign w:val="center"/>
                </w:tcPr>
                <w:p>
                  <w:pPr>
                    <w:jc w:val="center"/>
                    <w:rPr>
                      <w:rFonts w:ascii="Times New Roman" w:eastAsia="宋体" w:cs="Times New Roman" w:hAnsi="Times New Roman" w:hint="eastAsia"/>
                      <w:color w:val="auto"/>
                      <w:szCs w:val="21"/>
                      <w:lang w:val="en-US" w:eastAsia="zh-CN"/>
                      <w:highlight w:val="none"/>
                    </w:rPr>
                  </w:pPr>
                  <w:r>
                    <w:rPr>
                      <w:rFonts w:cs="Times New Roman" w:hint="eastAsia"/>
                      <w:color w:val="auto"/>
                      <w:szCs w:val="21"/>
                      <w:lang w:val="en-US"/>
                      <w:highlight w:val="none"/>
                    </w:rPr>
                    <w:t>辅助</w:t>
                  </w:r>
                  <w:r>
                    <w:rPr>
                      <w:rFonts w:ascii="Times New Roman" w:eastAsia="宋体" w:cs="Times New Roman" w:hAnsi="Times New Roman" w:hint="eastAsia"/>
                      <w:color w:val="auto"/>
                      <w:szCs w:val="21"/>
                      <w:lang w:val="en-US" w:eastAsia="zh-CN"/>
                      <w:highlight w:val="none"/>
                    </w:rPr>
                    <w:t>材料消耗</w:t>
                  </w:r>
                </w:p>
              </w:tc>
              <w:tc>
                <w:tcPr>
                  <w:tcW w:w="792" w:type="pct"/>
                  <w:tcBorders>
                    <w:tl2br w:val="nil"/>
                    <w:tr2bl w:val="nil"/>
                  </w:tcBorders>
                  <w:vAlign w:val="center"/>
                </w:tcPr>
                <w:p>
                  <w:pPr>
                    <w:jc w:val="center"/>
                    <w:rPr>
                      <w:color w:val="auto"/>
                      <w:szCs w:val="21"/>
                      <w:lang w:val="en-US"/>
                      <w:highlight w:val="none"/>
                    </w:rPr>
                  </w:pPr>
                  <w:r>
                    <w:rPr>
                      <w:color w:val="auto"/>
                      <w:szCs w:val="21"/>
                      <w:lang w:val="en-US"/>
                      <w:highlight w:val="none"/>
                    </w:rPr>
                    <w:t>塑料薄膜</w:t>
                  </w:r>
                </w:p>
              </w:tc>
              <w:tc>
                <w:tcPr>
                  <w:tcW w:w="717" w:type="pct"/>
                  <w:tcBorders>
                    <w:tl2br w:val="nil"/>
                    <w:tr2bl w:val="nil"/>
                  </w:tcBorders>
                  <w:vAlign w:val="center"/>
                </w:tcPr>
                <w:p>
                  <w:pPr>
                    <w:jc w:val="center"/>
                    <w:rPr>
                      <w:color w:val="auto"/>
                      <w:szCs w:val="21"/>
                      <w:highlight w:val="none"/>
                    </w:rPr>
                  </w:pPr>
                  <w:r>
                    <w:rPr>
                      <w:color w:val="auto"/>
                      <w:szCs w:val="21"/>
                      <w:lang w:val="en-US"/>
                      <w:highlight w:val="none"/>
                    </w:rPr>
                    <w:t>500kg</w:t>
                  </w:r>
                </w:p>
              </w:tc>
              <w:tc>
                <w:tcPr>
                  <w:tcW w:w="655" w:type="pct"/>
                  <w:tcBorders>
                    <w:tl2br w:val="nil"/>
                    <w:tr2bl w:val="nil"/>
                  </w:tcBorders>
                  <w:vAlign w:val="center"/>
                </w:tcPr>
                <w:p>
                  <w:pPr>
                    <w:jc w:val="center"/>
                    <w:rPr>
                      <w:color w:val="auto"/>
                      <w:szCs w:val="21"/>
                      <w:highlight w:val="none"/>
                    </w:rPr>
                  </w:pPr>
                  <w:r>
                    <w:rPr>
                      <w:rFonts w:hint="eastAsia"/>
                      <w:color w:val="auto"/>
                      <w:szCs w:val="21"/>
                      <w:lang w:val="en-US" w:eastAsia="zh-CN"/>
                      <w:highlight w:val="none"/>
                    </w:rPr>
                    <w:t>50kg</w:t>
                  </w:r>
                </w:p>
              </w:tc>
              <w:tc>
                <w:tcPr>
                  <w:tcW w:w="902" w:type="pct"/>
                  <w:tcBorders>
                    <w:tl2br w:val="nil"/>
                    <w:tr2bl w:val="nil"/>
                  </w:tcBorders>
                  <w:vAlign w:val="center"/>
                </w:tcPr>
                <w:p>
                  <w:pPr>
                    <w:jc w:val="center"/>
                    <w:rPr>
                      <w:rFonts w:eastAsia="宋体"/>
                      <w:color w:val="auto"/>
                      <w:szCs w:val="21"/>
                      <w:lang w:val="en-US" w:eastAsia="zh-CN"/>
                      <w:highlight w:val="none"/>
                    </w:rPr>
                  </w:pPr>
                  <w:r>
                    <w:rPr>
                      <w:color w:val="auto"/>
                      <w:szCs w:val="21"/>
                      <w:lang w:val="en-US"/>
                      <w:highlight w:val="none"/>
                    </w:rPr>
                    <w:t>50kg卷装，常温干燥库房存放</w:t>
                  </w:r>
                </w:p>
              </w:tc>
              <w:tc>
                <w:tcPr>
                  <w:tcW w:w="997" w:type="pct"/>
                  <w:tcBorders>
                    <w:tl2br w:val="nil"/>
                    <w:tr2bl w:val="nil"/>
                  </w:tcBorders>
                  <w:vAlign w:val="center"/>
                </w:tcPr>
                <w:p>
                  <w:pPr>
                    <w:jc w:val="center"/>
                    <w:rPr>
                      <w:color w:val="auto"/>
                      <w:szCs w:val="21"/>
                      <w:lang w:val="en-US"/>
                      <w:highlight w:val="none"/>
                    </w:rPr>
                  </w:pPr>
                  <w:r>
                    <w:rPr>
                      <w:color w:val="auto"/>
                      <w:szCs w:val="21"/>
                      <w:lang w:val="en-US"/>
                      <w:highlight w:val="none"/>
                    </w:rPr>
                    <w:t>按需采购，</w:t>
                  </w:r>
                </w:p>
                <w:p>
                  <w:pPr>
                    <w:jc w:val="center"/>
                    <w:rPr>
                      <w:rFonts w:eastAsia="宋体" w:hint="eastAsia"/>
                      <w:color w:val="auto"/>
                      <w:szCs w:val="21"/>
                      <w:lang w:val="en-US" w:eastAsia="zh-CN"/>
                      <w:highlight w:val="none"/>
                    </w:rPr>
                  </w:pPr>
                  <w:r>
                    <w:rPr>
                      <w:color w:val="auto"/>
                      <w:szCs w:val="21"/>
                      <w:lang w:val="en-US"/>
                      <w:highlight w:val="none"/>
                    </w:rPr>
                    <w:t>随用随补</w:t>
                  </w:r>
                </w:p>
              </w:tc>
            </w:tr>
            <w:tr>
              <w:trPr>
                <w:trHeight w:val="397"/>
              </w:trPr>
              <w:tc>
                <w:tcPr>
                  <w:tcW w:w="442" w:type="pct"/>
                  <w:tcBorders>
                    <w:tl2br w:val="nil"/>
                    <w:tr2bl w:val="nil"/>
                  </w:tcBorders>
                  <w:vAlign w:val="center"/>
                </w:tcPr>
                <w:p>
                  <w:pPr>
                    <w:jc w:val="center"/>
                    <w:rPr>
                      <w:rFonts w:eastAsia="宋体" w:hint="eastAsia"/>
                      <w:color w:val="auto"/>
                      <w:szCs w:val="21"/>
                      <w:lang w:eastAsia="zh-CN"/>
                      <w:highlight w:val="none"/>
                    </w:rPr>
                  </w:pPr>
                  <w:r>
                    <w:rPr>
                      <w:rFonts w:hint="eastAsia"/>
                      <w:color w:val="auto"/>
                      <w:lang w:val="en-US" w:eastAsia="zh-CN"/>
                      <w:highlight w:val="none"/>
                    </w:rPr>
                    <w:t>2</w:t>
                  </w:r>
                </w:p>
              </w:tc>
              <w:tc>
                <w:tcPr>
                  <w:tcW w:w="492" w:type="pct"/>
                  <w:vMerge/>
                  <w:tcBorders>
                    <w:tl2br w:val="nil"/>
                    <w:tr2bl w:val="nil"/>
                  </w:tcBorders>
                  <w:vAlign w:val="center"/>
                </w:tcPr>
                <w:p/>
              </w:tc>
              <w:tc>
                <w:tcPr>
                  <w:tcW w:w="792" w:type="pct"/>
                  <w:tcBorders>
                    <w:tl2br w:val="nil"/>
                    <w:tr2bl w:val="nil"/>
                  </w:tcBorders>
                  <w:vAlign w:val="center"/>
                </w:tcPr>
                <w:p>
                  <w:pPr>
                    <w:jc w:val="center"/>
                    <w:rPr>
                      <w:color w:val="auto"/>
                      <w:szCs w:val="21"/>
                      <w:highlight w:val="none"/>
                    </w:rPr>
                  </w:pPr>
                  <w:r>
                    <w:rPr>
                      <w:rFonts w:hint="eastAsia"/>
                      <w:color w:val="auto"/>
                      <w:szCs w:val="21"/>
                      <w:highlight w:val="none"/>
                    </w:rPr>
                    <w:t>片碱</w:t>
                  </w:r>
                </w:p>
              </w:tc>
              <w:tc>
                <w:tcPr>
                  <w:tcW w:w="717" w:type="pct"/>
                  <w:tcBorders>
                    <w:tl2br w:val="nil"/>
                    <w:tr2bl w:val="nil"/>
                  </w:tcBorders>
                  <w:vAlign w:val="center"/>
                </w:tcPr>
                <w:p>
                  <w:pPr>
                    <w:jc w:val="center"/>
                    <w:rPr>
                      <w:color w:val="auto"/>
                      <w:szCs w:val="21"/>
                      <w:highlight w:val="none"/>
                    </w:rPr>
                  </w:pPr>
                  <w:r>
                    <w:rPr>
                      <w:rFonts w:hint="eastAsia"/>
                      <w:color w:val="auto"/>
                      <w:szCs w:val="21"/>
                      <w:lang w:val="en-US" w:eastAsia="zh-CN"/>
                      <w:highlight w:val="none"/>
                    </w:rPr>
                    <w:t>9</w:t>
                  </w:r>
                  <w:r>
                    <w:rPr>
                      <w:color w:val="auto"/>
                      <w:szCs w:val="21"/>
                      <w:lang w:val="en-US"/>
                      <w:highlight w:val="none"/>
                    </w:rPr>
                    <w:t>0kg</w:t>
                  </w:r>
                </w:p>
              </w:tc>
              <w:tc>
                <w:tcPr>
                  <w:tcW w:w="655" w:type="pct"/>
                  <w:tcBorders>
                    <w:tl2br w:val="nil"/>
                    <w:tr2bl w:val="nil"/>
                  </w:tcBorders>
                  <w:vAlign w:val="center"/>
                </w:tcPr>
                <w:p>
                  <w:pPr>
                    <w:jc w:val="center"/>
                    <w:rPr>
                      <w:color w:val="auto"/>
                      <w:szCs w:val="21"/>
                      <w:highlight w:val="none"/>
                    </w:rPr>
                  </w:pPr>
                  <w:r>
                    <w:rPr>
                      <w:rFonts w:hint="eastAsia"/>
                      <w:color w:val="auto"/>
                      <w:szCs w:val="21"/>
                      <w:lang w:val="en-US" w:eastAsia="zh-CN"/>
                      <w:highlight w:val="none"/>
                    </w:rPr>
                    <w:t>25</w:t>
                  </w:r>
                  <w:r>
                    <w:rPr>
                      <w:color w:val="auto"/>
                      <w:szCs w:val="21"/>
                      <w:lang w:val="en-US"/>
                      <w:highlight w:val="none"/>
                    </w:rPr>
                    <w:t>kg</w:t>
                  </w:r>
                </w:p>
              </w:tc>
              <w:tc>
                <w:tcPr>
                  <w:tcW w:w="902" w:type="pct"/>
                  <w:tcBorders>
                    <w:tl2br w:val="nil"/>
                    <w:tr2bl w:val="nil"/>
                  </w:tcBorders>
                  <w:vAlign w:val="center"/>
                </w:tcPr>
                <w:p>
                  <w:pPr>
                    <w:jc w:val="center"/>
                    <w:rPr>
                      <w:rFonts w:eastAsia="宋体" w:hint="eastAsia"/>
                      <w:color w:val="auto"/>
                      <w:szCs w:val="21"/>
                      <w:lang w:val="en-US" w:eastAsia="zh-CN"/>
                      <w:highlight w:val="none"/>
                    </w:rPr>
                  </w:pPr>
                  <w:r>
                    <w:rPr>
                      <w:color w:val="auto"/>
                      <w:szCs w:val="21"/>
                      <w:lang w:val="en-US"/>
                      <w:highlight w:val="none"/>
                    </w:rPr>
                    <w:t>袋装，</w:t>
                  </w:r>
                  <w:r>
                    <w:rPr>
                      <w:rFonts w:hint="eastAsia"/>
                      <w:color w:val="auto"/>
                      <w:szCs w:val="21"/>
                      <w:lang w:val="en-US" w:eastAsia="zh-CN"/>
                      <w:highlight w:val="none"/>
                    </w:rPr>
                    <w:t>随用随买</w:t>
                  </w:r>
                </w:p>
              </w:tc>
              <w:tc>
                <w:tcPr>
                  <w:tcW w:w="997" w:type="pct"/>
                  <w:tcBorders>
                    <w:tl2br w:val="nil"/>
                    <w:tr2bl w:val="nil"/>
                  </w:tcBorders>
                  <w:vAlign w:val="center"/>
                </w:tcPr>
                <w:p>
                  <w:pPr>
                    <w:jc w:val="center"/>
                    <w:rPr>
                      <w:color w:val="auto"/>
                      <w:szCs w:val="21"/>
                      <w:lang w:val="en-US"/>
                      <w:highlight w:val="none"/>
                    </w:rPr>
                  </w:pPr>
                  <w:r>
                    <w:rPr>
                      <w:color w:val="auto"/>
                      <w:szCs w:val="21"/>
                      <w:lang w:val="en-US"/>
                      <w:highlight w:val="none"/>
                    </w:rPr>
                    <w:t>按需采购，</w:t>
                  </w:r>
                </w:p>
                <w:p>
                  <w:pPr>
                    <w:jc w:val="center"/>
                    <w:rPr>
                      <w:rFonts w:eastAsia="宋体" w:hint="eastAsia"/>
                      <w:color w:val="auto"/>
                      <w:szCs w:val="21"/>
                      <w:lang w:val="en-US" w:eastAsia="zh-CN"/>
                      <w:highlight w:val="none"/>
                    </w:rPr>
                  </w:pPr>
                  <w:r>
                    <w:rPr>
                      <w:color w:val="auto"/>
                      <w:szCs w:val="21"/>
                      <w:lang w:val="en-US"/>
                      <w:highlight w:val="none"/>
                    </w:rPr>
                    <w:t>随用随补</w:t>
                  </w:r>
                </w:p>
              </w:tc>
            </w:tr>
            <w:tr>
              <w:trPr>
                <w:trHeight w:val="397"/>
              </w:trPr>
              <w:tc>
                <w:tcPr>
                  <w:tcW w:w="442" w:type="pct"/>
                  <w:tcBorders>
                    <w:tl2br w:val="nil"/>
                    <w:tr2bl w:val="nil"/>
                  </w:tcBorders>
                  <w:shd w:val="clear" w:color="auto" w:fill="auto"/>
                  <w:vAlign w:val="center"/>
                </w:tcPr>
                <w:p>
                  <w:pPr>
                    <w:jc w:val="center"/>
                    <w:rPr>
                      <w:rFonts w:ascii="Times New Roman" w:eastAsia="宋体" w:cs="Times New Roman" w:hAnsi="Times New Roman"/>
                      <w:color w:val="auto"/>
                      <w:kern w:val="0"/>
                      <w:sz w:val="21"/>
                      <w:szCs w:val="21"/>
                      <w:lang w:val="en-US" w:eastAsia="zh-CN" w:bidi="ar-SA"/>
                      <w:highlight w:val="none"/>
                    </w:rPr>
                  </w:pPr>
                  <w:r>
                    <w:rPr>
                      <w:rFonts w:cs="Times New Roman" w:hint="eastAsia"/>
                      <w:color w:val="auto"/>
                      <w:kern w:val="0"/>
                      <w:sz w:val="21"/>
                      <w:szCs w:val="21"/>
                      <w:lang w:val="en-US" w:eastAsia="zh-CN" w:bidi="ar-SA"/>
                      <w:highlight w:val="none"/>
                    </w:rPr>
                    <w:t>3</w:t>
                  </w:r>
                </w:p>
              </w:tc>
              <w:tc>
                <w:tcPr>
                  <w:tcW w:w="492" w:type="pct"/>
                  <w:vMerge w:val="restart"/>
                  <w:tcBorders>
                    <w:tl2br w:val="nil"/>
                    <w:tr2bl w:val="nil"/>
                  </w:tcBorders>
                  <w:vAlign w:val="center"/>
                </w:tcPr>
                <w:p>
                  <w:pPr>
                    <w:jc w:val="center"/>
                    <w:rPr>
                      <w:rFonts w:ascii="Times New Roman" w:eastAsia="宋体" w:cs="Times New Roman" w:hAnsi="Times New Roman" w:hint="eastAsia"/>
                      <w:color w:val="auto"/>
                      <w:szCs w:val="21"/>
                      <w:lang w:val="en-US" w:eastAsia="zh-CN"/>
                      <w:highlight w:val="none"/>
                    </w:rPr>
                  </w:pPr>
                  <w:r>
                    <w:rPr>
                      <w:rFonts w:ascii="Times New Roman" w:eastAsia="宋体" w:cs="Times New Roman" w:hAnsi="Times New Roman" w:hint="eastAsia"/>
                      <w:color w:val="auto"/>
                      <w:szCs w:val="21"/>
                      <w:lang w:val="en-US" w:eastAsia="zh-CN"/>
                      <w:highlight w:val="none"/>
                    </w:rPr>
                    <w:t>能源消耗</w:t>
                  </w:r>
                </w:p>
              </w:tc>
              <w:tc>
                <w:tcPr>
                  <w:tcW w:w="792" w:type="pct"/>
                  <w:tcBorders>
                    <w:tl2br w:val="nil"/>
                    <w:tr2bl w:val="nil"/>
                  </w:tcBorders>
                  <w:vAlign w:val="center"/>
                </w:tcPr>
                <w:p>
                  <w:pPr>
                    <w:jc w:val="center"/>
                    <w:rPr>
                      <w:rFonts w:ascii="Times New Roman" w:eastAsia="宋体" w:cs="Times New Roman" w:hAnsi="Times New Roman" w:hint="eastAsia"/>
                      <w:color w:val="auto"/>
                      <w:szCs w:val="21"/>
                      <w:lang w:val="en-US" w:eastAsia="zh-CN"/>
                      <w:highlight w:val="none"/>
                    </w:rPr>
                  </w:pPr>
                  <w:r>
                    <w:rPr>
                      <w:rFonts w:ascii="Times New Roman" w:eastAsia="宋体" w:cs="Times New Roman" w:hAnsi="Times New Roman" w:hint="eastAsia"/>
                      <w:color w:val="auto"/>
                      <w:lang w:val="en-US" w:eastAsia="zh-CN"/>
                      <w:highlight w:val="none"/>
                    </w:rPr>
                    <w:t>新鲜水</w:t>
                  </w:r>
                </w:p>
              </w:tc>
              <w:tc>
                <w:tcPr>
                  <w:tcW w:w="717" w:type="pct"/>
                  <w:tcBorders>
                    <w:tl2br w:val="nil"/>
                    <w:tr2bl w:val="nil"/>
                  </w:tcBorders>
                  <w:vAlign w:val="center"/>
                </w:tcPr>
                <w:p>
                  <w:pPr>
                    <w:jc w:val="center"/>
                    <w:rPr>
                      <w:rFonts w:ascii="Times New Roman" w:eastAsia="宋体" w:cs="Times New Roman" w:hAnsi="Times New Roman"/>
                      <w:color w:val="auto"/>
                      <w:szCs w:val="21"/>
                      <w:lang w:val="en-US" w:eastAsia="zh-CN"/>
                      <w:highlight w:val="none"/>
                    </w:rPr>
                  </w:pPr>
                  <w:r>
                    <w:rPr>
                      <w:rFonts w:cs="Times New Roman" w:hint="eastAsia"/>
                      <w:color w:val="auto"/>
                      <w:szCs w:val="21"/>
                      <w:lang w:val="en-US" w:eastAsia="zh-CN"/>
                      <w:highlight w:val="none"/>
                    </w:rPr>
                    <w:t>144</w:t>
                  </w:r>
                </w:p>
              </w:tc>
              <w:tc>
                <w:tcPr>
                  <w:tcW w:w="655" w:type="pct"/>
                  <w:tcBorders>
                    <w:tl2br w:val="nil"/>
                    <w:tr2bl w:val="nil"/>
                  </w:tcBorders>
                  <w:vAlign w:val="center"/>
                </w:tcPr>
                <w:p>
                  <w:pPr>
                    <w:adjustRightInd w:val="0"/>
                    <w:snapToGrid w:val="0"/>
                    <w:jc w:val="center"/>
                    <w:rPr>
                      <w:rFonts w:ascii="Times New Roman" w:eastAsia="宋体" w:cs="Times New Roman" w:hAnsi="Times New Roman" w:hint="eastAsia"/>
                      <w:color w:val="auto"/>
                      <w:szCs w:val="21"/>
                      <w:lang w:val="en-US" w:eastAsia="zh-CN"/>
                      <w:highlight w:val="none"/>
                    </w:rPr>
                  </w:pPr>
                  <w:r>
                    <w:rPr>
                      <w:color w:val="auto"/>
                      <w:szCs w:val="21"/>
                      <w:highlight w:val="none"/>
                    </w:rPr>
                    <w:t>m</w:t>
                  </w:r>
                  <w:r>
                    <w:rPr>
                      <w:color w:val="auto"/>
                      <w:szCs w:val="21"/>
                      <w:vertAlign w:val="superscript"/>
                      <w:highlight w:val="none"/>
                    </w:rPr>
                    <w:t>3</w:t>
                  </w:r>
                  <w:r>
                    <w:rPr>
                      <w:color w:val="auto"/>
                      <w:szCs w:val="21"/>
                      <w:highlight w:val="none"/>
                    </w:rPr>
                    <w:t>/</w:t>
                  </w:r>
                  <w:r>
                    <w:rPr>
                      <w:rFonts w:hint="eastAsia"/>
                      <w:color w:val="auto"/>
                      <w:szCs w:val="21"/>
                      <w:highlight w:val="none"/>
                    </w:rPr>
                    <w:t>a</w:t>
                  </w:r>
                </w:p>
              </w:tc>
              <w:tc>
                <w:tcPr>
                  <w:tcW w:w="1900" w:type="pct"/>
                  <w:gridSpan w:val="2"/>
                  <w:tcBorders>
                    <w:tl2br w:val="nil"/>
                    <w:tr2bl w:val="nil"/>
                  </w:tcBorders>
                  <w:vAlign w:val="center"/>
                </w:tcPr>
                <w:p>
                  <w:pPr>
                    <w:adjustRightInd w:val="0"/>
                    <w:snapToGrid w:val="0"/>
                    <w:jc w:val="center"/>
                    <w:rPr>
                      <w:rFonts w:ascii="Times New Roman" w:eastAsia="宋体" w:cs="Times New Roman" w:hAnsi="Times New Roman" w:hint="eastAsia"/>
                      <w:color w:val="auto"/>
                      <w:szCs w:val="21"/>
                      <w:lang w:eastAsia="zh-CN"/>
                      <w:highlight w:val="none"/>
                    </w:rPr>
                  </w:pPr>
                  <w:r>
                    <w:rPr>
                      <w:rFonts w:cs="Times New Roman" w:hint="eastAsia"/>
                      <w:color w:val="auto"/>
                      <w:szCs w:val="21"/>
                      <w:lang w:eastAsia="zh-CN"/>
                      <w:highlight w:val="none"/>
                    </w:rPr>
                    <w:t>园区管网供应</w:t>
                  </w:r>
                </w:p>
              </w:tc>
            </w:tr>
            <w:tr>
              <w:trPr>
                <w:trHeight w:val="397"/>
              </w:trPr>
              <w:tc>
                <w:tcPr>
                  <w:tcW w:w="442" w:type="pct"/>
                  <w:tcBorders>
                    <w:tl2br w:val="nil"/>
                    <w:tr2bl w:val="nil"/>
                  </w:tcBorders>
                  <w:vAlign w:val="center"/>
                </w:tcPr>
                <w:p>
                  <w:pPr>
                    <w:jc w:val="center"/>
                    <w:rPr>
                      <w:rFonts w:ascii="Times New Roman" w:eastAsia="宋体" w:cs="Times New Roman" w:hAnsi="Times New Roman"/>
                      <w:color w:val="auto"/>
                      <w:kern w:val="0"/>
                      <w:sz w:val="21"/>
                      <w:szCs w:val="21"/>
                      <w:lang w:val="en-US" w:eastAsia="zh-CN" w:bidi="ar-SA"/>
                      <w:highlight w:val="none"/>
                    </w:rPr>
                  </w:pPr>
                  <w:r>
                    <w:rPr>
                      <w:rFonts w:cs="Times New Roman" w:hint="eastAsia"/>
                      <w:color w:val="auto"/>
                      <w:kern w:val="0"/>
                      <w:sz w:val="21"/>
                      <w:szCs w:val="21"/>
                      <w:lang w:val="en-US" w:eastAsia="zh-CN" w:bidi="ar-SA"/>
                      <w:highlight w:val="none"/>
                    </w:rPr>
                    <w:t>4</w:t>
                  </w:r>
                </w:p>
              </w:tc>
              <w:tc>
                <w:tcPr>
                  <w:tcW w:w="492" w:type="pct"/>
                  <w:vMerge/>
                  <w:tcBorders>
                    <w:tl2br w:val="nil"/>
                    <w:tr2bl w:val="nil"/>
                  </w:tcBorders>
                  <w:vAlign w:val="center"/>
                </w:tcPr>
                <w:p/>
              </w:tc>
              <w:tc>
                <w:tcPr>
                  <w:tcW w:w="792" w:type="pct"/>
                  <w:tcBorders>
                    <w:tl2br w:val="nil"/>
                    <w:tr2bl w:val="nil"/>
                  </w:tcBorders>
                  <w:vAlign w:val="center"/>
                </w:tcPr>
                <w:p>
                  <w:pPr>
                    <w:jc w:val="center"/>
                    <w:rPr>
                      <w:rFonts w:ascii="Times New Roman" w:eastAsia="宋体" w:cs="Times New Roman" w:hAnsi="Times New Roman" w:hint="eastAsia"/>
                      <w:color w:val="auto"/>
                      <w:kern w:val="0"/>
                      <w:sz w:val="21"/>
                      <w:szCs w:val="21"/>
                      <w:lang w:val="en-US" w:eastAsia="zh-CN" w:bidi="ar-SA"/>
                      <w:highlight w:val="none"/>
                    </w:rPr>
                  </w:pPr>
                  <w:r>
                    <w:rPr>
                      <w:rFonts w:ascii="Times New Roman" w:eastAsia="宋体" w:cs="Times New Roman" w:hAnsi="Times New Roman" w:hint="eastAsia"/>
                      <w:color w:val="auto"/>
                      <w:kern w:val="0"/>
                      <w:sz w:val="21"/>
                      <w:szCs w:val="21"/>
                      <w:lang w:val="en-US" w:eastAsia="zh-CN" w:bidi="ar-SA"/>
                      <w:highlight w:val="none"/>
                    </w:rPr>
                    <w:t>电</w:t>
                  </w:r>
                </w:p>
              </w:tc>
              <w:tc>
                <w:tcPr>
                  <w:tcW w:w="717" w:type="pct"/>
                  <w:tcBorders>
                    <w:tl2br w:val="nil"/>
                    <w:tr2bl w:val="nil"/>
                  </w:tcBorders>
                  <w:vAlign w:val="center"/>
                </w:tcPr>
                <w:p>
                  <w:pPr>
                    <w:jc w:val="center"/>
                    <w:rPr>
                      <w:rFonts w:ascii="Times New Roman" w:eastAsia="宋体" w:cs="Times New Roman" w:hAnsi="Times New Roman"/>
                      <w:color w:val="auto"/>
                      <w:kern w:val="0"/>
                      <w:sz w:val="21"/>
                      <w:szCs w:val="21"/>
                      <w:lang w:val="en-US" w:eastAsia="zh-CN" w:bidi="ar-SA"/>
                      <w:highlight w:val="none"/>
                    </w:rPr>
                  </w:pPr>
                  <w:r>
                    <w:rPr>
                      <w:rFonts w:cs="Times New Roman" w:hint="eastAsia"/>
                      <w:color w:val="auto"/>
                      <w:kern w:val="0"/>
                      <w:sz w:val="21"/>
                      <w:szCs w:val="21"/>
                      <w:lang w:val="en-US" w:eastAsia="zh-CN" w:bidi="ar-SA"/>
                      <w:highlight w:val="none"/>
                    </w:rPr>
                    <w:t>1</w:t>
                  </w:r>
                </w:p>
              </w:tc>
              <w:tc>
                <w:tcPr>
                  <w:tcW w:w="655" w:type="pct"/>
                  <w:tcBorders>
                    <w:tl2br w:val="nil"/>
                    <w:tr2bl w:val="nil"/>
                  </w:tcBorders>
                  <w:vAlign w:val="center"/>
                </w:tcPr>
                <w:p>
                  <w:pPr>
                    <w:adjustRightInd w:val="0"/>
                    <w:snapToGrid w:val="0"/>
                    <w:jc w:val="center"/>
                    <w:rPr>
                      <w:rFonts w:ascii="Times New Roman" w:eastAsia="宋体" w:cs="Times New Roman" w:hAnsi="Times New Roman" w:hint="eastAsia"/>
                      <w:color w:val="auto"/>
                      <w:kern w:val="0"/>
                      <w:sz w:val="21"/>
                      <w:szCs w:val="21"/>
                      <w:lang w:val="en-US" w:eastAsia="zh-CN" w:bidi="ar-SA"/>
                      <w:highlight w:val="none"/>
                    </w:rPr>
                  </w:pPr>
                  <w:r>
                    <w:rPr>
                      <w:rFonts w:ascii="Times New Roman" w:eastAsia="宋体" w:cs="Times New Roman" w:hAnsi="Times New Roman"/>
                      <w:color w:val="auto"/>
                      <w:kern w:val="0"/>
                      <w:sz w:val="21"/>
                      <w:szCs w:val="21"/>
                      <w:lang w:val="en-US" w:eastAsia="zh-CN" w:bidi="ar-SA"/>
                      <w:highlight w:val="none"/>
                    </w:rPr>
                    <w:t>万kWh</w:t>
                  </w:r>
                  <w:r>
                    <w:rPr>
                      <w:rFonts w:ascii="Times New Roman" w:eastAsia="宋体" w:cs="Times New Roman" w:hAnsi="Times New Roman" w:hint="eastAsia"/>
                      <w:color w:val="auto"/>
                      <w:kern w:val="0"/>
                      <w:sz w:val="21"/>
                      <w:szCs w:val="21"/>
                      <w:lang w:val="en-US" w:eastAsia="zh-CN" w:bidi="ar-SA"/>
                      <w:highlight w:val="none"/>
                    </w:rPr>
                    <w:t>/a</w:t>
                  </w:r>
                </w:p>
              </w:tc>
              <w:tc>
                <w:tcPr>
                  <w:tcW w:w="1900" w:type="pct"/>
                  <w:gridSpan w:val="2"/>
                  <w:tcBorders>
                    <w:tl2br w:val="nil"/>
                    <w:tr2bl w:val="nil"/>
                  </w:tcBorders>
                  <w:vAlign w:val="center"/>
                </w:tcPr>
                <w:p>
                  <w:pPr>
                    <w:adjustRightInd w:val="0"/>
                    <w:snapToGrid w:val="0"/>
                    <w:jc w:val="center"/>
                    <w:rPr>
                      <w:rFonts w:ascii="Times New Roman" w:eastAsia="宋体" w:cs="Times New Roman" w:hAnsi="Times New Roman" w:hint="eastAsia"/>
                      <w:color w:val="auto"/>
                      <w:kern w:val="0"/>
                      <w:sz w:val="21"/>
                      <w:szCs w:val="21"/>
                      <w:lang w:val="en-US" w:eastAsia="zh-CN" w:bidi="ar-SA"/>
                      <w:highlight w:val="none"/>
                    </w:rPr>
                  </w:pPr>
                  <w:r>
                    <w:rPr>
                      <w:rFonts w:cs="Times New Roman" w:hint="eastAsia"/>
                      <w:color w:val="auto"/>
                      <w:szCs w:val="21"/>
                      <w:lang w:eastAsia="zh-CN"/>
                      <w:highlight w:val="none"/>
                    </w:rPr>
                    <w:t>园区电网供应</w:t>
                  </w:r>
                </w:p>
              </w:tc>
            </w:tr>
          </w:tbl>
          <w:p>
            <w:pPr>
              <w:keepNext w:val="0"/>
              <w:keepLines w:val="0"/>
              <w:pageBreakBefore w:val="0"/>
              <w:kinsoku/>
              <w:wordWrap/>
              <w:overflowPunct/>
              <w:topLinePunct w:val="0"/>
              <w:autoSpaceDE/>
              <w:autoSpaceDN/>
              <w:bidi w:val="0"/>
              <w:spacing w:line="460" w:lineRule="exact"/>
              <w:ind w:firstLineChars="200" w:firstLine="480"/>
              <w:rPr>
                <w:rFonts w:ascii="Times New Roman" w:eastAsia="宋体" w:cs="Times New Roman" w:hAnsi="Times New Roman" w:hint="eastAsia"/>
                <w:color w:val="auto"/>
                <w:sz w:val="24"/>
                <w:lang w:val="en-US" w:eastAsia="zh-CN"/>
                <w:highlight w:val="none"/>
              </w:rPr>
            </w:pPr>
            <w:bookmarkEnd w:id="43"/>
            <w:bookmarkEnd w:id="44"/>
            <w:r>
              <w:rPr>
                <w:rFonts w:ascii="Times New Roman" w:eastAsia="宋体" w:cs="Times New Roman" w:hAnsi="Times New Roman" w:hint="eastAsia"/>
                <w:color w:val="auto"/>
                <w:sz w:val="24"/>
                <w:lang w:val="en-US" w:eastAsia="zh-CN"/>
                <w:highlight w:val="none"/>
              </w:rPr>
              <w:t>氢氧化钠，也称苛性钠、烧碱、火碱、片碱，是一种无机化合物，化学式NaOH，相对分子量为39.9970。有结晶及无水物两种，呈白色或微带颜色，为有光泽的丸、片、棒、块等形状。纯品为无色透明晶体，相对密度2.130，熔点318.4℃，沸点1390℃。此外，其临界压力约为25 MPa，饱和蒸气压为0.13 kPa（739°C），辛醇/水分配系数约为-3.88。暴露于空气中易吸湿并逐渐溶解。固体氢氧化钠具有很强的吸湿性（潮解性），会吸收空气中的水蒸气，也会吸收二氧化碳、二氧化硫等酸性气体。氢氧化钠具有强碱性，腐蚀性极强，可作酸中和剂、配合掩蔽剂、沉淀剂、沉淀掩蔽剂、显色剂、皂化剂、去皮剂、洗涤剂等，用途非常广泛</w:t>
            </w:r>
            <w:r>
              <w:rPr>
                <w:rFonts w:cs="Times New Roman" w:hint="eastAsia"/>
                <w:color w:val="auto"/>
                <w:sz w:val="24"/>
                <w:lang w:val="en-US" w:eastAsia="zh-CN"/>
                <w:highlight w:val="none"/>
              </w:rPr>
              <w:t>。</w:t>
            </w:r>
          </w:p>
          <w:p>
            <w:pPr>
              <w:keepNext w:val="0"/>
              <w:keepLines w:val="0"/>
              <w:pageBreakBefore w:val="0"/>
              <w:kinsoku/>
              <w:wordWrap/>
              <w:overflowPunct/>
              <w:topLinePunct w:val="0"/>
              <w:autoSpaceDE/>
              <w:autoSpaceDN/>
              <w:bidi w:val="0"/>
              <w:spacing w:line="460" w:lineRule="exact"/>
              <w:ind w:firstLineChars="200" w:firstLine="480"/>
              <w:rPr>
                <w:b/>
                <w:bCs/>
                <w:color w:val="auto"/>
                <w:sz w:val="24"/>
                <w:highlight w:val="none"/>
              </w:rPr>
            </w:pPr>
            <w:r>
              <w:rPr>
                <w:rFonts w:hint="eastAsia"/>
                <w:b/>
                <w:bCs/>
                <w:color w:val="auto"/>
                <w:sz w:val="24"/>
                <w:lang w:val="en-US" w:eastAsia="zh-CN"/>
                <w:highlight w:val="none"/>
              </w:rPr>
              <w:t>7</w:t>
            </w:r>
            <w:r>
              <w:rPr>
                <w:rFonts w:hint="eastAsia"/>
                <w:b/>
                <w:bCs/>
                <w:color w:val="auto"/>
                <w:sz w:val="24"/>
                <w:highlight w:val="none"/>
              </w:rPr>
              <w:t>、公用工程</w:t>
            </w:r>
          </w:p>
          <w:p>
            <w:pPr>
              <w:keepNext w:val="0"/>
              <w:keepLines w:val="0"/>
              <w:pageBreakBefore w:val="0"/>
              <w:widowControl w:val="0"/>
              <w:kinsoku/>
              <w:wordWrap/>
              <w:overflowPunct/>
              <w:topLinePunct w:val="0"/>
              <w:autoSpaceDE/>
              <w:autoSpaceDN/>
              <w:bidi w:val="0"/>
              <w:adjustRightInd w:val="0"/>
              <w:snapToGrid w:val="0"/>
              <w:spacing w:line="360" w:lineRule="auto"/>
              <w:ind w:firstLineChars="200" w:firstLine="480"/>
              <w:rPr>
                <w:bCs/>
                <w:color w:val="auto"/>
                <w:sz w:val="24"/>
                <w:highlight w:val="none"/>
              </w:rPr>
            </w:pPr>
            <w:r>
              <w:rPr>
                <w:rFonts w:hint="eastAsia"/>
                <w:bCs/>
                <w:color w:val="auto"/>
                <w:sz w:val="24"/>
                <w:highlight w:val="none"/>
              </w:rPr>
              <w:t>（1）给、排水</w:t>
            </w:r>
          </w:p>
          <w:p>
            <w:pPr>
              <w:pStyle w:val="56"/>
              <w:keepNext w:val="0"/>
              <w:keepLines w:val="0"/>
              <w:pageBreakBefore w:val="0"/>
              <w:widowControl w:val="0"/>
              <w:kinsoku/>
              <w:wordWrap/>
              <w:overflowPunct/>
              <w:topLinePunct w:val="0"/>
              <w:autoSpaceDE/>
              <w:autoSpaceDN/>
              <w:bidi w:val="0"/>
              <w:spacing w:line="360" w:lineRule="auto"/>
              <w:rPr>
                <w:rFonts w:eastAsia="宋体"/>
                <w:color w:val="auto"/>
                <w:lang w:val="en-US" w:eastAsia="zh-CN"/>
                <w:highlight w:val="none"/>
              </w:rPr>
            </w:pPr>
            <w:r>
              <w:rPr>
                <w:rFonts w:hint="eastAsia"/>
                <w:color w:val="auto"/>
                <w:highlight w:val="none"/>
              </w:rPr>
              <w:t>项目用水</w:t>
            </w:r>
            <w:r>
              <w:rPr>
                <w:rFonts w:hint="eastAsia"/>
                <w:color w:val="auto"/>
                <w:lang w:val="en-US" w:eastAsia="zh-CN"/>
                <w:highlight w:val="none"/>
              </w:rPr>
              <w:t>包括生产用水和生活用水，新鲜水</w:t>
            </w:r>
            <w:r>
              <w:rPr>
                <w:rFonts w:hint="eastAsia"/>
                <w:color w:val="auto"/>
                <w:highlight w:val="none"/>
              </w:rPr>
              <w:t>由</w:t>
            </w:r>
            <w:r>
              <w:rPr>
                <w:rFonts w:hint="eastAsia"/>
                <w:color w:val="auto"/>
                <w:szCs w:val="21"/>
                <w:lang w:val="en-US" w:eastAsia="zh-CN"/>
                <w:highlight w:val="none"/>
              </w:rPr>
              <w:t>园区</w:t>
            </w:r>
            <w:r>
              <w:rPr>
                <w:rFonts w:hint="eastAsia"/>
                <w:color w:val="auto"/>
                <w:szCs w:val="21"/>
                <w:highlight w:val="none"/>
              </w:rPr>
              <w:t>供水管网</w:t>
            </w:r>
            <w:r>
              <w:rPr>
                <w:rFonts w:hint="eastAsia"/>
                <w:color w:val="auto"/>
                <w:highlight w:val="none"/>
              </w:rPr>
              <w:t>提供。新鲜用水量为</w:t>
            </w:r>
            <w:r>
              <w:rPr>
                <w:rFonts w:hint="eastAsia"/>
                <w:color w:val="auto"/>
                <w:lang w:val="en-US" w:eastAsia="zh-CN"/>
                <w:highlight w:val="none"/>
              </w:rPr>
              <w:t>0.85</w:t>
            </w:r>
            <w:r>
              <w:rPr>
                <w:rFonts w:hint="eastAsia"/>
                <w:color w:val="auto"/>
                <w:highlight w:val="none"/>
              </w:rPr>
              <w:t>m</w:t>
            </w:r>
            <w:r>
              <w:rPr>
                <w:rFonts w:hint="eastAsia"/>
                <w:color w:val="auto"/>
                <w:vertAlign w:val="superscript"/>
                <w:highlight w:val="none"/>
              </w:rPr>
              <w:t>3</w:t>
            </w:r>
            <w:r>
              <w:rPr>
                <w:rFonts w:hint="eastAsia"/>
                <w:color w:val="auto"/>
                <w:highlight w:val="none"/>
              </w:rPr>
              <w:t>/d</w:t>
            </w:r>
            <w:r>
              <w:rPr>
                <w:rFonts w:hint="eastAsia"/>
                <w:color w:val="auto"/>
                <w:lang w:eastAsia="zh-CN"/>
                <w:highlight w:val="none"/>
              </w:rPr>
              <w:t>，</w:t>
            </w:r>
            <w:r>
              <w:rPr>
                <w:rFonts w:hint="eastAsia"/>
                <w:color w:val="auto"/>
                <w:lang w:val="en-US" w:eastAsia="zh-CN"/>
                <w:highlight w:val="none"/>
              </w:rPr>
              <w:t>满足项目用水需求。</w:t>
            </w:r>
          </w:p>
          <w:p>
            <w:pPr>
              <w:keepNext w:val="0"/>
              <w:keepLines w:val="0"/>
              <w:pageBreakBefore w:val="0"/>
              <w:widowControl w:val="0"/>
              <w:kinsoku/>
              <w:wordWrap/>
              <w:overflowPunct/>
              <w:topLinePunct w:val="0"/>
              <w:autoSpaceDE/>
              <w:autoSpaceDN/>
              <w:bidi w:val="0"/>
              <w:adjustRightInd w:val="0"/>
              <w:snapToGrid w:val="0"/>
              <w:spacing w:line="360" w:lineRule="auto"/>
              <w:ind w:leftChars="8" w:left="17" w:firstLineChars="200" w:firstLine="480"/>
              <w:rPr>
                <w:rFonts w:ascii="Times New Roman" w:cs="Times New Roman" w:hAnsi="Times New Roman"/>
                <w:color w:val="auto"/>
                <w:sz w:val="24"/>
                <w:szCs w:val="24"/>
                <w:lang w:val="en-US" w:eastAsia="zh-CN"/>
                <w:highlight w:val="none"/>
              </w:rPr>
            </w:pPr>
            <w:r>
              <w:rPr>
                <w:rFonts w:ascii="Times New Roman" w:cs="Times New Roman" w:hAnsi="Times New Roman" w:hint="eastAsia"/>
                <w:color w:val="auto"/>
                <w:sz w:val="24"/>
                <w:szCs w:val="24"/>
                <w:lang w:val="en-US" w:eastAsia="zh-CN"/>
                <w:highlight w:val="none"/>
              </w:rPr>
              <w:t>本项目配套的碱液喷淋装置采取氢氧化钠溶液喷淋处理破损电池间产生的硫酸雾。所用碱液浓度为3%，适时补充氢氧化钠和新鲜水，吸收液循环使用。根据</w:t>
            </w:r>
            <w:r>
              <w:rPr>
                <w:rFonts w:cs="Times New Roman" w:hint="eastAsia"/>
                <w:color w:val="auto"/>
                <w:sz w:val="24"/>
                <w:szCs w:val="24"/>
                <w:lang w:val="en-US" w:eastAsia="zh-CN"/>
                <w:highlight w:val="none"/>
              </w:rPr>
              <w:t>设计资料</w:t>
            </w:r>
            <w:r>
              <w:rPr>
                <w:rFonts w:ascii="Times New Roman" w:cs="Times New Roman" w:hAnsi="Times New Roman" w:hint="eastAsia"/>
                <w:color w:val="auto"/>
                <w:sz w:val="24"/>
                <w:szCs w:val="24"/>
                <w:lang w:val="en-US" w:eastAsia="zh-CN"/>
                <w:highlight w:val="none"/>
              </w:rPr>
              <w:t>，</w:t>
            </w:r>
            <w:r>
              <w:rPr>
                <w:rFonts w:cs="Times New Roman" w:hint="eastAsia"/>
                <w:color w:val="auto"/>
                <w:sz w:val="24"/>
                <w:szCs w:val="24"/>
                <w:lang w:val="en-US" w:eastAsia="zh-CN"/>
                <w:highlight w:val="none"/>
              </w:rPr>
              <w:t>喷淋装置循环水槽容积</w:t>
            </w:r>
            <w:r>
              <w:rPr>
                <w:rFonts w:ascii="Times New Roman" w:cs="Times New Roman" w:hAnsi="Times New Roman" w:hint="eastAsia"/>
                <w:color w:val="auto"/>
                <w:sz w:val="24"/>
                <w:szCs w:val="24"/>
                <w:lang w:val="en-US" w:eastAsia="zh-CN"/>
                <w:highlight w:val="none"/>
              </w:rPr>
              <w:t>约为0.</w:t>
            </w:r>
            <w:r>
              <w:rPr>
                <w:rFonts w:cs="Times New Roman" w:hint="eastAsia"/>
                <w:color w:val="auto"/>
                <w:sz w:val="24"/>
                <w:szCs w:val="24"/>
                <w:lang w:val="en-US" w:eastAsia="zh-CN"/>
                <w:highlight w:val="none"/>
              </w:rPr>
              <w:t>7</w:t>
            </w:r>
            <w:r>
              <w:rPr>
                <w:rFonts w:ascii="Times New Roman" w:cs="Times New Roman" w:hAnsi="Times New Roman" w:hint="eastAsia"/>
                <w:color w:val="auto"/>
                <w:sz w:val="24"/>
                <w:szCs w:val="24"/>
                <w:lang w:val="en-US" w:eastAsia="zh-CN"/>
                <w:highlight w:val="none"/>
              </w:rPr>
              <w:t>m</w:t>
            </w:r>
            <w:r>
              <w:rPr>
                <w:rFonts w:ascii="Times New Roman" w:cs="Times New Roman" w:hAnsi="Times New Roman" w:hint="eastAsia"/>
                <w:color w:val="auto"/>
                <w:sz w:val="24"/>
                <w:szCs w:val="24"/>
                <w:vertAlign w:val="superscript"/>
                <w:lang w:val="en-US" w:eastAsia="zh-CN"/>
                <w:highlight w:val="none"/>
              </w:rPr>
              <w:t>3</w:t>
            </w:r>
            <w:r>
              <w:rPr>
                <w:rFonts w:ascii="Times New Roman" w:cs="Times New Roman" w:hAnsi="Times New Roman" w:hint="eastAsia"/>
                <w:color w:val="auto"/>
                <w:sz w:val="24"/>
                <w:szCs w:val="24"/>
                <w:lang w:val="en-US" w:eastAsia="zh-CN"/>
                <w:highlight w:val="none"/>
              </w:rPr>
              <w:t>，喷淋塔循环水蒸发损耗量按水槽的5%计算，喷淋水每日损耗量为循环量的5%</w:t>
            </w:r>
            <w:r>
              <w:rPr>
                <w:rFonts w:cs="Times New Roman" w:hint="eastAsia"/>
                <w:color w:val="auto"/>
                <w:sz w:val="24"/>
                <w:szCs w:val="24"/>
                <w:lang w:val="en-US" w:eastAsia="zh-CN"/>
                <w:highlight w:val="none"/>
              </w:rPr>
              <w:t>，约0.04</w:t>
            </w:r>
            <w:r>
              <w:rPr>
                <w:color w:val="auto"/>
                <w:sz w:val="24"/>
                <w:highlight w:val="none"/>
              </w:rPr>
              <w:t>m</w:t>
            </w:r>
            <w:r>
              <w:rPr>
                <w:color w:val="auto"/>
                <w:sz w:val="24"/>
                <w:vertAlign w:val="superscript"/>
                <w:highlight w:val="none"/>
              </w:rPr>
              <w:t>3</w:t>
            </w:r>
            <w:r>
              <w:rPr>
                <w:color w:val="auto"/>
                <w:sz w:val="24"/>
                <w:highlight w:val="none"/>
              </w:rPr>
              <w:t>/d</w:t>
            </w:r>
            <w:r>
              <w:rPr>
                <w:rFonts w:ascii="Times New Roman" w:cs="Times New Roman" w:hAnsi="Times New Roman" w:hint="eastAsia"/>
                <w:color w:val="auto"/>
                <w:sz w:val="24"/>
                <w:szCs w:val="24"/>
                <w:lang w:val="en-US" w:eastAsia="zh-CN"/>
                <w:highlight w:val="none"/>
              </w:rPr>
              <w:t>。喷淋装置内碱液循环使用，每年更换次数按1次计，废碱液全部作为危险废物，交由有危险废物处置资质单位处置。项目废碱液产生量为0.</w:t>
            </w:r>
            <w:r>
              <w:rPr>
                <w:rFonts w:cs="Times New Roman" w:hint="eastAsia"/>
                <w:color w:val="auto"/>
                <w:sz w:val="24"/>
                <w:szCs w:val="24"/>
                <w:lang w:val="en-US" w:eastAsia="zh-CN"/>
                <w:highlight w:val="none"/>
              </w:rPr>
              <w:t>7</w:t>
            </w:r>
            <w:r>
              <w:rPr>
                <w:rFonts w:ascii="Times New Roman" w:cs="Times New Roman" w:hAnsi="Times New Roman" w:hint="eastAsia"/>
                <w:color w:val="auto"/>
                <w:sz w:val="24"/>
                <w:szCs w:val="24"/>
                <w:lang w:val="en-US" w:eastAsia="zh-CN"/>
                <w:highlight w:val="none"/>
              </w:rPr>
              <w:t>m</w:t>
            </w:r>
            <w:r>
              <w:rPr>
                <w:rFonts w:ascii="Times New Roman" w:cs="Times New Roman" w:hAnsi="Times New Roman" w:hint="eastAsia"/>
                <w:color w:val="auto"/>
                <w:sz w:val="24"/>
                <w:szCs w:val="24"/>
                <w:vertAlign w:val="superscript"/>
                <w:lang w:val="en-US" w:eastAsia="zh-CN"/>
                <w:highlight w:val="none"/>
              </w:rPr>
              <w:t>3</w:t>
            </w:r>
            <w:r>
              <w:rPr>
                <w:rFonts w:ascii="Times New Roman" w:cs="Times New Roman" w:hAnsi="Times New Roman" w:hint="eastAsia"/>
                <w:color w:val="auto"/>
                <w:sz w:val="24"/>
                <w:szCs w:val="24"/>
                <w:lang w:val="en-US" w:eastAsia="zh-CN"/>
                <w:highlight w:val="none"/>
              </w:rPr>
              <w:t>/a，喷淋用水蒸发损耗量按年300天计，喷淋塔需要新鲜水量为</w:t>
            </w:r>
            <w:r>
              <w:rPr>
                <w:rFonts w:cs="Times New Roman" w:hint="eastAsia"/>
                <w:color w:val="auto"/>
                <w:sz w:val="24"/>
                <w:szCs w:val="24"/>
                <w:lang w:val="en-US" w:eastAsia="zh-CN"/>
                <w:highlight w:val="none"/>
              </w:rPr>
              <w:t>12</w:t>
            </w:r>
            <w:r>
              <w:rPr>
                <w:rFonts w:ascii="Times New Roman" w:cs="Times New Roman" w:hAnsi="Times New Roman" w:hint="eastAsia"/>
                <w:color w:val="auto"/>
                <w:sz w:val="24"/>
                <w:szCs w:val="24"/>
                <w:lang w:val="en-US" w:eastAsia="zh-CN"/>
                <w:highlight w:val="none"/>
              </w:rPr>
              <w:t>m</w:t>
            </w:r>
            <w:r>
              <w:rPr>
                <w:rFonts w:ascii="Times New Roman" w:cs="Times New Roman" w:hAnsi="Times New Roman" w:hint="eastAsia"/>
                <w:color w:val="auto"/>
                <w:sz w:val="24"/>
                <w:szCs w:val="24"/>
                <w:vertAlign w:val="superscript"/>
                <w:lang w:val="en-US" w:eastAsia="zh-CN"/>
                <w:highlight w:val="none"/>
              </w:rPr>
              <w:t>3</w:t>
            </w:r>
            <w:r>
              <w:rPr>
                <w:rFonts w:ascii="Times New Roman" w:cs="Times New Roman" w:hAnsi="Times New Roman" w:hint="eastAsia"/>
                <w:color w:val="auto"/>
                <w:sz w:val="24"/>
                <w:szCs w:val="24"/>
                <w:lang w:val="en-US" w:eastAsia="zh-CN"/>
                <w:highlight w:val="none"/>
              </w:rPr>
              <w:t>/a</w:t>
            </w:r>
            <w:r>
              <w:rPr>
                <w:rFonts w:ascii="Times New Roman" w:cs="Times New Roman" w:hAnsi="Times New Roman" w:hint="eastAsia"/>
                <w:color w:val="auto"/>
                <w:sz w:val="24"/>
                <w:szCs w:val="24"/>
                <w:vertAlign w:val="baseline"/>
                <w:lang w:val="en-US" w:eastAsia="zh-CN"/>
                <w:highlight w:val="none"/>
              </w:rPr>
              <w:t>。</w:t>
            </w:r>
          </w:p>
          <w:p>
            <w:pPr>
              <w:keepNext w:val="0"/>
              <w:keepLines w:val="0"/>
              <w:pageBreakBefore w:val="0"/>
              <w:widowControl w:val="0"/>
              <w:kinsoku/>
              <w:wordWrap/>
              <w:overflowPunct/>
              <w:topLinePunct w:val="0"/>
              <w:autoSpaceDE/>
              <w:autoSpaceDN/>
              <w:bidi w:val="0"/>
              <w:adjustRightInd w:val="0"/>
              <w:snapToGrid w:val="0"/>
              <w:spacing w:line="360" w:lineRule="auto"/>
              <w:ind w:leftChars="8" w:left="17" w:firstLineChars="200" w:firstLine="480"/>
              <w:rPr>
                <w:rFonts w:ascii="Times New Roman" w:cs="Times New Roman" w:hAnsi="Times New Roman"/>
                <w:color w:val="auto"/>
                <w:sz w:val="24"/>
                <w:szCs w:val="24"/>
                <w:highlight w:val="none"/>
              </w:rPr>
            </w:pPr>
            <w:r>
              <w:rPr>
                <w:rFonts w:ascii="Times New Roman" w:cs="Times New Roman" w:hAnsi="Times New Roman" w:hint="eastAsia"/>
                <w:color w:val="auto"/>
                <w:sz w:val="24"/>
                <w:szCs w:val="24"/>
                <w:lang w:val="en-US" w:eastAsia="zh-CN"/>
                <w:highlight w:val="none"/>
              </w:rPr>
              <w:t>职工生活用水：</w:t>
            </w:r>
            <w:r>
              <w:rPr>
                <w:color w:val="auto"/>
                <w:sz w:val="24"/>
                <w:highlight w:val="none"/>
              </w:rPr>
              <w:t>项目</w:t>
            </w:r>
            <w:r>
              <w:rPr>
                <w:rFonts w:hint="eastAsia"/>
                <w:color w:val="auto"/>
                <w:sz w:val="24"/>
                <w:highlight w:val="none"/>
              </w:rPr>
              <w:t>劳动定员均为附近村民，</w:t>
            </w:r>
            <w:r>
              <w:rPr>
                <w:color w:val="auto"/>
                <w:sz w:val="24"/>
                <w:highlight w:val="none"/>
              </w:rPr>
              <w:t>不设食堂、</w:t>
            </w:r>
            <w:r>
              <w:rPr>
                <w:rFonts w:hint="eastAsia"/>
                <w:color w:val="auto"/>
                <w:sz w:val="24"/>
                <w:highlight w:val="none"/>
              </w:rPr>
              <w:t>住宿</w:t>
            </w:r>
            <w:r>
              <w:rPr>
                <w:color w:val="auto"/>
                <w:sz w:val="24"/>
                <w:highlight w:val="none"/>
              </w:rPr>
              <w:t>，参照</w:t>
            </w:r>
            <w:r>
              <w:rPr>
                <w:rFonts w:hint="eastAsia"/>
                <w:bCs/>
                <w:color w:val="auto"/>
                <w:sz w:val="24"/>
                <w:highlight w:val="none"/>
              </w:rPr>
              <w:t>《河北省地方标准 用水定额 第1部分：居民生活》（DB 13/T 5450.1-2021），用水量</w:t>
            </w:r>
            <w:r>
              <w:rPr>
                <w:rFonts w:hint="eastAsia"/>
                <w:bCs/>
                <w:color w:val="auto"/>
                <w:sz w:val="24"/>
                <w:lang w:eastAsia="zh-CN"/>
                <w:highlight w:val="none"/>
              </w:rPr>
              <w:t>以</w:t>
            </w:r>
            <w:r>
              <w:rPr>
                <w:rFonts w:hint="eastAsia"/>
                <w:bCs/>
                <w:color w:val="auto"/>
                <w:sz w:val="24"/>
                <w:highlight w:val="none"/>
              </w:rPr>
              <w:t>22m</w:t>
            </w:r>
            <w:r>
              <w:rPr>
                <w:rFonts w:hint="eastAsia"/>
                <w:bCs/>
                <w:color w:val="auto"/>
                <w:sz w:val="24"/>
                <w:vertAlign w:val="superscript"/>
                <w:highlight w:val="none"/>
              </w:rPr>
              <w:t>3</w:t>
            </w:r>
            <w:r>
              <w:rPr>
                <w:rFonts w:hint="eastAsia"/>
                <w:bCs/>
                <w:color w:val="auto"/>
                <w:sz w:val="24"/>
                <w:highlight w:val="none"/>
              </w:rPr>
              <w:t>/人·a计，项目</w:t>
            </w:r>
            <w:r>
              <w:rPr>
                <w:color w:val="auto"/>
                <w:sz w:val="24"/>
                <w:highlight w:val="none"/>
              </w:rPr>
              <w:t>劳动定员</w:t>
            </w:r>
            <w:r>
              <w:rPr>
                <w:color w:val="auto"/>
                <w:sz w:val="24"/>
                <w:lang w:eastAsia="zh-CN"/>
                <w:highlight w:val="none"/>
              </w:rPr>
              <w:t>6</w:t>
            </w:r>
            <w:r>
              <w:rPr>
                <w:color w:val="auto"/>
                <w:sz w:val="24"/>
                <w:highlight w:val="none"/>
              </w:rPr>
              <w:t>人，</w:t>
            </w:r>
            <w:r>
              <w:rPr>
                <w:rFonts w:hint="eastAsia"/>
                <w:bCs/>
                <w:color w:val="auto"/>
                <w:sz w:val="24"/>
                <w:highlight w:val="none"/>
              </w:rPr>
              <w:t>年</w:t>
            </w:r>
            <w:r>
              <w:rPr>
                <w:rFonts w:hint="eastAsia"/>
                <w:bCs/>
                <w:color w:val="auto"/>
                <w:sz w:val="24"/>
                <w:lang w:eastAsia="zh-CN"/>
                <w:highlight w:val="none"/>
              </w:rPr>
              <w:t>工作</w:t>
            </w:r>
            <w:r>
              <w:rPr>
                <w:rFonts w:hint="eastAsia"/>
                <w:bCs/>
                <w:color w:val="auto"/>
                <w:sz w:val="24"/>
                <w:highlight w:val="none"/>
              </w:rPr>
              <w:t>300天，</w:t>
            </w:r>
            <w:r>
              <w:rPr>
                <w:rFonts w:hint="eastAsia"/>
                <w:color w:val="auto"/>
                <w:sz w:val="24"/>
                <w:highlight w:val="none"/>
              </w:rPr>
              <w:t>最大</w:t>
            </w:r>
            <w:r>
              <w:rPr>
                <w:rFonts w:hint="eastAsia"/>
                <w:bCs/>
                <w:color w:val="auto"/>
                <w:sz w:val="24"/>
                <w:highlight w:val="none"/>
              </w:rPr>
              <w:t>用水量为</w:t>
            </w:r>
            <w:r>
              <w:rPr>
                <w:bCs/>
                <w:color w:val="auto"/>
                <w:sz w:val="24"/>
                <w:highlight w:val="none"/>
              </w:rPr>
              <w:t>132</w:t>
            </w:r>
            <w:r>
              <w:rPr>
                <w:color w:val="auto"/>
                <w:sz w:val="24"/>
                <w:highlight w:val="none"/>
              </w:rPr>
              <w:t>m</w:t>
            </w:r>
            <w:r>
              <w:rPr>
                <w:color w:val="auto"/>
                <w:sz w:val="24"/>
                <w:vertAlign w:val="superscript"/>
                <w:highlight w:val="none"/>
              </w:rPr>
              <w:t>3</w:t>
            </w:r>
            <w:r>
              <w:rPr>
                <w:color w:val="auto"/>
                <w:sz w:val="24"/>
                <w:highlight w:val="none"/>
              </w:rPr>
              <w:t>/</w:t>
            </w:r>
            <w:r>
              <w:rPr>
                <w:rFonts w:hint="eastAsia"/>
                <w:color w:val="auto"/>
                <w:sz w:val="24"/>
                <w:highlight w:val="none"/>
              </w:rPr>
              <w:t>a（0.</w:t>
            </w:r>
            <w:r>
              <w:rPr>
                <w:color w:val="auto"/>
                <w:sz w:val="24"/>
                <w:lang w:eastAsia="zh-CN"/>
                <w:highlight w:val="none"/>
              </w:rPr>
              <w:t>44</w:t>
            </w:r>
            <w:r>
              <w:rPr>
                <w:color w:val="auto"/>
                <w:sz w:val="24"/>
                <w:highlight w:val="none"/>
              </w:rPr>
              <w:t>m</w:t>
            </w:r>
            <w:r>
              <w:rPr>
                <w:color w:val="auto"/>
                <w:sz w:val="24"/>
                <w:vertAlign w:val="superscript"/>
                <w:highlight w:val="none"/>
              </w:rPr>
              <w:t>3</w:t>
            </w:r>
            <w:r>
              <w:rPr>
                <w:color w:val="auto"/>
                <w:sz w:val="24"/>
                <w:highlight w:val="none"/>
              </w:rPr>
              <w:t>/d</w:t>
            </w:r>
            <w:r>
              <w:rPr>
                <w:rFonts w:hint="eastAsia"/>
                <w:color w:val="auto"/>
                <w:sz w:val="24"/>
                <w:highlight w:val="none"/>
              </w:rPr>
              <w:t>）</w:t>
            </w:r>
            <w:r>
              <w:rPr>
                <w:rFonts w:ascii="Times New Roman" w:eastAsia="宋体" w:cs="Times New Roman" w:hAnsi="Times New Roman" w:hint="eastAsia"/>
                <w:bCs/>
                <w:color w:val="auto"/>
                <w:sz w:val="24"/>
                <w:highlight w:val="none"/>
              </w:rPr>
              <w:t>。职工生活</w:t>
            </w:r>
            <w:r>
              <w:rPr>
                <w:rFonts w:ascii="Times New Roman" w:eastAsia="宋体" w:cs="Times New Roman" w:hAnsi="Times New Roman" w:hint="eastAsia"/>
                <w:bCs/>
                <w:color w:val="auto"/>
                <w:sz w:val="24"/>
                <w:lang w:val="en-US" w:eastAsia="zh-CN"/>
                <w:highlight w:val="none"/>
              </w:rPr>
              <w:t>废</w:t>
            </w:r>
            <w:r>
              <w:rPr>
                <w:rFonts w:ascii="Times New Roman" w:eastAsia="宋体" w:cs="Times New Roman" w:hAnsi="Times New Roman" w:hint="eastAsia"/>
                <w:bCs/>
                <w:color w:val="auto"/>
                <w:sz w:val="24"/>
                <w:highlight w:val="none"/>
              </w:rPr>
              <w:t>水</w:t>
            </w:r>
            <w:r>
              <w:rPr>
                <w:rFonts w:ascii="Times New Roman" w:eastAsia="宋体" w:cs="Times New Roman" w:hAnsi="Times New Roman" w:hint="eastAsia"/>
                <w:bCs/>
                <w:color w:val="auto"/>
                <w:sz w:val="24"/>
                <w:lang w:val="en-US" w:eastAsia="zh-CN"/>
                <w:highlight w:val="none"/>
              </w:rPr>
              <w:t>产生量按用水量80%计，则</w:t>
            </w:r>
            <w:r>
              <w:rPr>
                <w:rFonts w:ascii="Times New Roman" w:eastAsia="宋体" w:cs="Times New Roman" w:hAnsi="Times New Roman" w:hint="eastAsia"/>
                <w:bCs/>
                <w:color w:val="auto"/>
                <w:sz w:val="24"/>
                <w:highlight w:val="none"/>
              </w:rPr>
              <w:t>职工生活</w:t>
            </w:r>
            <w:r>
              <w:rPr>
                <w:rFonts w:ascii="Times New Roman" w:eastAsia="宋体" w:cs="Times New Roman" w:hAnsi="Times New Roman" w:hint="eastAsia"/>
                <w:bCs/>
                <w:color w:val="auto"/>
                <w:sz w:val="24"/>
                <w:lang w:val="en-US" w:eastAsia="zh-CN"/>
                <w:highlight w:val="none"/>
              </w:rPr>
              <w:t>废</w:t>
            </w:r>
            <w:r>
              <w:rPr>
                <w:rFonts w:ascii="Times New Roman" w:eastAsia="宋体" w:cs="Times New Roman" w:hAnsi="Times New Roman" w:hint="eastAsia"/>
                <w:bCs/>
                <w:color w:val="auto"/>
                <w:sz w:val="24"/>
                <w:highlight w:val="none"/>
              </w:rPr>
              <w:t>水</w:t>
            </w:r>
            <w:r>
              <w:rPr>
                <w:rFonts w:ascii="Times New Roman" w:eastAsia="宋体" w:cs="Times New Roman" w:hAnsi="Times New Roman" w:hint="eastAsia"/>
                <w:bCs/>
                <w:color w:val="auto"/>
                <w:sz w:val="24"/>
                <w:lang w:val="en-US" w:eastAsia="zh-CN"/>
                <w:highlight w:val="none"/>
              </w:rPr>
              <w:t>产生</w:t>
            </w:r>
            <w:r>
              <w:rPr>
                <w:rFonts w:ascii="Times New Roman" w:eastAsia="宋体" w:cs="Times New Roman" w:hAnsi="Times New Roman" w:hint="eastAsia"/>
                <w:bCs/>
                <w:color w:val="auto"/>
                <w:sz w:val="24"/>
                <w:highlight w:val="none"/>
              </w:rPr>
              <w:t>量为</w:t>
            </w:r>
            <w:r>
              <w:rPr>
                <w:rFonts w:ascii="Times New Roman" w:eastAsia="宋体" w:cs="Times New Roman" w:hAnsi="Times New Roman" w:hint="eastAsia"/>
                <w:bCs/>
                <w:color w:val="auto"/>
                <w:sz w:val="24"/>
                <w:lang w:val="en-US" w:eastAsia="zh-CN"/>
                <w:highlight w:val="none"/>
              </w:rPr>
              <w:t>0.</w:t>
            </w:r>
            <w:r>
              <w:rPr>
                <w:rFonts w:cs="Times New Roman"/>
                <w:bCs/>
                <w:color w:val="auto"/>
                <w:sz w:val="24"/>
                <w:lang w:eastAsia="zh-CN"/>
                <w:highlight w:val="none"/>
              </w:rPr>
              <w:t>35</w:t>
            </w:r>
            <w:r>
              <w:rPr>
                <w:rFonts w:ascii="Times New Roman" w:eastAsia="宋体" w:cs="Times New Roman" w:hAnsi="Times New Roman" w:hint="eastAsia"/>
                <w:bCs/>
                <w:color w:val="auto"/>
                <w:sz w:val="24"/>
                <w:highlight w:val="none"/>
              </w:rPr>
              <w:t>m</w:t>
            </w:r>
            <w:r>
              <w:rPr>
                <w:rFonts w:ascii="Times New Roman" w:eastAsia="宋体" w:cs="Times New Roman" w:hAnsi="Times New Roman" w:hint="eastAsia"/>
                <w:bCs/>
                <w:color w:val="auto"/>
                <w:sz w:val="24"/>
                <w:vertAlign w:val="superscript"/>
                <w:highlight w:val="none"/>
              </w:rPr>
              <w:t>3</w:t>
            </w:r>
            <w:r>
              <w:rPr>
                <w:rFonts w:ascii="Times New Roman" w:eastAsia="宋体" w:cs="Times New Roman" w:hAnsi="Times New Roman" w:hint="eastAsia"/>
                <w:bCs/>
                <w:color w:val="auto"/>
                <w:sz w:val="24"/>
                <w:highlight w:val="none"/>
              </w:rPr>
              <w:t>/d</w:t>
            </w:r>
            <w:r>
              <w:rPr>
                <w:rFonts w:cs="Times New Roman" w:hint="eastAsia"/>
                <w:bCs/>
                <w:color w:val="auto"/>
                <w:sz w:val="24"/>
                <w:lang w:eastAsia="zh-CN"/>
                <w:highlight w:val="none"/>
              </w:rPr>
              <w:t>（</w:t>
            </w:r>
            <w:r>
              <w:rPr>
                <w:color w:val="auto"/>
                <w:sz w:val="24"/>
                <w:lang w:eastAsia="zh-CN"/>
                <w:highlight w:val="none"/>
              </w:rPr>
              <w:t>105</w:t>
            </w:r>
            <w:r>
              <w:rPr>
                <w:rFonts w:hint="eastAsia"/>
                <w:color w:val="auto"/>
                <w:sz w:val="24"/>
                <w:lang w:val="en-US" w:eastAsia="zh-CN"/>
                <w:highlight w:val="none"/>
              </w:rPr>
              <w:t>.6</w:t>
            </w:r>
            <w:r>
              <w:rPr>
                <w:color w:val="auto"/>
                <w:sz w:val="24"/>
                <w:highlight w:val="none"/>
              </w:rPr>
              <w:t>m</w:t>
            </w:r>
            <w:r>
              <w:rPr>
                <w:color w:val="auto"/>
                <w:sz w:val="24"/>
                <w:vertAlign w:val="superscript"/>
                <w:highlight w:val="none"/>
              </w:rPr>
              <w:t>3</w:t>
            </w:r>
            <w:r>
              <w:rPr>
                <w:color w:val="auto"/>
                <w:sz w:val="24"/>
                <w:highlight w:val="none"/>
              </w:rPr>
              <w:t>/</w:t>
            </w:r>
            <w:r>
              <w:rPr>
                <w:rFonts w:hint="eastAsia"/>
                <w:color w:val="auto"/>
                <w:sz w:val="24"/>
                <w:highlight w:val="none"/>
              </w:rPr>
              <w:t>a</w:t>
            </w:r>
            <w:r>
              <w:rPr>
                <w:rFonts w:cs="Times New Roman" w:hint="eastAsia"/>
                <w:bCs/>
                <w:color w:val="auto"/>
                <w:sz w:val="24"/>
                <w:lang w:eastAsia="zh-CN"/>
                <w:highlight w:val="none"/>
              </w:rPr>
              <w:t>）</w:t>
            </w:r>
            <w:r>
              <w:rPr>
                <w:rFonts w:ascii="Times New Roman" w:cs="Times New Roman" w:hAnsi="Times New Roman" w:hint="eastAsia"/>
                <w:color w:val="auto"/>
                <w:sz w:val="24"/>
                <w:szCs w:val="24"/>
                <w:lang w:val="en-US" w:eastAsia="zh-CN"/>
                <w:highlight w:val="none"/>
              </w:rPr>
              <w:t>。</w:t>
            </w:r>
          </w:p>
          <w:p>
            <w:pPr>
              <w:keepNext w:val="0"/>
              <w:keepLines w:val="0"/>
              <w:pageBreakBefore w:val="0"/>
              <w:widowControl w:val="0"/>
              <w:kinsoku/>
              <w:wordWrap/>
              <w:overflowPunct/>
              <w:topLinePunct w:val="0"/>
              <w:autoSpaceDE/>
              <w:autoSpaceDN/>
              <w:bidi w:val="0"/>
              <w:snapToGrid/>
              <w:spacing w:line="360" w:lineRule="auto"/>
              <w:ind w:firstLineChars="200" w:firstLine="480"/>
              <w:rPr>
                <w:rFonts w:hint="eastAsia"/>
                <w:color w:val="auto"/>
                <w:sz w:val="24"/>
                <w:highlight w:val="none"/>
              </w:rPr>
            </w:pPr>
            <w:r>
              <w:rPr>
                <w:rFonts w:hint="eastAsia"/>
                <w:color w:val="auto"/>
                <w:sz w:val="24"/>
                <w:highlight w:val="none"/>
              </w:rPr>
              <w:t>全厂水量平衡表见表2-</w:t>
            </w:r>
            <w:r>
              <w:rPr>
                <w:rFonts w:hint="eastAsia"/>
                <w:color w:val="auto"/>
                <w:sz w:val="24"/>
                <w:lang w:val="en-US" w:eastAsia="zh-CN"/>
                <w:highlight w:val="none"/>
              </w:rPr>
              <w:t>8</w:t>
            </w:r>
            <w:r>
              <w:rPr>
                <w:rFonts w:hint="eastAsia"/>
                <w:color w:val="auto"/>
                <w:sz w:val="24"/>
                <w:highlight w:val="none"/>
              </w:rPr>
              <w:t>，全厂水量平衡图见图2-1。</w:t>
            </w:r>
          </w:p>
          <w:p>
            <w:pPr>
              <w:widowControl/>
              <w:jc w:val="center"/>
              <w:rPr>
                <w:rFonts w:eastAsia="宋体" w:hint="eastAsia"/>
                <w:b/>
                <w:bCs/>
                <w:color w:val="auto"/>
                <w:sz w:val="24"/>
                <w:lang w:eastAsia="zh-CN"/>
                <w:highlight w:val="none"/>
              </w:rPr>
            </w:pPr>
            <w:r>
              <w:rPr>
                <w:b/>
                <w:bCs/>
                <w:color w:val="auto"/>
                <w:sz w:val="24"/>
                <w:highlight w:val="none"/>
              </w:rPr>
              <w:t>表2-</w:t>
            </w:r>
            <w:r>
              <w:rPr>
                <w:rFonts w:hint="eastAsia"/>
                <w:b/>
                <w:bCs/>
                <w:color w:val="auto"/>
                <w:sz w:val="24"/>
                <w:lang w:val="en-US" w:eastAsia="zh-CN"/>
                <w:highlight w:val="none"/>
              </w:rPr>
              <w:t>8</w:t>
            </w:r>
            <w:r>
              <w:rPr>
                <w:b/>
                <w:bCs/>
                <w:color w:val="auto"/>
                <w:sz w:val="24"/>
                <w:highlight w:val="none"/>
              </w:rPr>
              <w:t xml:space="preserve">  </w:t>
            </w:r>
            <w:r>
              <w:rPr>
                <w:rFonts w:hint="eastAsia"/>
                <w:b/>
                <w:bCs/>
                <w:color w:val="auto"/>
                <w:sz w:val="24"/>
                <w:highlight w:val="none"/>
              </w:rPr>
              <w:t>项目给排水水量平衡表</w:t>
            </w:r>
            <w:r>
              <w:rPr>
                <w:rFonts w:hint="eastAsia"/>
                <w:b/>
                <w:bCs/>
                <w:color w:val="auto"/>
                <w:sz w:val="24"/>
                <w:lang w:val="en-US" w:eastAsia="zh-CN"/>
                <w:highlight w:val="none"/>
              </w:rPr>
              <w:t xml:space="preserve">  </w:t>
            </w:r>
            <w:r>
              <w:rPr>
                <w:rFonts w:hint="eastAsia"/>
                <w:b/>
                <w:bCs/>
                <w:color w:val="auto"/>
                <w:sz w:val="24"/>
                <w:highlight w:val="none"/>
              </w:rPr>
              <w:t>（单位：m</w:t>
            </w:r>
            <w:r>
              <w:rPr>
                <w:rFonts w:hint="eastAsia"/>
                <w:b/>
                <w:bCs/>
                <w:color w:val="auto"/>
                <w:sz w:val="24"/>
                <w:vertAlign w:val="superscript"/>
                <w:highlight w:val="none"/>
              </w:rPr>
              <w:t>3</w:t>
            </w:r>
            <w:r>
              <w:rPr>
                <w:rFonts w:hint="eastAsia"/>
                <w:b/>
                <w:bCs/>
                <w:color w:val="auto"/>
                <w:sz w:val="24"/>
                <w:highlight w:val="none"/>
              </w:rPr>
              <w:t>/d）</w:t>
            </w:r>
          </w:p>
          <w:tbl>
            <w:tblPr>
              <w:jc w:val="center"/>
              <w:tblW w:w="4993" w:type="pct"/>
              <w:tblBorders>
                <w:top w:val="single" w:sz="12" w:space="0" w:color="auto"/>
                <w:left w:val="none" w:sz="0" w:space="0" w:color="auto"/>
                <w:bottom w:val="single" w:sz="12" w:space="0" w:color="auto"/>
                <w:right w:val="none" w:sz="0" w:space="0" w:color="auto"/>
                <w:insideH w:val="single" w:sz="4" w:space="0" w:color="auto"/>
                <w:insideV w:val="single" w:sz="4" w:space="0" w:color="auto"/>
              </w:tblBorders>
              <w:tblCellMar>
                <w:top w:w="0" w:type="dxa"/>
                <w:left w:w="57" w:type="dxa"/>
                <w:bottom w:w="0" w:type="dxa"/>
                <w:right w:w="57" w:type="dxa"/>
              </w:tblCellMar>
              <w:tblLook w:val="0600" w:firstRow="0" w:lastRow="0" w:firstColumn="0" w:lastColumn="0" w:noHBand="1" w:noVBand="1"/>
            </w:tblPr>
            <w:tblGrid>
              <w:gridCol w:w="627"/>
              <w:gridCol w:w="1464"/>
              <w:gridCol w:w="954"/>
              <w:gridCol w:w="716"/>
              <w:gridCol w:w="769"/>
              <w:gridCol w:w="845"/>
              <w:gridCol w:w="769"/>
              <w:gridCol w:w="1950"/>
            </w:tblGrid>
            <w:tr>
              <w:tc>
                <w:tcPr>
                  <w:tcW w:w="387" w:type="pct"/>
                  <w:vAlign w:val="center"/>
                </w:tcPr>
                <w:p>
                  <w:pPr>
                    <w:spacing w:line="320" w:lineRule="exact"/>
                    <w:jc w:val="center"/>
                    <w:rPr>
                      <w:b w:val="0"/>
                      <w:bCs w:val="0"/>
                      <w:color w:val="auto"/>
                      <w:szCs w:val="21"/>
                      <w:highlight w:val="none"/>
                    </w:rPr>
                  </w:pPr>
                  <w:r>
                    <w:rPr>
                      <w:b w:val="0"/>
                      <w:bCs w:val="0"/>
                      <w:color w:val="auto"/>
                      <w:szCs w:val="21"/>
                      <w:highlight w:val="none"/>
                    </w:rPr>
                    <w:t>序号</w:t>
                  </w:r>
                </w:p>
              </w:tc>
              <w:tc>
                <w:tcPr>
                  <w:tcW w:w="904" w:type="pct"/>
                  <w:vAlign w:val="center"/>
                </w:tcPr>
                <w:p>
                  <w:pPr>
                    <w:spacing w:line="320" w:lineRule="exact"/>
                    <w:jc w:val="center"/>
                    <w:rPr>
                      <w:b w:val="0"/>
                      <w:bCs w:val="0"/>
                      <w:color w:val="auto"/>
                      <w:szCs w:val="21"/>
                      <w:highlight w:val="none"/>
                    </w:rPr>
                  </w:pPr>
                  <w:r>
                    <w:rPr>
                      <w:b w:val="0"/>
                      <w:bCs w:val="0"/>
                      <w:color w:val="auto"/>
                      <w:szCs w:val="21"/>
                      <w:highlight w:val="none"/>
                    </w:rPr>
                    <w:t>用水单元</w:t>
                  </w:r>
                </w:p>
              </w:tc>
              <w:tc>
                <w:tcPr>
                  <w:tcW w:w="589" w:type="pct"/>
                  <w:vAlign w:val="center"/>
                </w:tcPr>
                <w:p>
                  <w:pPr>
                    <w:spacing w:line="320" w:lineRule="exact"/>
                    <w:jc w:val="center"/>
                    <w:rPr>
                      <w:b w:val="0"/>
                      <w:bCs w:val="0"/>
                      <w:color w:val="auto"/>
                      <w:szCs w:val="21"/>
                      <w:highlight w:val="none"/>
                    </w:rPr>
                  </w:pPr>
                  <w:r>
                    <w:rPr>
                      <w:b w:val="0"/>
                      <w:bCs w:val="0"/>
                      <w:color w:val="auto"/>
                      <w:szCs w:val="21"/>
                      <w:highlight w:val="none"/>
                    </w:rPr>
                    <w:t>总用水量</w:t>
                  </w:r>
                </w:p>
              </w:tc>
              <w:tc>
                <w:tcPr>
                  <w:tcW w:w="442" w:type="pct"/>
                  <w:vAlign w:val="center"/>
                </w:tcPr>
                <w:p>
                  <w:pPr>
                    <w:spacing w:line="320" w:lineRule="exact"/>
                    <w:jc w:val="center"/>
                    <w:rPr>
                      <w:b w:val="0"/>
                      <w:bCs w:val="0"/>
                      <w:color w:val="auto"/>
                      <w:szCs w:val="21"/>
                      <w:highlight w:val="none"/>
                    </w:rPr>
                  </w:pPr>
                  <w:r>
                    <w:rPr>
                      <w:b w:val="0"/>
                      <w:bCs w:val="0"/>
                      <w:color w:val="auto"/>
                      <w:szCs w:val="21"/>
                      <w:highlight w:val="none"/>
                    </w:rPr>
                    <w:t>新鲜水量</w:t>
                  </w:r>
                </w:p>
              </w:tc>
              <w:tc>
                <w:tcPr>
                  <w:tcW w:w="475" w:type="pct"/>
                  <w:vAlign w:val="center"/>
                </w:tcPr>
                <w:p>
                  <w:pPr>
                    <w:spacing w:line="320" w:lineRule="exact"/>
                    <w:jc w:val="center"/>
                    <w:rPr>
                      <w:b w:val="0"/>
                      <w:bCs w:val="0"/>
                      <w:color w:val="auto"/>
                      <w:szCs w:val="21"/>
                      <w:highlight w:val="none"/>
                    </w:rPr>
                  </w:pPr>
                  <w:r>
                    <w:rPr>
                      <w:b w:val="0"/>
                      <w:bCs w:val="0"/>
                      <w:color w:val="auto"/>
                      <w:szCs w:val="21"/>
                      <w:highlight w:val="none"/>
                    </w:rPr>
                    <w:t>循环</w:t>
                  </w:r>
                  <w:r>
                    <w:rPr>
                      <w:rFonts w:hint="eastAsia"/>
                      <w:b w:val="0"/>
                      <w:bCs w:val="0"/>
                      <w:color w:val="auto"/>
                      <w:szCs w:val="21"/>
                      <w:lang w:val="en-US" w:eastAsia="zh-CN"/>
                      <w:highlight w:val="none"/>
                    </w:rPr>
                    <w:t>/回用</w:t>
                  </w:r>
                  <w:r>
                    <w:rPr>
                      <w:b w:val="0"/>
                      <w:bCs w:val="0"/>
                      <w:color w:val="auto"/>
                      <w:szCs w:val="21"/>
                      <w:highlight w:val="none"/>
                    </w:rPr>
                    <w:t>水量</w:t>
                  </w:r>
                </w:p>
              </w:tc>
              <w:tc>
                <w:tcPr>
                  <w:tcW w:w="522" w:type="pct"/>
                  <w:vAlign w:val="center"/>
                </w:tcPr>
                <w:p>
                  <w:pPr>
                    <w:spacing w:line="320" w:lineRule="exact"/>
                    <w:jc w:val="center"/>
                    <w:rPr>
                      <w:b w:val="0"/>
                      <w:bCs w:val="0"/>
                      <w:color w:val="auto"/>
                      <w:szCs w:val="21"/>
                      <w:highlight w:val="none"/>
                    </w:rPr>
                  </w:pPr>
                  <w:r>
                    <w:rPr>
                      <w:b w:val="0"/>
                      <w:bCs w:val="0"/>
                      <w:color w:val="auto"/>
                      <w:szCs w:val="21"/>
                      <w:highlight w:val="none"/>
                    </w:rPr>
                    <w:t>损耗量</w:t>
                  </w:r>
                </w:p>
              </w:tc>
              <w:tc>
                <w:tcPr>
                  <w:tcW w:w="475" w:type="pct"/>
                  <w:vAlign w:val="center"/>
                </w:tcPr>
                <w:p>
                  <w:pPr>
                    <w:spacing w:line="320" w:lineRule="exact"/>
                    <w:jc w:val="center"/>
                    <w:rPr>
                      <w:b w:val="0"/>
                      <w:bCs w:val="0"/>
                      <w:color w:val="auto"/>
                      <w:szCs w:val="21"/>
                      <w:highlight w:val="none"/>
                    </w:rPr>
                  </w:pPr>
                  <w:r>
                    <w:rPr>
                      <w:b w:val="0"/>
                      <w:bCs w:val="0"/>
                      <w:color w:val="auto"/>
                      <w:szCs w:val="21"/>
                      <w:highlight w:val="none"/>
                    </w:rPr>
                    <w:t>废水量</w:t>
                  </w:r>
                </w:p>
              </w:tc>
              <w:tc>
                <w:tcPr>
                  <w:tcW w:w="1204" w:type="pct"/>
                  <w:vAlign w:val="center"/>
                </w:tcPr>
                <w:p>
                  <w:pPr>
                    <w:spacing w:line="320" w:lineRule="exact"/>
                    <w:jc w:val="center"/>
                    <w:rPr>
                      <w:b w:val="0"/>
                      <w:bCs w:val="0"/>
                      <w:color w:val="auto"/>
                      <w:szCs w:val="21"/>
                      <w:highlight w:val="none"/>
                    </w:rPr>
                  </w:pPr>
                  <w:r>
                    <w:rPr>
                      <w:b w:val="0"/>
                      <w:bCs w:val="0"/>
                      <w:color w:val="auto"/>
                      <w:szCs w:val="21"/>
                      <w:highlight w:val="none"/>
                    </w:rPr>
                    <w:t>排放去向</w:t>
                  </w:r>
                </w:p>
              </w:tc>
            </w:tr>
            <w:tr>
              <w:trPr>
                <w:trHeight w:val="512"/>
              </w:trPr>
              <w:tc>
                <w:tcPr>
                  <w:tcW w:w="387" w:type="pct"/>
                  <w:vAlign w:val="center"/>
                </w:tcPr>
                <w:p>
                  <w:pPr>
                    <w:spacing w:line="320" w:lineRule="exact"/>
                    <w:jc w:val="center"/>
                    <w:rPr>
                      <w:rFonts w:eastAsia="宋体" w:hint="eastAsia"/>
                      <w:color w:val="auto"/>
                      <w:szCs w:val="21"/>
                      <w:lang w:val="en-US" w:eastAsia="zh-CN"/>
                      <w:highlight w:val="none"/>
                    </w:rPr>
                  </w:pPr>
                  <w:r>
                    <w:rPr>
                      <w:rFonts w:hint="eastAsia"/>
                      <w:color w:val="auto"/>
                      <w:szCs w:val="21"/>
                      <w:lang w:val="en-US" w:eastAsia="zh-CN"/>
                      <w:highlight w:val="none"/>
                    </w:rPr>
                    <w:t>1</w:t>
                  </w:r>
                </w:p>
              </w:tc>
              <w:tc>
                <w:tcPr>
                  <w:tcW w:w="904" w:type="pct"/>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color w:val="auto"/>
                      <w:kern w:val="2"/>
                      <w:sz w:val="21"/>
                      <w:szCs w:val="21"/>
                      <w:lang w:val="en-US" w:eastAsia="zh-CN" w:bidi="ar-SA"/>
                      <w:highlight w:val="none"/>
                    </w:rPr>
                  </w:pPr>
                  <w:r>
                    <w:rPr>
                      <w:rFonts w:hint="eastAsia"/>
                      <w:color w:val="auto"/>
                      <w:kern w:val="2"/>
                      <w:sz w:val="21"/>
                      <w:szCs w:val="21"/>
                      <w:lang w:val="en-US" w:eastAsia="zh-CN" w:bidi="ar-SA"/>
                      <w:highlight w:val="none"/>
                    </w:rPr>
                    <w:t>碱液喷淋装置</w:t>
                  </w:r>
                </w:p>
              </w:tc>
              <w:tc>
                <w:tcPr>
                  <w:tcW w:w="589" w:type="pct"/>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color w:val="auto"/>
                      <w:kern w:val="2"/>
                      <w:sz w:val="21"/>
                      <w:szCs w:val="21"/>
                      <w:lang w:val="en-US" w:eastAsia="zh-CN" w:bidi="ar-SA"/>
                      <w:highlight w:val="none"/>
                    </w:rPr>
                  </w:pPr>
                  <w:r>
                    <w:rPr>
                      <w:rFonts w:hint="eastAsia"/>
                      <w:color w:val="auto"/>
                      <w:szCs w:val="21"/>
                      <w:lang w:val="en-US" w:eastAsia="zh-CN"/>
                      <w:highlight w:val="none"/>
                    </w:rPr>
                    <w:t>0.7</w:t>
                  </w:r>
                </w:p>
              </w:tc>
              <w:tc>
                <w:tcPr>
                  <w:tcW w:w="442" w:type="pct"/>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color w:val="auto"/>
                      <w:kern w:val="2"/>
                      <w:sz w:val="21"/>
                      <w:szCs w:val="21"/>
                      <w:lang w:val="en-US" w:eastAsia="zh-CN" w:bidi="ar-SA"/>
                      <w:highlight w:val="none"/>
                    </w:rPr>
                  </w:pPr>
                  <w:r>
                    <w:rPr>
                      <w:rFonts w:hint="eastAsia"/>
                      <w:color w:val="auto"/>
                      <w:szCs w:val="21"/>
                      <w:lang w:val="en-US" w:eastAsia="zh-CN"/>
                      <w:highlight w:val="none"/>
                    </w:rPr>
                    <w:t>0.04</w:t>
                  </w:r>
                </w:p>
              </w:tc>
              <w:tc>
                <w:tcPr>
                  <w:tcW w:w="475" w:type="pct"/>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color w:val="auto"/>
                      <w:kern w:val="2"/>
                      <w:sz w:val="21"/>
                      <w:szCs w:val="21"/>
                      <w:lang w:val="en-US" w:eastAsia="zh-CN" w:bidi="ar-SA"/>
                      <w:highlight w:val="none"/>
                    </w:rPr>
                  </w:pPr>
                  <w:r>
                    <w:rPr>
                      <w:rFonts w:hint="eastAsia"/>
                      <w:color w:val="auto"/>
                      <w:szCs w:val="21"/>
                      <w:lang w:val="en-US" w:eastAsia="zh-CN"/>
                      <w:highlight w:val="none"/>
                    </w:rPr>
                    <w:t>0.7</w:t>
                  </w:r>
                </w:p>
              </w:tc>
              <w:tc>
                <w:tcPr>
                  <w:tcW w:w="522" w:type="pct"/>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color w:val="auto"/>
                      <w:kern w:val="2"/>
                      <w:sz w:val="21"/>
                      <w:szCs w:val="21"/>
                      <w:lang w:val="en-US" w:eastAsia="zh-CN" w:bidi="ar-SA"/>
                      <w:highlight w:val="none"/>
                    </w:rPr>
                  </w:pPr>
                  <w:r>
                    <w:rPr>
                      <w:rFonts w:hint="eastAsia"/>
                      <w:color w:val="auto"/>
                      <w:szCs w:val="21"/>
                      <w:lang w:val="en-US" w:eastAsia="zh-CN"/>
                      <w:highlight w:val="none"/>
                    </w:rPr>
                    <w:t>0.04</w:t>
                  </w:r>
                </w:p>
              </w:tc>
              <w:tc>
                <w:tcPr>
                  <w:tcW w:w="475" w:type="pct"/>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color w:val="auto"/>
                      <w:kern w:val="2"/>
                      <w:sz w:val="21"/>
                      <w:szCs w:val="21"/>
                      <w:lang w:val="en-US" w:eastAsia="zh-CN" w:bidi="ar-SA"/>
                      <w:highlight w:val="none"/>
                    </w:rPr>
                  </w:pPr>
                  <w:r>
                    <w:rPr>
                      <w:rFonts w:hint="eastAsia"/>
                      <w:color w:val="auto"/>
                      <w:szCs w:val="21"/>
                      <w:lang w:val="en-US" w:eastAsia="zh-CN"/>
                      <w:highlight w:val="none"/>
                    </w:rPr>
                    <w:t>0</w:t>
                  </w:r>
                </w:p>
              </w:tc>
              <w:tc>
                <w:tcPr>
                  <w:tcW w:w="1204" w:type="pct"/>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color w:val="auto"/>
                      <w:kern w:val="2"/>
                      <w:sz w:val="21"/>
                      <w:szCs w:val="21"/>
                      <w:lang w:val="en-US" w:eastAsia="zh-CN" w:bidi="ar-SA"/>
                      <w:highlight w:val="none"/>
                    </w:rPr>
                  </w:pPr>
                  <w:r>
                    <w:rPr>
                      <w:rFonts w:hint="eastAsia"/>
                      <w:color w:val="auto"/>
                      <w:szCs w:val="21"/>
                      <w:lang w:val="en-US" w:eastAsia="zh-CN"/>
                      <w:highlight w:val="none"/>
                    </w:rPr>
                    <w:t>不外排</w:t>
                  </w:r>
                </w:p>
              </w:tc>
            </w:tr>
            <w:tr>
              <w:trPr>
                <w:trHeight w:val="522"/>
              </w:trPr>
              <w:tc>
                <w:tcPr>
                  <w:tcW w:w="387" w:type="pct"/>
                  <w:vAlign w:val="center"/>
                </w:tcPr>
                <w:p>
                  <w:pPr>
                    <w:spacing w:line="320" w:lineRule="exact"/>
                    <w:jc w:val="center"/>
                    <w:rPr>
                      <w:rFonts w:hint="eastAsia"/>
                      <w:color w:val="auto"/>
                      <w:kern w:val="2"/>
                      <w:sz w:val="21"/>
                      <w:szCs w:val="21"/>
                      <w:lang w:val="en-US" w:eastAsia="zh-CN" w:bidi="ar-SA"/>
                      <w:highlight w:val="none"/>
                    </w:rPr>
                  </w:pPr>
                  <w:r>
                    <w:rPr>
                      <w:rFonts w:hint="eastAsia"/>
                      <w:color w:val="auto"/>
                      <w:szCs w:val="21"/>
                      <w:lang w:val="en-US" w:eastAsia="zh-CN"/>
                      <w:highlight w:val="none"/>
                    </w:rPr>
                    <w:t>2</w:t>
                  </w:r>
                </w:p>
              </w:tc>
              <w:tc>
                <w:tcPr>
                  <w:tcW w:w="904" w:type="pct"/>
                  <w:vAlign w:val="center"/>
                </w:tcPr>
                <w:p>
                  <w:pPr>
                    <w:spacing w:line="320" w:lineRule="exact"/>
                    <w:jc w:val="center"/>
                    <w:rPr>
                      <w:rFonts w:eastAsia="宋体" w:hint="eastAsia"/>
                      <w:color w:val="auto"/>
                      <w:kern w:val="2"/>
                      <w:sz w:val="21"/>
                      <w:szCs w:val="21"/>
                      <w:lang w:val="en-US" w:eastAsia="zh-CN" w:bidi="ar-SA"/>
                      <w:highlight w:val="none"/>
                    </w:rPr>
                  </w:pPr>
                  <w:r>
                    <w:rPr>
                      <w:rFonts w:hint="eastAsia"/>
                      <w:color w:val="auto"/>
                      <w:szCs w:val="21"/>
                      <w:lang w:val="en-US" w:eastAsia="zh-CN"/>
                      <w:highlight w:val="none"/>
                    </w:rPr>
                    <w:t>职工生活</w:t>
                  </w:r>
                </w:p>
              </w:tc>
              <w:tc>
                <w:tcPr>
                  <w:tcW w:w="589" w:type="pct"/>
                  <w:vAlign w:val="center"/>
                </w:tcPr>
                <w:p>
                  <w:pPr>
                    <w:spacing w:line="320" w:lineRule="exact"/>
                    <w:jc w:val="center"/>
                    <w:rPr>
                      <w:color w:val="auto"/>
                      <w:kern w:val="2"/>
                      <w:sz w:val="21"/>
                      <w:szCs w:val="21"/>
                      <w:lang w:eastAsia="zh-CN" w:bidi="ar-SA"/>
                      <w:highlight w:val="none"/>
                    </w:rPr>
                  </w:pPr>
                  <w:r>
                    <w:rPr>
                      <w:color w:val="auto"/>
                      <w:kern w:val="2"/>
                      <w:sz w:val="21"/>
                      <w:szCs w:val="21"/>
                      <w:lang w:val="en-US" w:eastAsia="zh-CN" w:bidi="ar-SA"/>
                      <w:highlight w:val="none"/>
                    </w:rPr>
                    <w:t>0.</w:t>
                  </w:r>
                  <w:r>
                    <w:rPr>
                      <w:color w:val="auto"/>
                      <w:kern w:val="2"/>
                      <w:sz w:val="21"/>
                      <w:szCs w:val="21"/>
                      <w:lang w:eastAsia="zh-CN" w:bidi="ar-SA"/>
                      <w:highlight w:val="none"/>
                    </w:rPr>
                    <w:t>44</w:t>
                  </w:r>
                </w:p>
              </w:tc>
              <w:tc>
                <w:tcPr>
                  <w:tcW w:w="442" w:type="pct"/>
                  <w:vAlign w:val="center"/>
                </w:tcPr>
                <w:p>
                  <w:pPr>
                    <w:spacing w:line="320" w:lineRule="exact"/>
                    <w:jc w:val="center"/>
                    <w:rPr>
                      <w:color w:val="auto"/>
                      <w:kern w:val="2"/>
                      <w:sz w:val="21"/>
                      <w:szCs w:val="21"/>
                      <w:lang w:eastAsia="zh-CN" w:bidi="ar-SA"/>
                      <w:highlight w:val="none"/>
                    </w:rPr>
                  </w:pPr>
                  <w:r>
                    <w:rPr>
                      <w:rFonts w:hint="eastAsia"/>
                      <w:color w:val="auto"/>
                      <w:szCs w:val="21"/>
                      <w:lang w:val="en-US" w:eastAsia="zh-CN"/>
                      <w:highlight w:val="none"/>
                    </w:rPr>
                    <w:t>0.</w:t>
                  </w:r>
                  <w:r>
                    <w:rPr>
                      <w:color w:val="auto"/>
                      <w:szCs w:val="21"/>
                      <w:lang w:eastAsia="zh-CN"/>
                      <w:highlight w:val="none"/>
                    </w:rPr>
                    <w:t>44</w:t>
                  </w:r>
                </w:p>
              </w:tc>
              <w:tc>
                <w:tcPr>
                  <w:tcW w:w="475" w:type="pct"/>
                  <w:vAlign w:val="center"/>
                </w:tcPr>
                <w:p>
                  <w:pPr>
                    <w:spacing w:line="320" w:lineRule="exact"/>
                    <w:jc w:val="center"/>
                    <w:rPr>
                      <w:color w:val="auto"/>
                      <w:kern w:val="2"/>
                      <w:sz w:val="21"/>
                      <w:szCs w:val="21"/>
                      <w:lang w:val="en-US" w:eastAsia="zh-CN" w:bidi="ar-SA"/>
                      <w:highlight w:val="none"/>
                    </w:rPr>
                  </w:pPr>
                  <w:r>
                    <w:rPr>
                      <w:rFonts w:hint="eastAsia"/>
                      <w:color w:val="auto"/>
                      <w:kern w:val="2"/>
                      <w:sz w:val="21"/>
                      <w:szCs w:val="21"/>
                      <w:lang w:val="en-US" w:eastAsia="zh-CN" w:bidi="ar-SA"/>
                      <w:highlight w:val="none"/>
                    </w:rPr>
                    <w:t>/</w:t>
                  </w:r>
                </w:p>
              </w:tc>
              <w:tc>
                <w:tcPr>
                  <w:tcW w:w="522" w:type="pct"/>
                  <w:vAlign w:val="center"/>
                </w:tcPr>
                <w:p>
                  <w:pPr>
                    <w:spacing w:line="320" w:lineRule="exact"/>
                    <w:jc w:val="center"/>
                    <w:rPr>
                      <w:color w:val="auto"/>
                      <w:kern w:val="2"/>
                      <w:sz w:val="21"/>
                      <w:szCs w:val="21"/>
                      <w:lang w:eastAsia="zh-CN" w:bidi="ar-SA"/>
                      <w:highlight w:val="none"/>
                    </w:rPr>
                  </w:pPr>
                  <w:r>
                    <w:rPr>
                      <w:rFonts w:hint="eastAsia"/>
                      <w:color w:val="auto"/>
                      <w:szCs w:val="21"/>
                      <w:lang w:val="en-US" w:eastAsia="zh-CN"/>
                      <w:highlight w:val="none"/>
                    </w:rPr>
                    <w:t>0.0</w:t>
                  </w:r>
                  <w:r>
                    <w:rPr>
                      <w:color w:val="auto"/>
                      <w:szCs w:val="21"/>
                      <w:lang w:eastAsia="zh-CN"/>
                      <w:highlight w:val="none"/>
                    </w:rPr>
                    <w:t>9</w:t>
                  </w:r>
                </w:p>
              </w:tc>
              <w:tc>
                <w:tcPr>
                  <w:tcW w:w="475" w:type="pct"/>
                  <w:vAlign w:val="center"/>
                </w:tcPr>
                <w:p>
                  <w:pPr>
                    <w:spacing w:line="320" w:lineRule="exact"/>
                    <w:jc w:val="center"/>
                    <w:rPr>
                      <w:color w:val="auto"/>
                      <w:kern w:val="2"/>
                      <w:sz w:val="21"/>
                      <w:szCs w:val="21"/>
                      <w:lang w:eastAsia="zh-CN" w:bidi="ar-SA"/>
                      <w:highlight w:val="none"/>
                    </w:rPr>
                  </w:pPr>
                  <w:r>
                    <w:rPr>
                      <w:rFonts w:hint="eastAsia"/>
                      <w:color w:val="auto"/>
                      <w:szCs w:val="21"/>
                      <w:lang w:val="en-US" w:eastAsia="zh-CN"/>
                      <w:highlight w:val="none"/>
                    </w:rPr>
                    <w:t>0.</w:t>
                  </w:r>
                  <w:r>
                    <w:rPr>
                      <w:color w:val="auto"/>
                      <w:szCs w:val="21"/>
                      <w:lang w:eastAsia="zh-CN"/>
                      <w:highlight w:val="none"/>
                    </w:rPr>
                    <w:t>35</w:t>
                  </w:r>
                </w:p>
              </w:tc>
              <w:tc>
                <w:tcPr>
                  <w:tcW w:w="1204" w:type="pct"/>
                  <w:vAlign w:val="center"/>
                </w:tcPr>
                <w:p>
                  <w:pPr>
                    <w:spacing w:line="320" w:lineRule="exact"/>
                    <w:jc w:val="center"/>
                    <w:rPr>
                      <w:rFonts w:ascii="Times New Roman" w:eastAsia="宋体" w:cs="Times New Roman" w:hAnsi="Times New Roman"/>
                      <w:color w:val="auto"/>
                      <w:kern w:val="2"/>
                      <w:sz w:val="21"/>
                      <w:szCs w:val="21"/>
                      <w:lang w:val="en-US" w:eastAsia="zh-CN" w:bidi="ar-SA"/>
                      <w:highlight w:val="none"/>
                    </w:rPr>
                  </w:pPr>
                  <w:r>
                    <w:rPr>
                      <w:rFonts w:ascii="Times New Roman" w:eastAsia="宋体" w:cs="Times New Roman" w:hAnsi="Times New Roman"/>
                      <w:color w:val="auto"/>
                      <w:kern w:val="2"/>
                      <w:sz w:val="21"/>
                      <w:szCs w:val="21"/>
                      <w:lang w:val="en-US" w:eastAsia="zh-CN" w:bidi="ar-SA"/>
                      <w:highlight w:val="none"/>
                    </w:rPr>
                    <w:t>生活污水依托河北泽豪环保新材料科技有限公司化粪池处理后，</w:t>
                  </w:r>
                  <w:r>
                    <w:rPr>
                      <w:rFonts w:cs="Times New Roman" w:hint="eastAsia"/>
                      <w:color w:val="auto"/>
                      <w:kern w:val="2"/>
                      <w:sz w:val="21"/>
                      <w:szCs w:val="21"/>
                      <w:lang w:val="en-US" w:eastAsia="zh-CN" w:bidi="ar-SA"/>
                      <w:highlight w:val="none"/>
                    </w:rPr>
                    <w:t>定期清掏，不外排</w:t>
                  </w:r>
                </w:p>
              </w:tc>
            </w:tr>
            <w:tr>
              <w:trPr>
                <w:trHeight w:val="544"/>
              </w:trPr>
              <w:tc>
                <w:tcPr>
                  <w:tcW w:w="1291" w:type="pct"/>
                  <w:gridSpan w:val="2"/>
                  <w:vAlign w:val="center"/>
                </w:tcPr>
                <w:p>
                  <w:pPr>
                    <w:spacing w:line="320" w:lineRule="exact"/>
                    <w:jc w:val="center"/>
                    <w:rPr>
                      <w:color w:val="auto"/>
                      <w:szCs w:val="21"/>
                      <w:highlight w:val="none"/>
                    </w:rPr>
                  </w:pPr>
                  <w:r>
                    <w:rPr>
                      <w:color w:val="auto"/>
                      <w:szCs w:val="21"/>
                      <w:highlight w:val="none"/>
                    </w:rPr>
                    <w:t>合计</w:t>
                  </w:r>
                </w:p>
              </w:tc>
              <w:tc>
                <w:tcPr>
                  <w:tcW w:w="589" w:type="pct"/>
                  <w:vAlign w:val="center"/>
                </w:tcPr>
                <w:p>
                  <w:pPr>
                    <w:spacing w:line="320" w:lineRule="exact"/>
                    <w:jc w:val="center"/>
                    <w:rPr>
                      <w:rFonts w:eastAsia="宋体"/>
                      <w:color w:val="auto"/>
                      <w:szCs w:val="21"/>
                      <w:highlight w:val="none"/>
                    </w:rPr>
                  </w:pPr>
                  <w:r>
                    <w:rPr>
                      <w:color w:val="auto"/>
                      <w:szCs w:val="21"/>
                      <w:lang w:eastAsia="zh-CN"/>
                      <w:highlight w:val="none"/>
                    </w:rPr>
                    <w:t>1</w:t>
                  </w:r>
                  <w:r>
                    <w:rPr>
                      <w:rFonts w:hint="eastAsia"/>
                      <w:color w:val="auto"/>
                      <w:szCs w:val="21"/>
                      <w:lang w:val="en-US"/>
                      <w:highlight w:val="none"/>
                    </w:rPr>
                    <w:t>.</w:t>
                  </w:r>
                  <w:r>
                    <w:rPr>
                      <w:color w:val="auto"/>
                      <w:szCs w:val="21"/>
                      <w:highlight w:val="none"/>
                    </w:rPr>
                    <w:t>14</w:t>
                  </w:r>
                </w:p>
              </w:tc>
              <w:tc>
                <w:tcPr>
                  <w:tcW w:w="442" w:type="pct"/>
                  <w:vAlign w:val="center"/>
                </w:tcPr>
                <w:p>
                  <w:pPr>
                    <w:spacing w:line="320" w:lineRule="exact"/>
                    <w:jc w:val="center"/>
                    <w:rPr>
                      <w:rFonts w:eastAsia="宋体"/>
                      <w:color w:val="auto"/>
                      <w:szCs w:val="21"/>
                      <w:lang w:eastAsia="zh-CN"/>
                      <w:highlight w:val="none"/>
                    </w:rPr>
                  </w:pPr>
                  <w:r>
                    <w:rPr>
                      <w:rFonts w:hint="eastAsia"/>
                      <w:color w:val="auto"/>
                      <w:szCs w:val="21"/>
                      <w:lang w:val="en-US" w:eastAsia="zh-CN"/>
                      <w:highlight w:val="none"/>
                    </w:rPr>
                    <w:t>0.</w:t>
                  </w:r>
                  <w:r>
                    <w:rPr>
                      <w:color w:val="auto"/>
                      <w:szCs w:val="21"/>
                      <w:lang w:eastAsia="zh-CN"/>
                      <w:highlight w:val="none"/>
                    </w:rPr>
                    <w:t>48</w:t>
                  </w:r>
                </w:p>
              </w:tc>
              <w:tc>
                <w:tcPr>
                  <w:tcW w:w="475" w:type="pct"/>
                  <w:vAlign w:val="center"/>
                </w:tcPr>
                <w:p>
                  <w:pPr>
                    <w:spacing w:line="320" w:lineRule="exact"/>
                    <w:jc w:val="center"/>
                    <w:rPr>
                      <w:rFonts w:eastAsia="宋体"/>
                      <w:color w:val="auto"/>
                      <w:szCs w:val="21"/>
                      <w:lang w:val="en-US" w:eastAsia="zh-CN"/>
                      <w:highlight w:val="none"/>
                    </w:rPr>
                  </w:pPr>
                  <w:r>
                    <w:rPr>
                      <w:rFonts w:hint="eastAsia"/>
                      <w:color w:val="auto"/>
                      <w:szCs w:val="21"/>
                      <w:lang w:val="en-US" w:eastAsia="zh-CN"/>
                      <w:highlight w:val="none"/>
                    </w:rPr>
                    <w:t>0.7</w:t>
                  </w:r>
                </w:p>
              </w:tc>
              <w:tc>
                <w:tcPr>
                  <w:tcW w:w="522" w:type="pct"/>
                  <w:vAlign w:val="center"/>
                </w:tcPr>
                <w:p>
                  <w:pPr>
                    <w:spacing w:line="320" w:lineRule="exact"/>
                    <w:jc w:val="center"/>
                    <w:rPr>
                      <w:rFonts w:eastAsia="宋体"/>
                      <w:color w:val="auto"/>
                      <w:szCs w:val="21"/>
                      <w:lang w:eastAsia="zh-CN"/>
                      <w:highlight w:val="none"/>
                    </w:rPr>
                  </w:pPr>
                  <w:r>
                    <w:rPr>
                      <w:rFonts w:eastAsia="宋体" w:hint="eastAsia"/>
                      <w:color w:val="auto"/>
                      <w:szCs w:val="21"/>
                      <w:lang w:val="en-US" w:eastAsia="zh-CN"/>
                      <w:highlight w:val="none"/>
                    </w:rPr>
                    <w:t>0.</w:t>
                  </w:r>
                  <w:r>
                    <w:rPr>
                      <w:color w:val="auto"/>
                      <w:szCs w:val="21"/>
                      <w:lang w:eastAsia="zh-CN"/>
                      <w:highlight w:val="none"/>
                    </w:rPr>
                    <w:t>13</w:t>
                  </w:r>
                </w:p>
              </w:tc>
              <w:tc>
                <w:tcPr>
                  <w:tcW w:w="475" w:type="pct"/>
                  <w:vAlign w:val="center"/>
                </w:tcPr>
                <w:p>
                  <w:pPr>
                    <w:spacing w:line="320" w:lineRule="exact"/>
                    <w:jc w:val="center"/>
                    <w:rPr>
                      <w:rFonts w:eastAsia="宋体"/>
                      <w:color w:val="auto"/>
                      <w:szCs w:val="21"/>
                      <w:lang w:eastAsia="zh-CN"/>
                      <w:highlight w:val="none"/>
                    </w:rPr>
                  </w:pPr>
                  <w:r>
                    <w:rPr>
                      <w:rFonts w:hint="eastAsia"/>
                      <w:color w:val="auto"/>
                      <w:szCs w:val="21"/>
                      <w:lang w:val="en-US" w:eastAsia="zh-CN"/>
                      <w:highlight w:val="none"/>
                    </w:rPr>
                    <w:t>0.</w:t>
                  </w:r>
                  <w:r>
                    <w:rPr>
                      <w:color w:val="auto"/>
                      <w:szCs w:val="21"/>
                      <w:lang w:eastAsia="zh-CN"/>
                      <w:highlight w:val="none"/>
                    </w:rPr>
                    <w:t>35</w:t>
                  </w:r>
                </w:p>
              </w:tc>
              <w:tc>
                <w:tcPr>
                  <w:tcW w:w="1204" w:type="pct"/>
                  <w:vAlign w:val="center"/>
                </w:tcPr>
                <w:p>
                  <w:pPr>
                    <w:spacing w:line="320" w:lineRule="exact"/>
                    <w:jc w:val="center"/>
                    <w:rPr>
                      <w:rFonts w:eastAsia="宋体"/>
                      <w:color w:val="auto"/>
                      <w:szCs w:val="21"/>
                      <w:lang w:val="en-US" w:eastAsia="zh-CN"/>
                      <w:highlight w:val="none"/>
                    </w:rPr>
                  </w:pPr>
                  <w:r>
                    <w:rPr>
                      <w:rFonts w:hint="eastAsia"/>
                      <w:color w:val="auto"/>
                      <w:szCs w:val="21"/>
                      <w:lang w:val="en-US" w:eastAsia="zh-CN"/>
                      <w:highlight w:val="none"/>
                    </w:rPr>
                    <w:t>--</w:t>
                  </w:r>
                </w:p>
              </w:tc>
            </w:tr>
          </w:tbl>
          <w:p>
            <w:pPr>
              <w:pStyle w:val="65"/>
              <w:jc w:val="both"/>
              <w:rPr>
                <w:color w:val="auto"/>
                <w:highlight w:val="none"/>
              </w:rPr>
            </w:pPr>
            <w:r>
              <w:rPr>
                <w:color w:val="auto"/>
                <w:sz w:val="24"/>
              </w:rPr>
              <mc:AlternateContent>
                <mc:Choice Requires="wps">
                  <w:drawing>
                    <wp:anchor distT="0" distB="0" distL="114300" distR="114300" simplePos="0" relativeHeight="202" behindDoc="0" locked="0" layoutInCell="1" hidden="0" allowOverlap="1">
                      <wp:simplePos x="0" y="0"/>
                      <wp:positionH relativeFrom="column">
                        <wp:posOffset>758190</wp:posOffset>
                      </wp:positionH>
                      <wp:positionV relativeFrom="paragraph">
                        <wp:posOffset>90170</wp:posOffset>
                      </wp:positionV>
                      <wp:extent cx="4567551" cy="2602864"/>
                      <wp:wrapNone/>
                      <wp:docPr id="97" name="组合 97"/>
                      <wp:cNvGraphicFramePr>
                        <a:graphicFrameLocks noChangeAspect="0"/>
                      </wp:cNvGraphicFramePr>
                      <a:graphic>
                        <a:graphicData uri="http://schemas.microsoft.com/office/word/2010/wordprocessingGroup">
                          <wpg:wgp>
                            <wpg:cNvPr id="3" name="组合 3"/>
                            <wpg:cNvGrpSpPr/>
                            <wpg:grpSpPr>
                              <a:xfrm rot="0">
                                <a:off x="0" y="0"/>
                                <a:ext cx="4567551" cy="2602864"/>
                                <a:chOff x="0" y="0"/>
                                <a:chExt cx="4567551" cy="2602864"/>
                              </a:xfrm>
                              <a:prstGeom prst="rect"/>
                              <a:solidFill>
                                <a:srgbClr val="FFFFFF"/>
                              </a:solidFill>
                              <a:ln w="9525" cmpd="sng" cap="flat">
                                <a:solidFill>
                                  <a:srgbClr val="000000"/>
                                </a:solidFill>
                                <a:prstDash val="solid"/>
                                <a:miter/>
                              </a:ln>
                            </wpg:grpSpPr>
                            <wps:wsp>
                              <wps:cNvPr id="4" name="直接连接符 108 4 4 4 4 4"/>
                              <wps:cNvSpPr/>
                              <wps:spPr>
                                <a:xfrm rot="0">
                                  <a:off x="2653664" y="527049"/>
                                  <a:ext cx="421639" cy="1904"/>
                                </a:xfrm>
                                <a:prstGeom prst="line"/>
                                <a:noFill/>
                                <a:ln w="9525" cmpd="sng" cap="flat">
                                  <a:solidFill>
                                    <a:srgbClr val="000000"/>
                                  </a:solidFill>
                                  <a:prstDash val="solid"/>
                                  <a:round/>
                                </a:ln>
                              </wps:spPr>
                              <wps:bodyPr vert="horz" wrap="square" lIns="91440" tIns="45720" rIns="91440" bIns="45720" anchor="t" anchorCtr="0" upright="0">
                                <a:noAutofit/>
                              </wps:bodyPr>
                            </wps:wsp>
                            <wps:wsp>
                              <wps:cNvPr id="5" name="文本框 91 5 5 5 5 5"/>
                              <wps:cNvSpPr/>
                              <wps:spPr>
                                <a:xfrm rot="0">
                                  <a:off x="3281043" y="1406522"/>
                                  <a:ext cx="1102357" cy="256540"/>
                                </a:xfrm>
                                <a:prstGeom prst="rect"/>
                                <a:noFill/>
                                <a:ln cmpd="sng" cap="flat">
                                  <a:noFill/>
                                  <a:prstDash val="solid"/>
                                  <a:round/>
                                </a:ln>
                              </wps:spPr>
                              <wps:txbx id="6">
                                <w:txbxContent>
                                  <w:p>
                                    <w:pPr>
                                      <w:ind w:firstLineChars="50" w:firstLine="105"/>
                                      <w:rPr>
                                        <w:rFonts w:eastAsia="宋体" w:hint="eastAsia"/>
                                        <w:lang w:eastAsia="zh-CN"/>
                                      </w:rPr>
                                    </w:pPr>
                                    <w:r>
                                      <w:rPr>
                                        <w:rFonts w:hint="eastAsia"/>
                                        <w:lang w:eastAsia="zh-CN"/>
                                      </w:rPr>
                                      <w:t>化粪池（依托）</w:t>
                                    </w:r>
                                  </w:p>
                                </w:txbxContent>
                              </wps:txbx>
                              <wps:bodyPr vert="horz" wrap="square" lIns="0" tIns="45720" rIns="0" bIns="45720" anchor="t" anchorCtr="0" upright="1">
                                <a:noAutofit/>
                              </wps:bodyPr>
                            </wps:wsp>
                            <wps:wsp>
                              <wps:cNvPr id="7" name="直线 92 7 7 7 7 7"/>
                              <wps:cNvSpPr/>
                              <wps:spPr>
                                <a:xfrm rot="0">
                                  <a:off x="0" y="1042035"/>
                                  <a:ext cx="1033144" cy="0"/>
                                </a:xfrm>
                                <a:prstGeom prst="line"/>
                                <a:noFill/>
                                <a:ln w="9525" cmpd="sng" cap="flat">
                                  <a:solidFill>
                                    <a:srgbClr val="000000"/>
                                  </a:solidFill>
                                  <a:prstDash val="solid"/>
                                  <a:round/>
                                  <a:tailEnd type="triangle" w="sm" len="lg"/>
                                </a:ln>
                              </wps:spPr>
                              <wps:bodyPr vert="horz" wrap="square" lIns="91440" tIns="45720" rIns="91440" bIns="45720" anchor="t" anchorCtr="0" upright="1">
                                <a:noAutofit/>
                              </wps:bodyPr>
                            </wps:wsp>
                            <wps:wsp>
                              <wps:cNvPr id="8" name="文本框 93 8 8 8 8 8"/>
                              <wps:cNvSpPr/>
                              <wps:spPr>
                                <a:xfrm rot="0">
                                  <a:off x="106679" y="798829"/>
                                  <a:ext cx="902968" cy="279400"/>
                                </a:xfrm>
                                <a:prstGeom prst="rect"/>
                                <a:noFill/>
                                <a:ln cmpd="sng" cap="flat">
                                  <a:noFill/>
                                  <a:prstDash val="solid"/>
                                  <a:round/>
                                </a:ln>
                              </wps:spPr>
                              <wps:txbx id="9">
                                <w:txbxContent>
                                  <w:p>
                                    <w:pPr>
                                      <w:rPr>
                                        <w:rFonts w:eastAsia="宋体"/>
                                        <w:lang w:eastAsia="zh-CN"/>
                                      </w:rPr>
                                    </w:pPr>
                                    <w:r>
                                      <w:rPr>
                                        <w:rFonts w:hint="eastAsia"/>
                                      </w:rPr>
                                      <w:t>新鲜水</w:t>
                                    </w:r>
                                    <w:r>
                                      <w:rPr>
                                        <w:rFonts w:hint="eastAsia"/>
                                        <w:bCs/>
                                        <w:spacing w:val="8"/>
                                        <w:szCs w:val="21"/>
                                        <w:lang w:val="en-US" w:eastAsia="zh-CN"/>
                                      </w:rPr>
                                      <w:t>0.</w:t>
                                    </w:r>
                                    <w:r>
                                      <w:rPr>
                                        <w:bCs/>
                                        <w:spacing w:val="8"/>
                                        <w:szCs w:val="21"/>
                                        <w:lang w:eastAsia="zh-CN"/>
                                      </w:rPr>
                                      <w:t>48</w:t>
                                    </w:r>
                                  </w:p>
                                </w:txbxContent>
                              </wps:txbx>
                              <wps:bodyPr vert="horz" wrap="square" lIns="0" tIns="45720" rIns="0" bIns="45720" anchor="t" anchorCtr="0" upright="1">
                                <a:noAutofit/>
                              </wps:bodyPr>
                            </wps:wsp>
                            <wps:wsp>
                              <wps:cNvPr id="10" name="文本框 96 10 10 10 10 10"/>
                              <wps:cNvSpPr/>
                              <wps:spPr>
                                <a:xfrm rot="0">
                                  <a:off x="2527299" y="749932"/>
                                  <a:ext cx="506728" cy="279400"/>
                                </a:xfrm>
                                <a:prstGeom prst="rect"/>
                                <a:noFill/>
                                <a:ln cmpd="sng" cap="flat">
                                  <a:noFill/>
                                  <a:prstDash val="solid"/>
                                  <a:round/>
                                </a:ln>
                              </wps:spPr>
                              <wps:txbx id="11">
                                <w:txbxContent>
                                  <w:p>
                                    <w:pPr>
                                      <w:rPr>
                                        <w:rFonts w:eastAsia="宋体"/>
                                        <w:lang w:val="en-US" w:eastAsia="zh-CN"/>
                                      </w:rPr>
                                    </w:pPr>
                                    <w:r>
                                      <w:rPr>
                                        <w:rFonts w:hint="eastAsia"/>
                                      </w:rPr>
                                      <w:t>0.</w:t>
                                    </w:r>
                                    <w:r>
                                      <w:rPr>
                                        <w:rFonts w:hint="eastAsia"/>
                                        <w:lang w:val="en-US" w:eastAsia="zh-CN"/>
                                      </w:rPr>
                                      <w:t>7</w:t>
                                    </w:r>
                                  </w:p>
                                </w:txbxContent>
                              </wps:txbx>
                              <wps:bodyPr vert="horz" wrap="square" lIns="91440" tIns="45720" rIns="91440" bIns="45720" anchor="t" anchorCtr="0" upright="1">
                                <a:noAutofit/>
                              </wps:bodyPr>
                            </wps:wsp>
                            <wps:wsp>
                              <wps:cNvPr id="12" name="自选图形 97 12 12 12 12 12"/>
                              <wps:cNvSpPr/>
                              <wps:spPr>
                                <a:xfrm flipH="1" flipV="1" rot="0">
                                  <a:off x="2193923" y="664208"/>
                                  <a:ext cx="5712" cy="307337"/>
                                </a:xfrm>
                                <a:prstGeom prst="straightConnector1"/>
                                <a:noFill/>
                                <a:ln w="9525" cmpd="sng" cap="flat">
                                  <a:solidFill>
                                    <a:srgbClr val="000000"/>
                                  </a:solidFill>
                                  <a:prstDash val="solid"/>
                                  <a:round/>
                                  <a:tailEnd type="triangle" w="sm" len="lg"/>
                                </a:ln>
                              </wps:spPr>
                              <wps:bodyPr vert="horz" wrap="square" lIns="91440" tIns="45720" rIns="91440" bIns="45720" anchor="t" anchorCtr="0" upright="0">
                                <a:noAutofit/>
                              </wps:bodyPr>
                            </wps:wsp>
                            <wps:wsp>
                              <wps:cNvPr id="13" name="自选图形 98 13 13 13 13 13"/>
                              <wps:cNvSpPr/>
                              <wps:spPr>
                                <a:xfrm flipH="1" rot="21600000">
                                  <a:off x="1033144" y="521332"/>
                                  <a:ext cx="1902" cy="1042667"/>
                                </a:xfrm>
                                <a:prstGeom prst="straightConnector1"/>
                                <a:noFill/>
                                <a:ln w="9525" cmpd="sng" cap="flat">
                                  <a:solidFill>
                                    <a:srgbClr val="000000"/>
                                  </a:solidFill>
                                  <a:prstDash val="solid"/>
                                  <a:round/>
                                </a:ln>
                              </wps:spPr>
                              <wps:bodyPr vert="horz" wrap="square" lIns="91440" tIns="45720" rIns="91440" bIns="45720" anchor="t" anchorCtr="0" upright="0">
                                <a:noAutofit/>
                              </wps:bodyPr>
                            </wps:wsp>
                            <wps:wsp>
                              <wps:cNvPr id="14" name="文本框 99 14 14 14 14 14"/>
                              <wps:cNvSpPr/>
                              <wps:spPr>
                                <a:xfrm rot="0">
                                  <a:off x="2584449" y="0"/>
                                  <a:ext cx="675004" cy="280034"/>
                                </a:xfrm>
                                <a:prstGeom prst="rect"/>
                                <a:noFill/>
                                <a:ln cmpd="sng" cap="flat">
                                  <a:noFill/>
                                  <a:prstDash val="solid"/>
                                  <a:round/>
                                </a:ln>
                              </wps:spPr>
                              <wps:txbx id="15">
                                <w:txbxContent>
                                  <w:p>
                                    <w:pPr>
                                      <w:rPr>
                                        <w:rFonts w:eastAsia="宋体"/>
                                        <w:lang w:val="en-US" w:eastAsia="zh-CN"/>
                                      </w:rPr>
                                    </w:pPr>
                                    <w:r>
                                      <w:rPr>
                                        <w:rFonts w:hint="eastAsia"/>
                                      </w:rPr>
                                      <w:t>-</w:t>
                                    </w:r>
                                    <w:r>
                                      <w:rPr>
                                        <w:rFonts w:hint="eastAsia"/>
                                        <w:lang w:val="en-US" w:eastAsia="zh-CN"/>
                                      </w:rPr>
                                      <w:t>0.04</w:t>
                                    </w:r>
                                  </w:p>
                                </w:txbxContent>
                              </wps:txbx>
                              <wps:bodyPr vert="horz" wrap="square" lIns="0" tIns="45720" rIns="0" bIns="45720" anchor="t" anchorCtr="0" upright="1">
                                <a:noAutofit/>
                              </wps:bodyPr>
                            </wps:wsp>
                            <wps:wsp>
                              <wps:cNvPr id="16" name="文本框 100 16 16 16 16 16"/>
                              <wps:cNvSpPr/>
                              <wps:spPr>
                                <a:xfrm rot="0">
                                  <a:off x="1129030" y="282574"/>
                                  <a:ext cx="558164" cy="279400"/>
                                </a:xfrm>
                                <a:prstGeom prst="rect"/>
                                <a:noFill/>
                                <a:ln cmpd="sng" cap="flat">
                                  <a:noFill/>
                                  <a:prstDash val="solid"/>
                                  <a:round/>
                                </a:ln>
                              </wps:spPr>
                              <wps:txbx id="17">
                                <w:txbxContent>
                                  <w:p>
                                    <w:pPr>
                                      <w:ind w:firstLineChars="100" w:firstLine="210"/>
                                      <w:rPr>
                                        <w:rFonts w:eastAsia="宋体"/>
                                        <w:szCs w:val="21"/>
                                        <w:lang w:val="en-US" w:eastAsia="zh-CN"/>
                                      </w:rPr>
                                    </w:pPr>
                                    <w:r>
                                      <w:rPr>
                                        <w:rFonts w:hint="eastAsia"/>
                                        <w:szCs w:val="21"/>
                                        <w:lang w:val="en-US" w:eastAsia="zh-CN"/>
                                      </w:rPr>
                                      <w:t>0.04</w:t>
                                    </w:r>
                                  </w:p>
                                </w:txbxContent>
                              </wps:txbx>
                              <wps:bodyPr vert="horz" wrap="square" lIns="0" tIns="45720" rIns="0" bIns="45720" anchor="t" anchorCtr="0" upright="1">
                                <a:noAutofit/>
                              </wps:bodyPr>
                            </wps:wsp>
                            <wps:wsp>
                              <wps:cNvPr id="18" name="文本框 101 18 18 18 18 18"/>
                              <wps:cNvSpPr/>
                              <wps:spPr>
                                <a:xfrm rot="0">
                                  <a:off x="1712595" y="386713"/>
                                  <a:ext cx="941068" cy="280035"/>
                                </a:xfrm>
                                <a:prstGeom prst="rect"/>
                                <a:solidFill>
                                  <a:srgbClr val="FFFFFF"/>
                                </a:solidFill>
                                <a:ln w="9525" cmpd="sng" cap="flat">
                                  <a:solidFill>
                                    <a:srgbClr val="000000"/>
                                  </a:solidFill>
                                  <a:prstDash val="solid"/>
                                  <a:miter/>
                                </a:ln>
                              </wps:spPr>
                              <wps:txbx id="19">
                                <w:txbxContent>
                                  <w:p>
                                    <w:pPr>
                                      <w:jc w:val="center"/>
                                      <w:rPr>
                                        <w:rFonts w:eastAsia="宋体" w:hint="eastAsia"/>
                                        <w:lang w:eastAsia="zh-CN"/>
                                      </w:rPr>
                                    </w:pPr>
                                    <w:r>
                                      <w:rPr>
                                        <w:rFonts w:hint="eastAsia"/>
                                        <w:lang w:eastAsia="zh-CN"/>
                                      </w:rPr>
                                      <w:t>碱液喷淋装置</w:t>
                                    </w:r>
                                  </w:p>
                                </w:txbxContent>
                              </wps:txbx>
                              <wps:bodyPr vert="horz" wrap="square" lIns="0" tIns="45720" rIns="0" bIns="45720" anchor="t" anchorCtr="0" upright="1">
                                <a:noAutofit/>
                              </wps:bodyPr>
                            </wps:wsp>
                            <wps:wsp>
                              <wps:cNvPr id="20" name="直线 102 20 20 20 20 20"/>
                              <wps:cNvSpPr/>
                              <wps:spPr>
                                <a:xfrm flipV="1" rot="21600000">
                                  <a:off x="2097404" y="187324"/>
                                  <a:ext cx="444499" cy="188590"/>
                                </a:xfrm>
                                <a:prstGeom prst="line"/>
                                <a:noFill/>
                                <a:ln w="9525" cmpd="sng" cap="flat">
                                  <a:solidFill>
                                    <a:srgbClr val="000000"/>
                                  </a:solidFill>
                                  <a:prstDash val="dash"/>
                                  <a:round/>
                                  <a:tailEnd type="triangle" w="sm" len="lg"/>
                                </a:ln>
                              </wps:spPr>
                              <wps:bodyPr vert="horz" wrap="square" lIns="91440" tIns="45720" rIns="91440" bIns="45720" anchor="t" anchorCtr="0" upright="1">
                                <a:noAutofit/>
                              </wps:bodyPr>
                            </wps:wsp>
                            <wps:wsp>
                              <wps:cNvPr id="21" name="文本框 104 21 21 21 21 21"/>
                              <wps:cNvSpPr/>
                              <wps:spPr>
                                <a:xfrm rot="0">
                                  <a:off x="1725293" y="1415411"/>
                                  <a:ext cx="887093" cy="279398"/>
                                </a:xfrm>
                                <a:prstGeom prst="rect"/>
                                <a:solidFill>
                                  <a:srgbClr val="FFFFFF"/>
                                </a:solidFill>
                                <a:ln w="9525" cmpd="sng" cap="flat">
                                  <a:solidFill>
                                    <a:srgbClr val="000000"/>
                                  </a:solidFill>
                                  <a:prstDash val="solid"/>
                                  <a:miter/>
                                </a:ln>
                              </wps:spPr>
                              <wps:txbx id="22">
                                <w:txbxContent>
                                  <w:p>
                                    <w:pPr>
                                      <w:jc w:val="center"/>
                                      <w:rPr>
                                        <w:rFonts w:eastAsia="宋体" w:hint="eastAsia"/>
                                        <w:lang w:eastAsia="zh-CN"/>
                                      </w:rPr>
                                    </w:pPr>
                                    <w:r>
                                      <w:rPr>
                                        <w:rFonts w:hint="eastAsia"/>
                                        <w:lang w:eastAsia="zh-CN"/>
                                      </w:rPr>
                                      <w:t>职工生活</w:t>
                                    </w:r>
                                  </w:p>
                                </w:txbxContent>
                              </wps:txbx>
                              <wps:bodyPr vert="horz" wrap="square" lIns="0" tIns="45720" rIns="0" bIns="45720" anchor="t" anchorCtr="0" upright="1">
                                <a:noAutofit/>
                              </wps:bodyPr>
                            </wps:wsp>
                            <wps:wsp>
                              <wps:cNvPr id="23" name="文本框 105 23 23 23 23 23"/>
                              <wps:cNvSpPr/>
                              <wps:spPr>
                                <a:xfrm rot="0">
                                  <a:off x="1271903" y="1336675"/>
                                  <a:ext cx="450847" cy="279398"/>
                                </a:xfrm>
                                <a:prstGeom prst="rect"/>
                                <a:noFill/>
                                <a:ln cmpd="sng" cap="flat">
                                  <a:noFill/>
                                  <a:prstDash val="solid"/>
                                  <a:round/>
                                </a:ln>
                              </wps:spPr>
                              <wps:txbx id="24">
                                <w:txbxContent>
                                  <w:p>
                                    <w:pPr>
                                      <w:rPr>
                                        <w:rFonts w:eastAsia="宋体"/>
                                        <w:lang w:eastAsia="zh-CN"/>
                                      </w:rPr>
                                    </w:pPr>
                                    <w:r>
                                      <w:rPr>
                                        <w:rFonts w:hint="eastAsia"/>
                                        <w:bCs/>
                                        <w:spacing w:val="8"/>
                                        <w:szCs w:val="21"/>
                                        <w:lang w:val="en-US" w:eastAsia="zh-CN"/>
                                      </w:rPr>
                                      <w:t>0.</w:t>
                                    </w:r>
                                    <w:r>
                                      <w:rPr>
                                        <w:bCs/>
                                        <w:spacing w:val="8"/>
                                        <w:szCs w:val="21"/>
                                        <w:lang w:eastAsia="zh-CN"/>
                                      </w:rPr>
                                      <w:t>44</w:t>
                                    </w:r>
                                  </w:p>
                                </w:txbxContent>
                              </wps:txbx>
                              <wps:bodyPr vert="horz" wrap="square" lIns="0" tIns="45720" rIns="0" bIns="45720" anchor="t" anchorCtr="0" upright="1">
                                <a:noAutofit/>
                              </wps:bodyPr>
                            </wps:wsp>
                            <wps:wsp>
                              <wps:cNvPr id="25" name="直线 106 25 25 25 25 25"/>
                              <wps:cNvSpPr/>
                              <wps:spPr>
                                <a:xfrm flipV="1" rot="21600000">
                                  <a:off x="2110102" y="1215386"/>
                                  <a:ext cx="444499" cy="189226"/>
                                </a:xfrm>
                                <a:prstGeom prst="line"/>
                                <a:noFill/>
                                <a:ln w="9525" cmpd="sng" cap="flat">
                                  <a:solidFill>
                                    <a:srgbClr val="000000"/>
                                  </a:solidFill>
                                  <a:prstDash val="dash"/>
                                  <a:round/>
                                  <a:tailEnd type="triangle" w="sm" len="lg"/>
                                </a:ln>
                              </wps:spPr>
                              <wps:bodyPr vert="horz" wrap="square" lIns="91440" tIns="45720" rIns="91440" bIns="45720" anchor="t" anchorCtr="0" upright="1">
                                <a:noAutofit/>
                              </wps:bodyPr>
                            </wps:wsp>
                            <wps:wsp>
                              <wps:cNvPr id="26" name="文本框 107 26 26 26 26 26"/>
                              <wps:cNvSpPr/>
                              <wps:spPr>
                                <a:xfrm rot="0">
                                  <a:off x="2594610" y="1024885"/>
                                  <a:ext cx="448944" cy="280035"/>
                                </a:xfrm>
                                <a:prstGeom prst="rect"/>
                                <a:noFill/>
                                <a:ln cmpd="sng" cap="flat">
                                  <a:noFill/>
                                  <a:prstDash val="solid"/>
                                  <a:round/>
                                </a:ln>
                              </wps:spPr>
                              <wps:txbx id="27">
                                <w:txbxContent>
                                  <w:p>
                                    <w:pPr>
                                      <w:rPr>
                                        <w:rFonts w:eastAsia="宋体"/>
                                        <w:lang w:eastAsia="zh-CN"/>
                                      </w:rPr>
                                    </w:pPr>
                                    <w:r>
                                      <w:rPr>
                                        <w:rFonts w:hint="eastAsia"/>
                                      </w:rPr>
                                      <w:t>-</w:t>
                                    </w:r>
                                    <w:r>
                                      <w:rPr>
                                        <w:rFonts w:hint="eastAsia"/>
                                        <w:bCs/>
                                        <w:spacing w:val="8"/>
                                        <w:szCs w:val="21"/>
                                        <w:lang w:val="en-US" w:eastAsia="zh-CN"/>
                                      </w:rPr>
                                      <w:t>0.</w:t>
                                    </w:r>
                                    <w:r>
                                      <w:rPr>
                                        <w:bCs/>
                                        <w:spacing w:val="8"/>
                                        <w:szCs w:val="21"/>
                                        <w:lang w:eastAsia="zh-CN"/>
                                      </w:rPr>
                                      <w:t>09</w:t>
                                    </w:r>
                                  </w:p>
                                </w:txbxContent>
                              </wps:txbx>
                              <wps:bodyPr vert="horz" wrap="square" lIns="0" tIns="45720" rIns="0" bIns="45720" anchor="t" anchorCtr="0" upright="1">
                                <a:noAutofit/>
                              </wps:bodyPr>
                            </wps:wsp>
                            <wps:wsp>
                              <wps:cNvPr id="28" name="直线 108 28 28 28 28 28"/>
                              <wps:cNvSpPr/>
                              <wps:spPr>
                                <a:xfrm rot="0">
                                  <a:off x="1046479" y="1564003"/>
                                  <a:ext cx="676273" cy="0"/>
                                </a:xfrm>
                                <a:prstGeom prst="line"/>
                                <a:noFill/>
                                <a:ln w="9525" cmpd="sng" cap="flat">
                                  <a:solidFill>
                                    <a:srgbClr val="000000"/>
                                  </a:solidFill>
                                  <a:prstDash val="solid"/>
                                  <a:round/>
                                  <a:tailEnd type="triangle" w="sm" len="lg"/>
                                </a:ln>
                              </wps:spPr>
                              <wps:bodyPr vert="horz" wrap="square" lIns="91440" tIns="45720" rIns="91440" bIns="45720" anchor="t" anchorCtr="0" upright="1">
                                <a:noAutofit/>
                              </wps:bodyPr>
                            </wps:wsp>
                            <wps:wsp>
                              <wps:cNvPr id="29" name="直接连接符 109 29 29 29 29 29"/>
                              <wps:cNvSpPr/>
                              <wps:spPr>
                                <a:xfrm rot="0">
                                  <a:off x="2195191" y="972816"/>
                                  <a:ext cx="880109" cy="634"/>
                                </a:xfrm>
                                <a:prstGeom prst="line"/>
                                <a:noFill/>
                                <a:ln w="9525" cmpd="sng" cap="flat">
                                  <a:solidFill>
                                    <a:srgbClr val="000000"/>
                                  </a:solidFill>
                                  <a:prstDash val="solid"/>
                                  <a:round/>
                                </a:ln>
                              </wps:spPr>
                              <wps:bodyPr vert="horz" wrap="square" lIns="91440" tIns="45720" rIns="91440" bIns="45720" anchor="t" anchorCtr="0" upright="0">
                                <a:noAutofit/>
                              </wps:bodyPr>
                            </wps:wsp>
                            <wps:wsp>
                              <wps:cNvPr id="30" name="直接连接符 110 30 30 30 30 30"/>
                              <wps:cNvSpPr/>
                              <wps:spPr>
                                <a:xfrm rot="0">
                                  <a:off x="3076573" y="528950"/>
                                  <a:ext cx="6347" cy="452755"/>
                                </a:xfrm>
                                <a:prstGeom prst="line"/>
                                <a:noFill/>
                                <a:ln w="9525" cmpd="sng" cap="flat">
                                  <a:solidFill>
                                    <a:srgbClr val="000000"/>
                                  </a:solidFill>
                                  <a:prstDash val="solid"/>
                                  <a:round/>
                                </a:ln>
                              </wps:spPr>
                              <wps:bodyPr vert="horz" wrap="square" lIns="91440" tIns="45720" rIns="91440" bIns="45720" anchor="t" anchorCtr="0" upright="0">
                                <a:noAutofit/>
                              </wps:bodyPr>
                            </wps:wsp>
                            <wps:wsp>
                              <wps:cNvPr id="31" name="直线 108 31 31 31 31 31"/>
                              <wps:cNvSpPr/>
                              <wps:spPr>
                                <a:xfrm flipV="1" rot="21600000">
                                  <a:off x="2611755" y="1553206"/>
                                  <a:ext cx="654049" cy="4441"/>
                                </a:xfrm>
                                <a:prstGeom prst="line"/>
                                <a:noFill/>
                                <a:ln w="9525" cmpd="sng" cap="flat">
                                  <a:solidFill>
                                    <a:srgbClr val="000000"/>
                                  </a:solidFill>
                                  <a:prstDash val="solid"/>
                                  <a:round/>
                                  <a:tailEnd type="triangle" w="sm" len="lg"/>
                                </a:ln>
                              </wps:spPr>
                              <wps:bodyPr vert="horz" wrap="square" lIns="91440" tIns="45720" rIns="91440" bIns="45720" anchor="t" anchorCtr="0" upright="1">
                                <a:noAutofit/>
                              </wps:bodyPr>
                            </wps:wsp>
                            <wps:wsp>
                              <wps:cNvPr id="32" name="直线 108 32 32 32 32 32"/>
                              <wps:cNvSpPr/>
                              <wps:spPr>
                                <a:xfrm rot="0">
                                  <a:off x="1048383" y="525777"/>
                                  <a:ext cx="676273" cy="0"/>
                                </a:xfrm>
                                <a:prstGeom prst="line"/>
                                <a:noFill/>
                                <a:ln w="9525" cmpd="sng" cap="flat">
                                  <a:solidFill>
                                    <a:srgbClr val="000000"/>
                                  </a:solidFill>
                                  <a:prstDash val="solid"/>
                                  <a:round/>
                                  <a:tailEnd type="triangle" w="sm" len="lg"/>
                                </a:ln>
                              </wps:spPr>
                              <wps:bodyPr vert="horz" wrap="square" lIns="91440" tIns="45720" rIns="91440" bIns="45720" anchor="t" anchorCtr="0" upright="1">
                                <a:noAutofit/>
                              </wps:bodyPr>
                            </wps:wsp>
                            <wps:wsp>
                              <wps:cNvPr id="33" name="直线 108 33 33 33 33 33"/>
                              <wps:cNvSpPr/>
                              <wps:spPr>
                                <a:xfrm flipH="1" rot="21600000">
                                  <a:off x="3661407" y="1654173"/>
                                  <a:ext cx="7616" cy="343533"/>
                                </a:xfrm>
                                <a:prstGeom prst="line"/>
                                <a:noFill/>
                                <a:ln w="9525" cmpd="sng" cap="flat">
                                  <a:solidFill>
                                    <a:srgbClr val="000000"/>
                                  </a:solidFill>
                                  <a:prstDash val="solid"/>
                                  <a:round/>
                                  <a:tailEnd type="triangle" w="sm" len="lg"/>
                                </a:ln>
                              </wps:spPr>
                              <wps:bodyPr vert="horz" wrap="square" lIns="91440" tIns="45720" rIns="91440" bIns="45720" anchor="t" anchorCtr="0" upright="1">
                                <a:noAutofit/>
                              </wps:bodyPr>
                            </wps:wsp>
                            <wps:wsp>
                              <wps:cNvPr id="34" name="文本框 91 34 34 34 34 34"/>
                              <wps:cNvSpPr/>
                              <wps:spPr>
                                <a:xfrm rot="0">
                                  <a:off x="2893692" y="2012950"/>
                                  <a:ext cx="1673859" cy="589914"/>
                                </a:xfrm>
                                <a:prstGeom prst="rect"/>
                                <a:noFill/>
                                <a:ln cmpd="sng" cap="flat">
                                  <a:noFill/>
                                  <a:prstDash val="solid"/>
                                  <a:round/>
                                </a:ln>
                              </wps:spPr>
                              <wps:txbx id="35">
                                <w:txbxContent>
                                  <w:p>
                                    <w:pPr>
                                      <w:jc w:val="center"/>
                                      <w:rPr>
                                        <w:rFonts w:hint="eastAsia"/>
                                        <w:lang w:eastAsia="zh-CN"/>
                                      </w:rPr>
                                    </w:pPr>
                                    <w:r>
                                      <w:rPr>
                                        <w:rFonts w:cs="Times New Roman" w:hint="eastAsia"/>
                                        <w:color w:val="auto"/>
                                        <w:kern w:val="2"/>
                                        <w:sz w:val="21"/>
                                        <w:szCs w:val="21"/>
                                        <w:lang w:val="en-US" w:eastAsia="zh-CN" w:bidi="ar-SA"/>
                                        <w:highlight w:val="none"/>
                                      </w:rPr>
                                      <w:t>定期清掏、不外排</w:t>
                                    </w:r>
                                  </w:p>
                                </w:txbxContent>
                              </wps:txbx>
                              <wps:bodyPr vert="horz" wrap="square" lIns="0" tIns="45720" rIns="0" bIns="45720" anchor="t" anchorCtr="0" upright="1">
                                <a:noAutofit/>
                              </wps:bodyPr>
                            </wps:wsp>
                            <wps:wsp>
                              <wps:cNvPr id="36" name="文本框 99 36 36 36 36 36"/>
                              <wps:cNvSpPr/>
                              <wps:spPr>
                                <a:xfrm rot="0">
                                  <a:off x="2757167" y="1326514"/>
                                  <a:ext cx="675004" cy="280034"/>
                                </a:xfrm>
                                <a:prstGeom prst="rect"/>
                                <a:noFill/>
                                <a:ln cmpd="sng" cap="flat">
                                  <a:noFill/>
                                  <a:prstDash val="solid"/>
                                  <a:round/>
                                </a:ln>
                              </wps:spPr>
                              <wps:txbx id="37">
                                <w:txbxContent>
                                  <w:p>
                                    <w:pPr>
                                      <w:rPr>
                                        <w:rFonts w:eastAsia="宋体"/>
                                        <w:lang w:eastAsia="zh-CN"/>
                                      </w:rPr>
                                    </w:pPr>
                                    <w:r>
                                      <w:rPr>
                                        <w:rFonts w:hint="eastAsia"/>
                                        <w:lang w:val="en-US" w:eastAsia="zh-CN"/>
                                      </w:rPr>
                                      <w:t>0.</w:t>
                                    </w:r>
                                    <w:r>
                                      <w:rPr>
                                        <w:lang w:eastAsia="zh-CN"/>
                                      </w:rPr>
                                      <w:t>35</w:t>
                                    </w:r>
                                  </w:p>
                                </w:txbxContent>
                              </wps:txbx>
                              <wps:bodyPr vert="horz" wrap="square" lIns="0" tIns="45720" rIns="0" bIns="45720" anchor="t" anchorCtr="0" upright="1">
                                <a:noAutofit/>
                              </wps:bodyPr>
                            </wps:wsp>
                            <wps:bodyPr vert="horz" wrap="square" lIns="91440" tIns="45720" rIns="91440" bIns="45720" anchor="t" anchorCtr="0" upright="1">
                              <a:noAutofit/>
                            </wps:bodyPr>
                          </wpg:wgp>
                        </a:graphicData>
                      </a:graphic>
                    </wp:anchor>
                  </w:drawing>
                </mc:Choice>
                <mc:Fallback>
                  <w:pict>
                    <v:group type="#_x0000_t1" id="组合 97" o:spid="_x0000_s38" coordorigin="3449,8227" coordsize="7192,4098" style="position:absolute;margin-left:59.700005pt;margin-top:7.1000004pt;width:359.6497pt;height:204.94992pt;z-index:202;mso-position-horizontal:absolute;mso-position-vertical:absolute;">
                      <v:line type="#_x0000_t20" id="直接连接符 108 4 4 4 4 4" o:spid="_x0000_s39" style="position:absolute;visibility:visible;" from="7628.3936,9057.499" to="8292.392,9060.497" filled="f" stroked="t">
                        <v:stroke color="#000000"/>
                      </v:line>
                      <v:rect type="#_x0000_t1" id="_s40" o:spid="_x0000_s40" style="position:absolute;left:8616;top:10442;width:1735;height:404;mso-wrap-style:square;" filled="f" stroked="f" strokeweight="-1.0pt">
                        <v:textbox id="848" inset="0mm,1.27mm,0mm,1.27mm" o:insetmode="custom" style="layout-flow:horizontal;v-text-anchor:top;">
                          <w:txbxContent>
                            <w:p>
                              <w:pPr>
                                <w:ind w:firstLineChars="50" w:firstLine="105"/>
                                <w:rPr>
                                  <w:rFonts w:eastAsia="宋体" w:hint="eastAsia"/>
                                  <w:lang w:eastAsia="zh-CN"/>
                                </w:rPr>
                              </w:pPr>
                              <w:r>
                                <w:rPr>
                                  <w:rFonts w:hint="eastAsia"/>
                                  <w:lang w:eastAsia="zh-CN"/>
                                </w:rPr>
                                <w:t>化粪池（依托）</w:t>
                              </w:r>
                            </w:p>
                          </w:txbxContent>
                        </v:textbox>
                        <v:stroke/>
                      </v:rect>
                      <v:line type="#_x0000_t20" id="直线 92 7 7 7 7 7" o:spid="_x0000_s41" style="position:absolute;visibility:visible;" from="3449.3945,9868.5" to="5076.3926,9868.5" filled="f" stroked="t">
                        <v:stroke color="#000000" endarrow="block" endarrowwidth="narrow" endarrowlength="long"/>
                      </v:line>
                      <v:rect type="#_x0000_t1" id="_s42" o:spid="_x0000_s42" style="position:absolute;left:3617;top:9485;width:1421;height:440;mso-wrap-style:square;" filled="f" stroked="f" strokeweight="-1.0pt">
                        <v:textbox id="849" inset="0mm,1.27mm,0mm,1.27mm" o:insetmode="custom" style="layout-flow:horizontal;v-text-anchor:top;">
                          <w:txbxContent>
                            <w:p>
                              <w:pPr>
                                <w:rPr>
                                  <w:rFonts w:eastAsia="宋体"/>
                                  <w:lang w:eastAsia="zh-CN"/>
                                </w:rPr>
                              </w:pPr>
                              <w:r>
                                <w:rPr>
                                  <w:rFonts w:hint="eastAsia"/>
                                </w:rPr>
                                <w:t>新鲜水</w:t>
                              </w:r>
                              <w:r>
                                <w:rPr>
                                  <w:rFonts w:hint="eastAsia"/>
                                  <w:bCs/>
                                  <w:spacing w:val="8"/>
                                  <w:szCs w:val="21"/>
                                  <w:lang w:val="en-US" w:eastAsia="zh-CN"/>
                                </w:rPr>
                                <w:t>0.</w:t>
                              </w:r>
                              <w:r>
                                <w:rPr>
                                  <w:bCs/>
                                  <w:spacing w:val="8"/>
                                  <w:szCs w:val="21"/>
                                  <w:lang w:eastAsia="zh-CN"/>
                                </w:rPr>
                                <w:t>48</w:t>
                              </w:r>
                            </w:p>
                          </w:txbxContent>
                        </v:textbox>
                        <v:stroke/>
                      </v:rect>
                      <v:rect type="#_x0000_t1" id="_s43" o:spid="_x0000_s43" style="position:absolute;left:7429;top:9408;width:797;height:440;mso-wrap-style:square;" filled="f" stroked="f" strokeweight="-1.0pt">
                        <v:textbox id="850" inset="2.54mm,1.27mm,2.54mm,1.27mm" o:insetmode="custom" style="layout-flow:horizontal;v-text-anchor:top;">
                          <w:txbxContent>
                            <w:p>
                              <w:pPr>
                                <w:rPr>
                                  <w:rFonts w:eastAsia="宋体"/>
                                  <w:lang w:val="en-US" w:eastAsia="zh-CN"/>
                                </w:rPr>
                              </w:pPr>
                              <w:r>
                                <w:rPr>
                                  <w:rFonts w:hint="eastAsia"/>
                                </w:rPr>
                                <w:t>0.</w:t>
                              </w:r>
                              <w:r>
                                <w:rPr>
                                  <w:rFonts w:hint="eastAsia"/>
                                  <w:lang w:val="en-US" w:eastAsia="zh-CN"/>
                                </w:rPr>
                                <w:t>7</w:t>
                              </w:r>
                            </w:p>
                          </w:txbxContent>
                        </v:textbox>
                        <v:stroke/>
                      </v:rect>
                      <v:shape type="#_x0000_t32" id="自选图形 97 12 12 12 12 12" o:spid="_x0000_s44" style="position:absolute;left:6904;top:9273;width:9;height:484;flip:x y;" filled="f" stroked="t">
                        <v:stroke color="#000000" endarrow="block" endarrowwidth="narrow" endarrowlength="long"/>
                      </v:shape>
                      <v:shape type="#_x0000_t32" id="自选图形 98 13 13 13 13 13" o:spid="_x0000_s45" style="position:absolute;left:5076;top:9048;width:3;height:1642;flip:x;" filled="f" stroked="t">
                        <v:stroke color="#000000"/>
                      </v:shape>
                      <v:rect type="#_x0000_t1" id="_s46" o:spid="_x0000_s46" style="position:absolute;left:7519;top:8227;width:1062;height:440;mso-wrap-style:square;" filled="f" stroked="f" strokeweight="-1.0pt">
                        <v:textbox id="851" inset="0mm,1.27mm,0mm,1.27mm" o:insetmode="custom" style="layout-flow:horizontal;v-text-anchor:top;">
                          <w:txbxContent>
                            <w:p>
                              <w:pPr>
                                <w:rPr>
                                  <w:rFonts w:eastAsia="宋体"/>
                                  <w:lang w:val="en-US" w:eastAsia="zh-CN"/>
                                </w:rPr>
                              </w:pPr>
                              <w:r>
                                <w:rPr>
                                  <w:rFonts w:hint="eastAsia"/>
                                </w:rPr>
                                <w:t>-</w:t>
                              </w:r>
                              <w:r>
                                <w:rPr>
                                  <w:rFonts w:hint="eastAsia"/>
                                  <w:lang w:val="en-US" w:eastAsia="zh-CN"/>
                                </w:rPr>
                                <w:t>0.04</w:t>
                              </w:r>
                            </w:p>
                          </w:txbxContent>
                        </v:textbox>
                        <v:stroke/>
                      </v:rect>
                      <v:rect type="#_x0000_t1" id="_s47" o:spid="_x0000_s47" style="position:absolute;left:5227;top:8672;width:878;height:439;mso-wrap-style:square;" filled="f" stroked="f" strokeweight="-1.0pt">
                        <v:textbox id="852" inset="0mm,1.27mm,0mm,1.27mm" o:insetmode="custom" style="layout-flow:horizontal;v-text-anchor:top;">
                          <w:txbxContent>
                            <w:p>
                              <w:pPr>
                                <w:ind w:firstLineChars="100" w:firstLine="210"/>
                                <w:rPr>
                                  <w:rFonts w:eastAsia="宋体"/>
                                  <w:szCs w:val="21"/>
                                  <w:lang w:val="en-US" w:eastAsia="zh-CN"/>
                                </w:rPr>
                              </w:pPr>
                              <w:r>
                                <w:rPr>
                                  <w:rFonts w:hint="eastAsia"/>
                                  <w:szCs w:val="21"/>
                                  <w:lang w:val="en-US" w:eastAsia="zh-CN"/>
                                </w:rPr>
                                <w:t>0.04</w:t>
                              </w:r>
                            </w:p>
                          </w:txbxContent>
                        </v:textbox>
                        <v:stroke/>
                      </v:rect>
                      <v:rect type="#_x0000_t1" id="_s48" o:spid="_x0000_s48" style="position:absolute;left:6146;top:8836;width:1481;height:441;mso-wrap-style:square;" fillcolor="#FFFFFF" stroked="t">
                        <v:textbox id="853" inset="0mm,1.27mm,0mm,1.27mm" o:insetmode="custom" style="layout-flow:horizontal;v-text-anchor:top;">
                          <w:txbxContent>
                            <w:p>
                              <w:pPr>
                                <w:jc w:val="center"/>
                                <w:rPr>
                                  <w:rFonts w:eastAsia="宋体" w:hint="eastAsia"/>
                                  <w:lang w:eastAsia="zh-CN"/>
                                </w:rPr>
                              </w:pPr>
                              <w:r>
                                <w:rPr>
                                  <w:rFonts w:hint="eastAsia"/>
                                  <w:lang w:eastAsia="zh-CN"/>
                                </w:rPr>
                                <w:t>碱液喷淋装置</w:t>
                              </w:r>
                            </w:p>
                          </w:txbxContent>
                        </v:textbox>
                        <v:stroke color="#000000"/>
                      </v:rect>
                      <v:line type="#_x0000_t20" id="直线 102 20 20 20 20 20" o:spid="_x0000_s49" style="position:absolute;flip:y;visibility:visible;" from="6752.393,8522.498" to="7452.3916,8819.491" filled="f" stroked="t">
                        <v:stroke dashstyle="dash" color="#000000" endarrow="block" endarrowwidth="narrow" endarrowlength="long"/>
                      </v:line>
                      <v:rect type="#_x0000_t1" id="_s50" o:spid="_x0000_s50" style="position:absolute;left:6166;top:10456;width:1396;height:439;mso-wrap-style:square;" fillcolor="#FFFFFF" stroked="t">
                        <v:textbox id="854" inset="0mm,1.27mm,0mm,1.27mm" o:insetmode="custom" style="layout-flow:horizontal;v-text-anchor:top;">
                          <w:txbxContent>
                            <w:p>
                              <w:pPr>
                                <w:jc w:val="center"/>
                                <w:rPr>
                                  <w:rFonts w:eastAsia="宋体" w:hint="eastAsia"/>
                                  <w:lang w:eastAsia="zh-CN"/>
                                </w:rPr>
                              </w:pPr>
                              <w:r>
                                <w:rPr>
                                  <w:rFonts w:hint="eastAsia"/>
                                  <w:lang w:eastAsia="zh-CN"/>
                                </w:rPr>
                                <w:t>职工生活</w:t>
                              </w:r>
                            </w:p>
                          </w:txbxContent>
                        </v:textbox>
                        <v:stroke color="#000000"/>
                      </v:rect>
                      <v:rect type="#_x0000_t1" id="_s51" o:spid="_x0000_s51" style="position:absolute;left:5452;top:10332;width:709;height:439;mso-wrap-style:square;" filled="f" stroked="f" strokeweight="-1.0pt">
                        <v:textbox id="855" inset="0mm,1.27mm,0mm,1.27mm" o:insetmode="custom" style="layout-flow:horizontal;v-text-anchor:top;">
                          <w:txbxContent>
                            <w:p>
                              <w:pPr>
                                <w:rPr>
                                  <w:rFonts w:eastAsia="宋体"/>
                                  <w:lang w:eastAsia="zh-CN"/>
                                </w:rPr>
                              </w:pPr>
                              <w:r>
                                <w:rPr>
                                  <w:rFonts w:hint="eastAsia"/>
                                  <w:bCs/>
                                  <w:spacing w:val="8"/>
                                  <w:szCs w:val="21"/>
                                  <w:lang w:val="en-US" w:eastAsia="zh-CN"/>
                                </w:rPr>
                                <w:t>0.</w:t>
                              </w:r>
                              <w:r>
                                <w:rPr>
                                  <w:bCs/>
                                  <w:spacing w:val="8"/>
                                  <w:szCs w:val="21"/>
                                  <w:lang w:eastAsia="zh-CN"/>
                                </w:rPr>
                                <w:t>44</w:t>
                              </w:r>
                            </w:p>
                          </w:txbxContent>
                        </v:textbox>
                        <v:stroke/>
                      </v:rect>
                      <v:line type="#_x0000_t20" id="直线 106 25 25 25 25 25" o:spid="_x0000_s52" style="position:absolute;flip:y;visibility:visible;" from="6772.3906,10141.494" to="7472.3887,10439.49" filled="f" stroked="t">
                        <v:stroke dashstyle="dash" color="#000000" endarrow="block" endarrowwidth="narrow" endarrowlength="long"/>
                      </v:line>
                      <v:rect type="#_x0000_t1" id="_s53" o:spid="_x0000_s53" style="position:absolute;left:7535;top:9841;width:706;height:441;mso-wrap-style:square;" filled="f" stroked="f" strokeweight="-1.0pt">
                        <v:textbox id="856" inset="0mm,1.27mm,0mm,1.27mm" o:insetmode="custom" style="layout-flow:horizontal;v-text-anchor:top;">
                          <w:txbxContent>
                            <w:p>
                              <w:pPr>
                                <w:rPr>
                                  <w:rFonts w:eastAsia="宋体"/>
                                  <w:lang w:eastAsia="zh-CN"/>
                                </w:rPr>
                              </w:pPr>
                              <w:r>
                                <w:rPr>
                                  <w:rFonts w:hint="eastAsia"/>
                                </w:rPr>
                                <w:t>-</w:t>
                              </w:r>
                              <w:r>
                                <w:rPr>
                                  <w:rFonts w:hint="eastAsia"/>
                                  <w:bCs/>
                                  <w:spacing w:val="8"/>
                                  <w:szCs w:val="21"/>
                                  <w:lang w:val="en-US" w:eastAsia="zh-CN"/>
                                </w:rPr>
                                <w:t>0.</w:t>
                              </w:r>
                              <w:r>
                                <w:rPr>
                                  <w:bCs/>
                                  <w:spacing w:val="8"/>
                                  <w:szCs w:val="21"/>
                                  <w:lang w:eastAsia="zh-CN"/>
                                </w:rPr>
                                <w:t>09</w:t>
                              </w:r>
                            </w:p>
                          </w:txbxContent>
                        </v:textbox>
                        <v:stroke/>
                      </v:rect>
                      <v:line type="#_x0000_t20" id="直线 108 28 28 28 28 28" o:spid="_x0000_s54" style="position:absolute;visibility:visible;" from="5097.393,10690.497" to="6162.3916,10690.497" filled="f" stroked="t">
                        <v:stroke color="#000000" endarrow="block" endarrowwidth="narrow" endarrowlength="long"/>
                      </v:line>
                      <v:line type="#_x0000_t20" id="直接连接符 109 29 29 29 29 29" o:spid="_x0000_s55" style="position:absolute;visibility:visible;" from="6906.389,9759.494" to="8292.388,9760.492" filled="f" stroked="t">
                        <v:stroke color="#000000"/>
                      </v:line>
                      <v:line type="#_x0000_t20" id="直接连接符 110 30 30 30 30 30" o:spid="_x0000_s56" style="position:absolute;visibility:visible;" from="8294.393,9060.492" to="8304.389,9773.492" filled="f" stroked="t">
                        <v:stroke color="#000000"/>
                      </v:line>
                      <v:line type="#_x0000_t20" id="直线 108 31 31 31 31 31" o:spid="_x0000_s57" style="position:absolute;flip:y;visibility:visible;" from="7562.395,10673.494" to="8592.394,10680.488" filled="f" stroked="t">
                        <v:stroke color="#000000" endarrow="block" endarrowwidth="narrow" endarrowlength="long"/>
                      </v:line>
                      <v:line type="#_x0000_t20" id="直线 108 32 32 32 32 32" o:spid="_x0000_s58" style="position:absolute;visibility:visible;" from="5100.3916,9055.496" to="6165.39,9055.496" filled="f" stroked="t">
                        <v:stroke color="#000000" endarrow="block" endarrowwidth="narrow" endarrowlength="long"/>
                      </v:line>
                      <v:line type="#_x0000_t20" id="直线 108 33 33 33 33 33" o:spid="_x0000_s59" style="position:absolute;flip:x;visibility:visible;" from="9215.391,10832.498" to="9227.386,11373.495" filled="f" stroked="t">
                        <v:stroke color="#000000" endarrow="block" endarrowwidth="narrow" endarrowlength="long"/>
                      </v:line>
                      <v:rect type="#_x0000_t1" id="_s60" o:spid="_x0000_s60" style="position:absolute;left:8006;top:11397;width:2635;height:928;mso-wrap-style:square;" filled="f" stroked="f" strokeweight="-1.0pt">
                        <v:textbox id="857" inset="0mm,1.27mm,0mm,1.27mm" o:insetmode="custom" style="layout-flow:horizontal;v-text-anchor:top;">
                          <w:txbxContent>
                            <w:p>
                              <w:pPr>
                                <w:jc w:val="center"/>
                                <w:rPr>
                                  <w:rFonts w:hint="eastAsia"/>
                                  <w:lang w:eastAsia="zh-CN"/>
                                </w:rPr>
                              </w:pPr>
                              <w:r>
                                <w:rPr>
                                  <w:rFonts w:cs="Times New Roman" w:hint="eastAsia"/>
                                  <w:color w:val="auto"/>
                                  <w:kern w:val="2"/>
                                  <w:sz w:val="21"/>
                                  <w:szCs w:val="21"/>
                                  <w:lang w:val="en-US" w:eastAsia="zh-CN" w:bidi="ar-SA"/>
                                  <w:highlight w:val="none"/>
                                </w:rPr>
                                <w:t>定期清掏、不外排</w:t>
                              </w:r>
                            </w:p>
                          </w:txbxContent>
                        </v:textbox>
                        <v:stroke/>
                      </v:rect>
                      <v:rect type="#_x0000_t1" id="_s61" o:spid="_x0000_s61" style="position:absolute;left:7791;top:10316;width:1062;height:440;mso-wrap-style:square;" filled="f" stroked="f" strokeweight="-1.0pt">
                        <v:textbox id="858" inset="0mm,1.27mm,0mm,1.27mm" o:insetmode="custom" style="layout-flow:horizontal;v-text-anchor:top;">
                          <w:txbxContent>
                            <w:p>
                              <w:pPr>
                                <w:rPr>
                                  <w:rFonts w:eastAsia="宋体"/>
                                  <w:lang w:eastAsia="zh-CN"/>
                                </w:rPr>
                              </w:pPr>
                              <w:r>
                                <w:rPr>
                                  <w:rFonts w:hint="eastAsia"/>
                                  <w:lang w:val="en-US" w:eastAsia="zh-CN"/>
                                </w:rPr>
                                <w:t>0.</w:t>
                              </w:r>
                              <w:r>
                                <w:rPr>
                                  <w:lang w:eastAsia="zh-CN"/>
                                </w:rPr>
                                <w:t>35</w:t>
                              </w:r>
                            </w:p>
                          </w:txbxContent>
                        </v:textbox>
                        <v:stroke/>
                      </v:rect>
                    </v:group>
                  </w:pict>
                </mc:Fallback>
              </mc:AlternateContent>
            </w:r>
          </w:p>
          <w:p>
            <w:pPr>
              <w:pStyle w:val="65"/>
              <w:rPr>
                <w:color w:val="auto"/>
                <w:highlight w:val="none"/>
              </w:rPr>
            </w:pPr>
          </w:p>
          <w:p>
            <w:pPr>
              <w:pStyle w:val="65"/>
              <w:rPr>
                <w:color w:val="auto"/>
                <w:highlight w:val="none"/>
              </w:rPr>
            </w:pPr>
          </w:p>
          <w:p>
            <w:pPr>
              <w:pStyle w:val="65"/>
              <w:rPr>
                <w:color w:val="auto"/>
                <w:highlight w:val="none"/>
              </w:rPr>
            </w:pPr>
          </w:p>
          <w:p>
            <w:pPr>
              <w:pStyle w:val="65"/>
              <w:rPr>
                <w:color w:val="auto"/>
                <w:highlight w:val="none"/>
              </w:rPr>
            </w:pPr>
          </w:p>
          <w:p>
            <w:pPr>
              <w:spacing w:line="460" w:lineRule="exact"/>
              <w:jc w:val="center"/>
              <w:rPr>
                <w:rFonts w:hint="eastAsia"/>
                <w:b/>
                <w:bCs/>
                <w:color w:val="auto"/>
                <w:sz w:val="24"/>
                <w:highlight w:val="none"/>
              </w:rPr>
            </w:pPr>
          </w:p>
          <w:p>
            <w:pPr>
              <w:spacing w:line="460" w:lineRule="exact"/>
              <w:jc w:val="center"/>
              <w:rPr>
                <w:rFonts w:hint="eastAsia"/>
                <w:b/>
                <w:bCs/>
                <w:color w:val="auto"/>
                <w:sz w:val="24"/>
                <w:highlight w:val="none"/>
              </w:rPr>
            </w:pPr>
          </w:p>
          <w:p>
            <w:pPr>
              <w:spacing w:line="460" w:lineRule="exact"/>
              <w:jc w:val="both"/>
              <w:rPr>
                <w:rFonts w:hint="eastAsia"/>
                <w:b/>
                <w:bCs/>
                <w:color w:val="auto"/>
                <w:sz w:val="24"/>
                <w:highlight w:val="none"/>
              </w:rPr>
            </w:pPr>
          </w:p>
          <w:p>
            <w:pPr>
              <w:spacing w:line="460" w:lineRule="exact"/>
              <w:jc w:val="center"/>
              <w:rPr>
                <w:rFonts w:hint="eastAsia"/>
                <w:b/>
                <w:bCs/>
                <w:color w:val="auto"/>
                <w:sz w:val="24"/>
                <w:highlight w:val="none"/>
              </w:rPr>
            </w:pPr>
          </w:p>
          <w:p>
            <w:pPr>
              <w:spacing w:line="460" w:lineRule="exact"/>
              <w:jc w:val="both"/>
              <w:rPr>
                <w:rFonts w:hint="eastAsia"/>
                <w:b/>
                <w:bCs/>
                <w:color w:val="auto"/>
                <w:sz w:val="24"/>
                <w:highlight w:val="none"/>
              </w:rPr>
            </w:pPr>
          </w:p>
          <w:p>
            <w:pPr>
              <w:spacing w:line="460" w:lineRule="exact"/>
              <w:jc w:val="both"/>
              <w:rPr>
                <w:rFonts w:hint="eastAsia"/>
                <w:b/>
                <w:bCs/>
                <w:color w:val="auto"/>
                <w:sz w:val="24"/>
                <w:highlight w:val="none"/>
              </w:rPr>
            </w:pPr>
          </w:p>
          <w:p>
            <w:pPr>
              <w:spacing w:line="460" w:lineRule="exact"/>
              <w:jc w:val="center"/>
              <w:rPr>
                <w:rFonts w:eastAsia="宋体" w:hint="eastAsia"/>
                <w:b/>
                <w:bCs/>
                <w:color w:val="auto"/>
                <w:sz w:val="24"/>
                <w:lang w:eastAsia="zh-CN"/>
                <w:highlight w:val="none"/>
              </w:rPr>
            </w:pPr>
            <w:r>
              <w:rPr>
                <w:rFonts w:hint="eastAsia"/>
                <w:b/>
                <w:bCs/>
                <w:color w:val="auto"/>
                <w:sz w:val="24"/>
                <w:highlight w:val="none"/>
              </w:rPr>
              <w:t>图2-1  项目水量平衡图  单位：m</w:t>
            </w:r>
            <w:r>
              <w:rPr>
                <w:rFonts w:hint="eastAsia"/>
                <w:b/>
                <w:bCs/>
                <w:color w:val="auto"/>
                <w:sz w:val="24"/>
                <w:vertAlign w:val="superscript"/>
                <w:highlight w:val="none"/>
              </w:rPr>
              <w:t>3</w:t>
            </w:r>
            <w:r>
              <w:rPr>
                <w:rFonts w:hint="eastAsia"/>
                <w:b/>
                <w:bCs/>
                <w:color w:val="auto"/>
                <w:sz w:val="24"/>
                <w:highlight w:val="none"/>
              </w:rPr>
              <w:t>/</w:t>
            </w:r>
            <w:r>
              <w:rPr>
                <w:rFonts w:hint="eastAsia"/>
                <w:b/>
                <w:bCs/>
                <w:color w:val="auto"/>
                <w:sz w:val="24"/>
                <w:lang w:val="en-US" w:eastAsia="zh-CN"/>
                <w:highlight w:val="none"/>
              </w:rPr>
              <w:t>d</w:t>
            </w:r>
          </w:p>
          <w:p>
            <w:pPr>
              <w:pStyle w:val="56"/>
              <w:keepNext w:val="0"/>
              <w:keepLines w:val="0"/>
              <w:pageBreakBefore w:val="0"/>
              <w:widowControl w:val="0"/>
              <w:kinsoku/>
              <w:wordWrap/>
              <w:overflowPunct/>
              <w:topLinePunct w:val="0"/>
              <w:autoSpaceDE/>
              <w:autoSpaceDN/>
              <w:bidi w:val="0"/>
              <w:adjustRightInd w:val="0"/>
              <w:snapToGrid/>
              <w:rPr>
                <w:color w:val="auto"/>
                <w:highlight w:val="none"/>
              </w:rPr>
            </w:pPr>
            <w:r>
              <w:rPr>
                <w:rFonts w:hint="eastAsia"/>
                <w:color w:val="auto"/>
                <w:highlight w:val="none"/>
              </w:rPr>
              <w:t>（2）供电</w:t>
            </w:r>
          </w:p>
          <w:p>
            <w:pPr>
              <w:pStyle w:val="56"/>
              <w:keepNext w:val="0"/>
              <w:keepLines w:val="0"/>
              <w:pageBreakBefore w:val="0"/>
              <w:widowControl w:val="0"/>
              <w:kinsoku/>
              <w:wordWrap/>
              <w:overflowPunct/>
              <w:topLinePunct w:val="0"/>
              <w:autoSpaceDE/>
              <w:autoSpaceDN/>
              <w:bidi w:val="0"/>
              <w:adjustRightInd w:val="0"/>
              <w:snapToGrid/>
              <w:rPr>
                <w:color w:val="auto"/>
                <w:highlight w:val="none"/>
              </w:rPr>
            </w:pPr>
            <w:r>
              <w:rPr>
                <w:rFonts w:hint="eastAsia"/>
                <w:color w:val="auto"/>
                <w:highlight w:val="none"/>
              </w:rPr>
              <w:t>项目用电</w:t>
            </w:r>
            <w:r>
              <w:rPr>
                <w:rFonts w:hint="eastAsia"/>
                <w:color w:val="auto"/>
                <w:szCs w:val="21"/>
                <w:highlight w:val="none"/>
              </w:rPr>
              <w:t>由</w:t>
            </w:r>
            <w:r>
              <w:rPr>
                <w:rFonts w:hint="eastAsia"/>
                <w:color w:val="auto"/>
                <w:szCs w:val="21"/>
                <w:lang w:val="en-US" w:eastAsia="zh-CN"/>
                <w:highlight w:val="none"/>
              </w:rPr>
              <w:t>园区供电</w:t>
            </w:r>
            <w:r>
              <w:rPr>
                <w:rFonts w:hint="eastAsia"/>
                <w:color w:val="auto"/>
                <w:szCs w:val="21"/>
                <w:highlight w:val="none"/>
              </w:rPr>
              <w:t>管网提供</w:t>
            </w:r>
            <w:r>
              <w:rPr>
                <w:rFonts w:hint="eastAsia"/>
                <w:color w:val="auto"/>
                <w:highlight w:val="none"/>
              </w:rPr>
              <w:t>，项目年用电量</w:t>
            </w:r>
            <w:r>
              <w:rPr>
                <w:rFonts w:hint="eastAsia"/>
                <w:color w:val="auto"/>
                <w:lang w:val="en-US" w:eastAsia="zh-CN"/>
                <w:highlight w:val="none"/>
              </w:rPr>
              <w:t>1</w:t>
            </w:r>
            <w:r>
              <w:rPr>
                <w:rFonts w:hint="eastAsia"/>
                <w:color w:val="auto"/>
                <w:highlight w:val="none"/>
              </w:rPr>
              <w:t>万kW·h。</w:t>
            </w:r>
          </w:p>
          <w:p>
            <w:pPr>
              <w:pStyle w:val="56"/>
              <w:keepNext w:val="0"/>
              <w:keepLines w:val="0"/>
              <w:pageBreakBefore w:val="0"/>
              <w:widowControl w:val="0"/>
              <w:kinsoku/>
              <w:wordWrap/>
              <w:overflowPunct/>
              <w:topLinePunct w:val="0"/>
              <w:autoSpaceDE/>
              <w:autoSpaceDN/>
              <w:bidi w:val="0"/>
              <w:adjustRightInd w:val="0"/>
              <w:snapToGrid/>
              <w:rPr>
                <w:color w:val="auto"/>
                <w:highlight w:val="none"/>
              </w:rPr>
            </w:pPr>
            <w:r>
              <w:rPr>
                <w:rFonts w:hint="eastAsia"/>
                <w:color w:val="auto"/>
                <w:highlight w:val="none"/>
              </w:rPr>
              <w:t>（3）供热及制冷</w:t>
            </w:r>
          </w:p>
          <w:p>
            <w:pPr>
              <w:pStyle w:val="56"/>
              <w:keepNext w:val="0"/>
              <w:keepLines w:val="0"/>
              <w:pageBreakBefore w:val="0"/>
              <w:widowControl w:val="0"/>
              <w:kinsoku/>
              <w:wordWrap/>
              <w:overflowPunct/>
              <w:topLinePunct w:val="0"/>
              <w:autoSpaceDE/>
              <w:autoSpaceDN/>
              <w:bidi w:val="0"/>
              <w:adjustRightInd w:val="0"/>
              <w:snapToGrid/>
              <w:rPr>
                <w:rFonts w:hint="eastAsia"/>
                <w:color w:val="auto"/>
                <w:highlight w:val="none"/>
              </w:rPr>
            </w:pPr>
            <w:r>
              <w:rPr>
                <w:rFonts w:ascii="Times New Roman" w:eastAsia="宋体" w:cs="Times New Roman" w:hAnsi="Times New Roman" w:hint="eastAsia"/>
                <w:color w:val="auto"/>
                <w:lang w:val="en-US" w:eastAsia="zh-CN"/>
                <w:highlight w:val="none"/>
              </w:rPr>
              <w:t>项目生产</w:t>
            </w:r>
            <w:r>
              <w:rPr>
                <w:rFonts w:cs="Times New Roman" w:hint="eastAsia"/>
                <w:color w:val="auto"/>
                <w:lang w:val="en-US" w:eastAsia="zh-CN"/>
                <w:highlight w:val="none"/>
              </w:rPr>
              <w:t>用热由电能提供，</w:t>
            </w:r>
            <w:r>
              <w:rPr>
                <w:rFonts w:ascii="Times New Roman" w:eastAsia="宋体" w:cs="Times New Roman" w:hAnsi="Times New Roman" w:hint="eastAsia"/>
                <w:color w:val="auto"/>
                <w:lang w:val="en-US" w:eastAsia="zh-CN"/>
                <w:highlight w:val="none"/>
              </w:rPr>
              <w:t>职工冬季采暖</w:t>
            </w:r>
            <w:r>
              <w:rPr>
                <w:rFonts w:cs="Times New Roman" w:hint="eastAsia"/>
                <w:color w:val="auto"/>
                <w:lang w:val="en-US" w:eastAsia="zh-CN"/>
                <w:highlight w:val="none"/>
              </w:rPr>
              <w:t>、夏季制冷均</w:t>
            </w:r>
            <w:r>
              <w:rPr>
                <w:rFonts w:ascii="Times New Roman" w:eastAsia="宋体" w:cs="Times New Roman" w:hAnsi="Times New Roman" w:hint="eastAsia"/>
                <w:color w:val="auto"/>
                <w:lang w:val="en-US" w:eastAsia="zh-CN"/>
                <w:highlight w:val="none"/>
              </w:rPr>
              <w:t>由空调提供</w:t>
            </w:r>
            <w:r>
              <w:rPr>
                <w:rFonts w:hint="eastAsia"/>
                <w:color w:val="auto"/>
                <w:highlight w:val="none"/>
              </w:rPr>
              <w:t>。</w:t>
            </w:r>
          </w:p>
          <w:p>
            <w:pPr>
              <w:keepNext w:val="0"/>
              <w:keepLines w:val="0"/>
              <w:pageBreakBefore w:val="0"/>
              <w:widowControl w:val="0"/>
              <w:kinsoku/>
              <w:wordWrap/>
              <w:overflowPunct/>
              <w:topLinePunct w:val="0"/>
              <w:autoSpaceDE/>
              <w:autoSpaceDN/>
              <w:bidi w:val="0"/>
              <w:snapToGrid/>
              <w:spacing w:line="460" w:lineRule="exact"/>
              <w:ind w:firstLineChars="200" w:firstLine="480"/>
              <w:rPr>
                <w:rFonts w:hint="eastAsia"/>
                <w:color w:val="auto"/>
                <w:sz w:val="24"/>
                <w:lang w:val="en-US" w:eastAsia="zh-CN"/>
                <w:highlight w:val="none"/>
              </w:rPr>
            </w:pPr>
            <w:r>
              <w:rPr>
                <w:rFonts w:hint="eastAsia"/>
                <w:b/>
                <w:bCs/>
                <w:color w:val="auto"/>
                <w:sz w:val="24"/>
                <w:lang w:val="en-US" w:eastAsia="zh-CN"/>
                <w:highlight w:val="none"/>
              </w:rPr>
              <w:t>8</w:t>
            </w:r>
            <w:r>
              <w:rPr>
                <w:rFonts w:hint="eastAsia"/>
                <w:b/>
                <w:bCs/>
                <w:color w:val="auto"/>
                <w:sz w:val="24"/>
                <w:highlight w:val="none"/>
              </w:rPr>
              <w:t>、劳动定员及工作制度</w:t>
            </w:r>
          </w:p>
          <w:p>
            <w:pPr>
              <w:keepNext w:val="0"/>
              <w:keepLines w:val="0"/>
              <w:pageBreakBefore w:val="0"/>
              <w:widowControl w:val="0"/>
              <w:kinsoku/>
              <w:wordWrap/>
              <w:overflowPunct/>
              <w:topLinePunct w:val="0"/>
              <w:autoSpaceDE/>
              <w:autoSpaceDN/>
              <w:bidi w:val="0"/>
              <w:adjustRightInd/>
              <w:snapToGrid/>
              <w:spacing w:line="460" w:lineRule="exact"/>
              <w:ind w:left="0" w:firstLineChars="200" w:firstLine="480"/>
              <w:textAlignment w:val="auto"/>
              <w:rPr>
                <w:color w:val="auto"/>
                <w:sz w:val="24"/>
                <w:lang w:val="en-US" w:eastAsia="zh-CN"/>
                <w:highlight w:val="none"/>
              </w:rPr>
            </w:pPr>
            <w:r>
              <w:rPr>
                <w:rFonts w:hint="eastAsia"/>
                <w:color w:val="auto"/>
                <w:sz w:val="24"/>
                <w:lang w:val="en-US" w:eastAsia="zh-CN"/>
                <w:highlight w:val="none"/>
              </w:rPr>
              <w:t>本项目劳动定员</w:t>
            </w:r>
            <w:r>
              <w:rPr>
                <w:color w:val="auto"/>
                <w:sz w:val="24"/>
                <w:lang w:eastAsia="zh-CN"/>
                <w:highlight w:val="none"/>
              </w:rPr>
              <w:t>6</w:t>
            </w:r>
            <w:r>
              <w:rPr>
                <w:rFonts w:hint="eastAsia"/>
                <w:color w:val="auto"/>
                <w:sz w:val="24"/>
                <w:lang w:val="en-US" w:eastAsia="zh-CN"/>
                <w:highlight w:val="none"/>
              </w:rPr>
              <w:t>人，采用</w:t>
            </w:r>
            <w:r>
              <w:rPr>
                <w:color w:val="auto"/>
                <w:sz w:val="24"/>
                <w:lang w:eastAsia="zh-CN"/>
                <w:highlight w:val="none"/>
              </w:rPr>
              <w:t>2</w:t>
            </w:r>
            <w:r>
              <w:rPr>
                <w:rFonts w:hint="eastAsia"/>
                <w:color w:val="auto"/>
                <w:sz w:val="24"/>
                <w:lang w:val="en-US" w:eastAsia="zh-CN"/>
                <w:highlight w:val="none"/>
              </w:rPr>
              <w:t>班</w:t>
            </w:r>
            <w:r>
              <w:rPr>
                <w:rFonts w:hint="eastAsia"/>
                <w:color w:val="auto"/>
                <w:sz w:val="24"/>
                <w:lang w:val="en-US"/>
                <w:highlight w:val="none"/>
              </w:rPr>
              <w:t>制</w:t>
            </w:r>
            <w:r>
              <w:rPr>
                <w:color w:val="auto"/>
                <w:sz w:val="24"/>
                <w:highlight w:val="none"/>
              </w:rPr>
              <w:t>，</w:t>
            </w:r>
            <w:r>
              <w:rPr>
                <w:rFonts w:hint="eastAsia"/>
                <w:color w:val="auto"/>
                <w:sz w:val="24"/>
                <w:lang w:val="en-US"/>
                <w:highlight w:val="none"/>
              </w:rPr>
              <w:t>每班</w:t>
            </w:r>
            <w:r>
              <w:rPr>
                <w:color w:val="auto"/>
                <w:sz w:val="24"/>
                <w:lang w:eastAsia="zh-CN"/>
                <w:highlight w:val="none"/>
              </w:rPr>
              <w:t>12</w:t>
            </w:r>
            <w:r>
              <w:rPr>
                <w:rFonts w:hint="eastAsia"/>
                <w:color w:val="auto"/>
                <w:sz w:val="24"/>
                <w:lang w:val="en-US" w:eastAsia="zh-CN"/>
                <w:highlight w:val="none"/>
              </w:rPr>
              <w:t>小时工作制</w:t>
            </w:r>
            <w:r>
              <w:rPr>
                <w:color w:val="auto"/>
                <w:sz w:val="24"/>
                <w:lang w:val="en-US" w:eastAsia="zh-CN"/>
                <w:highlight w:val="none"/>
              </w:rPr>
              <w:t>，年工作300天。</w:t>
            </w:r>
            <w:r>
              <w:rPr>
                <w:rFonts w:hint="eastAsia"/>
                <w:color w:val="auto"/>
                <w:sz w:val="24"/>
                <w:lang w:val="en-US" w:eastAsia="zh-CN"/>
                <w:highlight w:val="none"/>
              </w:rPr>
              <w:t>本项目分批次进行废铅蓄电池的贮存和转运。</w:t>
            </w:r>
          </w:p>
          <w:p>
            <w:pPr>
              <w:keepNext w:val="0"/>
              <w:keepLines w:val="0"/>
              <w:pageBreakBefore w:val="0"/>
              <w:widowControl w:val="0"/>
              <w:kinsoku/>
              <w:wordWrap/>
              <w:overflowPunct/>
              <w:topLinePunct w:val="0"/>
              <w:autoSpaceDE/>
              <w:autoSpaceDN/>
              <w:bidi w:val="0"/>
              <w:snapToGrid/>
              <w:spacing w:line="460" w:lineRule="exact"/>
              <w:ind w:firstLineChars="200" w:firstLine="480"/>
              <w:rPr>
                <w:b/>
                <w:bCs/>
                <w:color w:val="auto"/>
                <w:sz w:val="24"/>
                <w:highlight w:val="none"/>
              </w:rPr>
            </w:pPr>
            <w:r>
              <w:rPr>
                <w:rFonts w:hint="eastAsia"/>
                <w:b/>
                <w:bCs/>
                <w:color w:val="auto"/>
                <w:sz w:val="24"/>
                <w:lang w:val="en-US" w:eastAsia="zh-CN"/>
                <w:highlight w:val="none"/>
              </w:rPr>
              <w:t>9</w:t>
            </w:r>
            <w:r>
              <w:rPr>
                <w:rFonts w:hint="eastAsia"/>
                <w:b/>
                <w:bCs/>
                <w:color w:val="auto"/>
                <w:sz w:val="24"/>
                <w:highlight w:val="none"/>
              </w:rPr>
              <w:t>、平面布置</w:t>
            </w:r>
          </w:p>
          <w:p>
            <w:pPr>
              <w:pStyle w:val="56"/>
              <w:keepNext w:val="0"/>
              <w:keepLines w:val="0"/>
              <w:pageBreakBefore w:val="0"/>
              <w:widowControl w:val="0"/>
              <w:kinsoku/>
              <w:wordWrap/>
              <w:overflowPunct/>
              <w:topLinePunct w:val="0"/>
              <w:autoSpaceDE/>
              <w:autoSpaceDN/>
              <w:bidi w:val="0"/>
              <w:adjustRightInd w:val="0"/>
              <w:snapToGrid/>
              <w:rPr>
                <w:rFonts w:ascii="宋体" w:cs="宋体" w:hAnsi="宋体" w:hint="eastAsia"/>
                <w:color w:val="auto"/>
                <w:highlight w:val="none"/>
              </w:rPr>
            </w:pPr>
            <w:r>
              <w:rPr>
                <w:rFonts w:ascii="Times New Roman" w:eastAsia="宋体" w:cs="Times New Roman" w:hAnsi="Times New Roman" w:hint="eastAsia"/>
                <w:color w:val="auto"/>
                <w:sz w:val="24"/>
                <w:lang w:val="en-US" w:eastAsia="zh-CN"/>
                <w:highlight w:val="none"/>
              </w:rPr>
              <w:t>本项目租赁闲置库房，改造后用于</w:t>
            </w:r>
            <w:r>
              <w:rPr>
                <w:rFonts w:cs="Times New Roman" w:hint="eastAsia"/>
                <w:color w:val="auto"/>
                <w:sz w:val="24"/>
                <w:lang w:val="en-US" w:eastAsia="zh-CN"/>
                <w:highlight w:val="none"/>
              </w:rPr>
              <w:t>废铅蓄电池</w:t>
            </w:r>
            <w:r>
              <w:rPr>
                <w:rFonts w:ascii="Times New Roman" w:eastAsia="宋体" w:cs="Times New Roman" w:hAnsi="Times New Roman" w:hint="eastAsia"/>
                <w:color w:val="auto"/>
                <w:sz w:val="24"/>
                <w:lang w:val="en-US" w:eastAsia="zh-CN"/>
                <w:highlight w:val="none"/>
              </w:rPr>
              <w:t>收集中转</w:t>
            </w:r>
            <w:r>
              <w:rPr>
                <w:rFonts w:hint="eastAsia"/>
                <w:color w:val="auto"/>
                <w:sz w:val="24"/>
                <w:lang w:val="en-US" w:eastAsia="zh-CN"/>
                <w:highlight w:val="none"/>
              </w:rPr>
              <w:t>。库房内分区域进行废电池的存放，破损电池单独存放在库房内西侧区域，配备碱液喷淋装置，同时库房内东北侧设有废液收集池，用于收集泄漏的废电解液。租赁的办公室位于租赁厂区（河北泽豪环保新材料科技有限公司）内</w:t>
            </w:r>
            <w:r>
              <w:rPr>
                <w:rFonts w:hint="eastAsia"/>
                <w:color w:val="auto"/>
                <w:highlight w:val="none"/>
              </w:rPr>
              <w:t>。项目厂区平面布置图见附图3。</w:t>
            </w:r>
          </w:p>
        </w:tc>
      </w:tr>
      <w:tr>
        <w:trPr>
          <w:trHeight w:val="90"/>
        </w:trPr>
        <w:tc>
          <w:tcPr>
            <w:tcW w:w="397" w:type="pct"/>
            <w:vAlign w:val="center"/>
          </w:tcPr>
          <w:p>
            <w:pPr>
              <w:pStyle w:val="35"/>
              <w:adjustRightInd w:val="0"/>
              <w:snapToGrid w:val="0"/>
              <w:spacing w:before="0" w:beforeAutospacing="0" w:after="0" w:afterAutospacing="0"/>
              <w:jc w:val="center"/>
              <w:rPr>
                <w:rFonts w:cs="宋体" w:hint="eastAsia"/>
                <w:color w:val="auto"/>
                <w:szCs w:val="24"/>
                <w:highlight w:val="none"/>
              </w:rPr>
            </w:pPr>
            <w:r>
              <w:rPr>
                <w:rFonts w:cs="宋体" w:hint="eastAsia"/>
                <w:color w:val="auto"/>
                <w:szCs w:val="24"/>
                <w:highlight w:val="none"/>
              </w:rPr>
              <w:t>工艺流程和产排污环节</w:t>
            </w:r>
          </w:p>
        </w:tc>
        <w:tc>
          <w:tcPr>
            <w:tcW w:w="4602" w:type="pct"/>
            <w:tcBorders>
              <w:left w:val="single" w:sz="4" w:space="0" w:color="auto"/>
            </w:tcBorders>
            <w:vAlign w:val="center"/>
          </w:tcPr>
          <w:p>
            <w:pPr>
              <w:keepNext w:val="0"/>
              <w:keepLines w:val="0"/>
              <w:pageBreakBefore w:val="0"/>
              <w:kinsoku/>
              <w:wordWrap/>
              <w:overflowPunct/>
              <w:topLinePunct w:val="0"/>
              <w:autoSpaceDE/>
              <w:autoSpaceDN/>
              <w:bidi w:val="0"/>
              <w:adjustRightInd/>
              <w:snapToGrid/>
              <w:spacing w:line="460" w:lineRule="exact"/>
              <w:ind w:firstLineChars="200" w:firstLine="480"/>
              <w:textAlignment w:val="auto"/>
              <w:rPr>
                <w:b/>
                <w:bCs/>
                <w:color w:val="auto"/>
                <w:sz w:val="24"/>
                <w:highlight w:val="none"/>
              </w:rPr>
            </w:pPr>
            <w:r>
              <w:rPr>
                <w:rFonts w:hint="eastAsia"/>
                <w:b/>
                <w:bCs/>
                <w:color w:val="auto"/>
                <w:sz w:val="24"/>
                <w:highlight w:val="none"/>
              </w:rPr>
              <w:t>一、施工期工艺流程简述及产污环节</w:t>
            </w:r>
          </w:p>
          <w:p>
            <w:pPr>
              <w:keepNext w:val="0"/>
              <w:keepLines w:val="0"/>
              <w:pageBreakBefore w:val="0"/>
              <w:widowControl w:val="0"/>
              <w:kinsoku/>
              <w:wordWrap/>
              <w:overflowPunct/>
              <w:topLinePunct w:val="0"/>
              <w:autoSpaceDE/>
              <w:autoSpaceDN/>
              <w:bidi w:val="0"/>
              <w:adjustRightInd/>
              <w:snapToGrid/>
              <w:spacing w:line="460" w:lineRule="exact"/>
              <w:ind w:firstLineChars="200" w:firstLine="480"/>
              <w:jc w:val="both"/>
              <w:textAlignment w:val="auto"/>
              <w:rPr>
                <w:color w:val="auto"/>
                <w:lang w:val="zh-CN"/>
              </w:rPr>
            </w:pPr>
            <w:r>
              <w:rPr>
                <w:rFonts w:ascii="Times New Roman" w:eastAsia="宋体" w:cs="Times New Roman" w:hAnsi="Times New Roman" w:hint="eastAsia"/>
                <w:color w:val="auto"/>
                <w:sz w:val="24"/>
                <w:lang w:val="en-US" w:eastAsia="zh-CN"/>
                <w:highlight w:val="none"/>
              </w:rPr>
              <w:t>本项目租赁闲置库房并进行改造，地面做防渗防腐环氧地坪漆处理，铺设防轧实心橡胶地垫，配备电池存放铁箱和碱喷淋应急装置，安装24小时现场监控设备</w:t>
            </w:r>
            <w:r>
              <w:rPr>
                <w:rFonts w:hint="eastAsia"/>
                <w:color w:val="auto"/>
                <w:sz w:val="24"/>
                <w:szCs w:val="32"/>
                <w:highlight w:val="none"/>
              </w:rPr>
              <w:t>。施工期建设内容主要为导流沟槽切割施工、地面防渗防腐蚀处理及设备设施的安装调试。施工期污染源主要为</w:t>
            </w:r>
            <w:r>
              <w:rPr>
                <w:rFonts w:hint="eastAsia"/>
                <w:color w:val="auto"/>
                <w:sz w:val="24"/>
                <w:szCs w:val="32"/>
                <w:lang w:eastAsia="zh-CN"/>
                <w:highlight w:val="none"/>
              </w:rPr>
              <w:t>施工扬尘</w:t>
            </w:r>
            <w:r>
              <w:rPr>
                <w:rFonts w:hint="eastAsia"/>
                <w:color w:val="auto"/>
                <w:sz w:val="24"/>
                <w:szCs w:val="32"/>
                <w:highlight w:val="none"/>
              </w:rPr>
              <w:t>、施工机械噪声、装饰材料垃圾及施工人员生活污水、生活垃圾等。本项目施工过程全部在库房内进行，不涉及破坏沙区植被和野生动植物资源、造成土地沙化及水土流失行为。本项目施工期较短，其产生的污染随着施工的结束而消失</w:t>
            </w:r>
            <w:r>
              <w:rPr>
                <w:color w:val="auto"/>
                <w:sz w:val="24"/>
                <w:lang w:val="zh-CN"/>
                <w:highlight w:val="none"/>
              </w:rPr>
              <w:t>。</w:t>
            </w:r>
          </w:p>
          <w:p>
            <w:pPr>
              <w:keepNext w:val="0"/>
              <w:keepLines w:val="0"/>
              <w:pageBreakBefore w:val="0"/>
              <w:widowControl/>
              <w:numPr>
                <w:ilvl w:val="0"/>
                <w:numId w:val="3"/>
              </w:numPr>
              <w:kinsoku/>
              <w:wordWrap/>
              <w:overflowPunct/>
              <w:topLinePunct w:val="0"/>
              <w:autoSpaceDE/>
              <w:autoSpaceDN/>
              <w:bidi w:val="0"/>
              <w:adjustRightInd w:val="0"/>
              <w:snapToGrid w:val="0"/>
              <w:spacing w:line="460" w:lineRule="exact"/>
              <w:ind w:left="0" w:firstLineChars="200" w:firstLine="480"/>
              <w:rPr>
                <w:rFonts w:hint="eastAsia"/>
                <w:b/>
                <w:bCs/>
                <w:color w:val="auto"/>
                <w:sz w:val="24"/>
                <w:highlight w:val="none"/>
              </w:rPr>
            </w:pPr>
            <w:r>
              <w:rPr>
                <w:rFonts w:hint="eastAsia"/>
                <w:b/>
                <w:bCs/>
                <w:color w:val="auto"/>
                <w:sz w:val="24"/>
                <w:highlight w:val="none"/>
              </w:rPr>
              <w:t>运营期</w:t>
            </w:r>
            <w:r>
              <w:rPr>
                <w:rFonts w:hint="eastAsia"/>
                <w:b/>
                <w:bCs/>
                <w:color w:val="auto"/>
                <w:sz w:val="24"/>
                <w:lang w:eastAsia="zh-CN"/>
                <w:highlight w:val="none"/>
              </w:rPr>
              <w:t>贮存过程</w:t>
            </w:r>
            <w:r>
              <w:rPr>
                <w:rFonts w:hint="eastAsia"/>
                <w:b/>
                <w:bCs/>
                <w:color w:val="auto"/>
                <w:sz w:val="24"/>
                <w:highlight w:val="none"/>
              </w:rPr>
              <w:t>工艺流程简述及产污环节</w:t>
            </w:r>
          </w:p>
          <w:p>
            <w:pPr>
              <w:pStyle w:val="17"/>
              <w:keepNext w:val="0"/>
              <w:keepLines w:val="0"/>
              <w:pageBreakBefore w:val="0"/>
              <w:widowControl/>
              <w:tabs>
                <w:tab w:val="left" w:pos="3024"/>
              </w:tabs>
              <w:kinsoku/>
              <w:wordWrap/>
              <w:overflowPunct/>
              <w:topLinePunct w:val="0"/>
              <w:autoSpaceDE/>
              <w:autoSpaceDN/>
              <w:bidi w:val="0"/>
              <w:adjustRightInd/>
              <w:snapToGrid/>
              <w:spacing w:line="240" w:lineRule="auto"/>
              <w:ind w:firstLineChars="200" w:firstLine="560"/>
              <w:textAlignment w:val="auto"/>
              <w:rPr>
                <w:rFonts w:ascii="Times New Roman" w:eastAsia="宋体" w:cs="Times New Roman" w:hAnsi="Times New Roman" w:hint="eastAsia"/>
                <w:color w:val="auto"/>
                <w:sz w:val="24"/>
                <w:lang w:eastAsia="zh-CN"/>
                <w:highlight w:val="none"/>
              </w:rPr>
            </w:pPr>
            <w:r>
              <w:rPr>
                <w:color w:val="auto"/>
                <w:sz w:val="28"/>
              </w:rPr>
              <mc:AlternateContent>
                <mc:Choice Requires="wps">
                  <w:drawing>
                    <wp:anchor distT="0" distB="0" distL="114300" distR="114300" simplePos="0" relativeHeight="204" behindDoc="0" locked="0" layoutInCell="1" hidden="0" allowOverlap="1">
                      <wp:simplePos x="0" y="0"/>
                      <wp:positionH relativeFrom="column">
                        <wp:posOffset>1741170</wp:posOffset>
                      </wp:positionH>
                      <wp:positionV relativeFrom="paragraph">
                        <wp:posOffset>90170</wp:posOffset>
                      </wp:positionV>
                      <wp:extent cx="2698749" cy="4231685"/>
                      <wp:effectExtent l="5080" t="0" r="0" b="5080"/>
                      <wp:wrapNone/>
                      <wp:docPr id="98" name="组合 98"/>
                      <wp:cNvGraphicFramePr>
                        <a:graphicFrameLocks noChangeAspect="0"/>
                      </wp:cNvGraphicFramePr>
                      <a:graphic>
                        <a:graphicData uri="http://schemas.microsoft.com/office/word/2010/wordprocessingGroup">
                          <wpg:wgp>
                            <wpg:cNvPr id="62" name="组合 62"/>
                            <wpg:cNvGrpSpPr/>
                            <wpg:grpSpPr>
                              <a:xfrm rot="0">
                                <a:off x="0" y="0"/>
                                <a:ext cx="2698749" cy="4231685"/>
                                <a:chOff x="0" y="0"/>
                                <a:chExt cx="2698749" cy="4231685"/>
                              </a:xfrm>
                              <a:prstGeom prst="rect"/>
                              <a:solidFill>
                                <a:srgbClr val="FFFFFF"/>
                              </a:solidFill>
                              <a:ln w="9525" cmpd="sng" cap="flat">
                                <a:solidFill>
                                  <a:srgbClr val="000000"/>
                                </a:solidFill>
                                <a:prstDash val="solid"/>
                                <a:miter/>
                              </a:ln>
                            </wpg:grpSpPr>
                            <wps:wsp>
                              <wps:cNvPr id="63" name="文本框 137 63 63 63 63 63"/>
                              <wps:cNvSpPr/>
                              <wps:spPr>
                                <a:xfrm rot="0">
                                  <a:off x="384173" y="2361636"/>
                                  <a:ext cx="661668" cy="297823"/>
                                </a:xfrm>
                                <a:prstGeom prst="rect"/>
                                <a:noFill/>
                                <a:ln cmpd="sng" cap="flat">
                                  <a:noFill/>
                                  <a:prstDash val="solid"/>
                                  <a:round/>
                                </a:ln>
                              </wps:spPr>
                              <wps:txbx id="64">
                                <w:txbxContent>
                                  <w:p>
                                    <w:pPr>
                                      <w:jc w:val="center"/>
                                      <w:rPr>
                                        <w:rFonts w:eastAsia="宋体" w:hint="eastAsia"/>
                                        <w:lang w:eastAsia="zh-CN"/>
                                      </w:rPr>
                                    </w:pPr>
                                    <w:r>
                                      <w:rPr>
                                        <w:rFonts w:hint="eastAsia"/>
                                        <w:lang w:eastAsia="zh-CN"/>
                                      </w:rPr>
                                      <w:t>完整</w:t>
                                    </w:r>
                                  </w:p>
                                </w:txbxContent>
                              </wps:txbx>
                              <wps:bodyPr vert="horz" wrap="square" lIns="91440" tIns="45720" rIns="91440" bIns="45720" anchor="t" anchorCtr="0" upright="1">
                                <a:noAutofit/>
                              </wps:bodyPr>
                            </wps:wsp>
                            <wps:wsp>
                              <wps:cNvPr id="65" name="文本框 131 65 65 65 65 65"/>
                              <wps:cNvSpPr/>
                              <wps:spPr>
                                <a:xfrm rot="0">
                                  <a:off x="567689" y="0"/>
                                  <a:ext cx="1097280" cy="281949"/>
                                </a:xfrm>
                                <a:prstGeom prst="rect"/>
                                <a:noFill/>
                                <a:ln cmpd="sng" cap="flat">
                                  <a:noFill/>
                                  <a:prstDash val="solid"/>
                                  <a:round/>
                                </a:ln>
                              </wps:spPr>
                              <wps:txbx id="66">
                                <w:txbxContent>
                                  <w:p>
                                    <w:pPr>
                                      <w:jc w:val="center"/>
                                      <w:rPr>
                                        <w:rFonts w:eastAsia="宋体" w:hint="eastAsia"/>
                                        <w:lang w:eastAsia="zh-CN"/>
                                      </w:rPr>
                                    </w:pPr>
                                    <w:r>
                                      <w:rPr>
                                        <w:rFonts w:hint="eastAsia"/>
                                        <w:lang w:eastAsia="zh-CN"/>
                                      </w:rPr>
                                      <w:t>废旧铅酸蓄电池</w:t>
                                    </w:r>
                                  </w:p>
                                </w:txbxContent>
                              </wps:txbx>
                              <wps:bodyPr vert="horz" wrap="square" lIns="91440" tIns="45720" rIns="91440" bIns="45720" anchor="t" anchorCtr="0" upright="1">
                                <a:noAutofit/>
                              </wps:bodyPr>
                            </wps:wsp>
                            <wps:wsp>
                              <wps:cNvPr id="67" name="直接箭头连接符 138 67 67 67 67 67"/>
                              <wps:cNvSpPr/>
                              <wps:spPr>
                                <a:xfrm rot="0">
                                  <a:off x="1116330" y="270549"/>
                                  <a:ext cx="6350" cy="351164"/>
                                </a:xfrm>
                                <a:prstGeom prst="straightConnector1"/>
                                <a:noFill/>
                                <a:ln w="9525" cmpd="sng" cap="flat">
                                  <a:solidFill>
                                    <a:srgbClr val="000000"/>
                                  </a:solidFill>
                                  <a:prstDash val="solid"/>
                                  <a:round/>
                                  <a:tailEnd type="triangle" w="med" len="med"/>
                                </a:ln>
                              </wps:spPr>
                              <wps:bodyPr vert="horz" wrap="square" lIns="91440" tIns="45720" rIns="91440" bIns="45720" anchor="t" anchorCtr="0" upright="0">
                                <a:noAutofit/>
                              </wps:bodyPr>
                            </wps:wsp>
                            <wps:wsp>
                              <wps:cNvPr id="68" name="文本框 149 68 68 68 68 68"/>
                              <wps:cNvSpPr/>
                              <wps:spPr>
                                <a:xfrm rot="0">
                                  <a:off x="446405" y="635054"/>
                                  <a:ext cx="1334769" cy="297177"/>
                                </a:xfrm>
                                <a:prstGeom prst="rect"/>
                                <a:noFill/>
                                <a:ln w="9525" cmpd="sng" cap="flat">
                                  <a:solidFill>
                                    <a:srgbClr val="000000"/>
                                  </a:solidFill>
                                  <a:prstDash val="solid"/>
                                  <a:miter/>
                                </a:ln>
                              </wps:spPr>
                              <wps:txbx id="69">
                                <w:txbxContent>
                                  <w:p>
                                    <w:pPr>
                                      <w:jc w:val="center"/>
                                      <w:rPr>
                                        <w:rFonts w:eastAsia="宋体" w:hint="eastAsia"/>
                                        <w:lang w:eastAsia="zh-CN"/>
                                      </w:rPr>
                                    </w:pPr>
                                    <w:r>
                                      <w:rPr>
                                        <w:rFonts w:hint="eastAsia"/>
                                        <w:lang w:eastAsia="zh-CN"/>
                                      </w:rPr>
                                      <w:t>过磅、检查和记录</w:t>
                                    </w:r>
                                  </w:p>
                                </w:txbxContent>
                              </wps:txbx>
                              <wps:bodyPr vert="horz" wrap="square" lIns="91440" tIns="45720" rIns="91440" bIns="45720" anchor="t" anchorCtr="0" upright="1">
                                <a:noAutofit/>
                              </wps:bodyPr>
                            </wps:wsp>
                            <wps:wsp>
                              <wps:cNvPr id="70" name="直接箭头连接符 148 70 70 70 70 70"/>
                              <wps:cNvSpPr/>
                              <wps:spPr>
                                <a:xfrm rot="0">
                                  <a:off x="1118235" y="932232"/>
                                  <a:ext cx="6350" cy="235572"/>
                                </a:xfrm>
                                <a:prstGeom prst="straightConnector1"/>
                                <a:noFill/>
                                <a:ln w="9525" cmpd="sng" cap="flat">
                                  <a:solidFill>
                                    <a:srgbClr val="000000"/>
                                  </a:solidFill>
                                  <a:prstDash val="solid"/>
                                  <a:round/>
                                  <a:tailEnd type="triangle" w="med" len="med"/>
                                </a:ln>
                              </wps:spPr>
                              <wps:bodyPr vert="horz" wrap="square" lIns="91440" tIns="45720" rIns="91440" bIns="45720" anchor="t" anchorCtr="0" upright="0">
                                <a:noAutofit/>
                              </wps:bodyPr>
                            </wps:wsp>
                            <wps:wsp>
                              <wps:cNvPr id="71" name="文本框 147 71 71 71 71 71"/>
                              <wps:cNvSpPr/>
                              <wps:spPr>
                                <a:xfrm rot="0">
                                  <a:off x="593723" y="1183675"/>
                                  <a:ext cx="1034415" cy="289563"/>
                                </a:xfrm>
                                <a:prstGeom prst="rect"/>
                                <a:noFill/>
                                <a:ln w="9525" cmpd="sng" cap="flat">
                                  <a:solidFill>
                                    <a:srgbClr val="000000"/>
                                  </a:solidFill>
                                  <a:prstDash val="solid"/>
                                  <a:miter/>
                                </a:ln>
                              </wps:spPr>
                              <wps:txbx id="72">
                                <w:txbxContent>
                                  <w:p>
                                    <w:pPr>
                                      <w:jc w:val="center"/>
                                      <w:rPr>
                                        <w:rFonts w:eastAsia="宋体" w:hint="eastAsia"/>
                                        <w:lang w:eastAsia="zh-CN"/>
                                      </w:rPr>
                                    </w:pPr>
                                    <w:r>
                                      <w:rPr>
                                        <w:rFonts w:hint="eastAsia"/>
                                        <w:lang w:eastAsia="zh-CN"/>
                                      </w:rPr>
                                      <w:t>转运至库房</w:t>
                                    </w:r>
                                  </w:p>
                                </w:txbxContent>
                              </wps:txbx>
                              <wps:bodyPr vert="horz" wrap="square" lIns="91440" tIns="45720" rIns="91440" bIns="45720" anchor="t" anchorCtr="0" upright="1">
                                <a:noAutofit/>
                              </wps:bodyPr>
                            </wps:wsp>
                            <wps:wsp>
                              <wps:cNvPr id="73" name="直接箭头连接符 146 73 73 73 73 73"/>
                              <wps:cNvSpPr/>
                              <wps:spPr>
                                <a:xfrm flipH="1" rot="21600000">
                                  <a:off x="1108710" y="1473242"/>
                                  <a:ext cx="2538" cy="466068"/>
                                </a:xfrm>
                                <a:prstGeom prst="straightConnector1"/>
                                <a:noFill/>
                                <a:ln w="9525" cmpd="sng" cap="flat">
                                  <a:solidFill>
                                    <a:srgbClr val="000000"/>
                                  </a:solidFill>
                                  <a:prstDash val="solid"/>
                                  <a:round/>
                                  <a:tailEnd type="triangle" w="med" len="med"/>
                                </a:ln>
                              </wps:spPr>
                              <wps:bodyPr vert="horz" wrap="square" lIns="91440" tIns="45720" rIns="91440" bIns="45720" anchor="t" anchorCtr="0" upright="0">
                                <a:noAutofit/>
                              </wps:bodyPr>
                            </wps:wsp>
                            <wps:wsp>
                              <wps:cNvPr id="74" name="文本框 145 74 74 74 74 74"/>
                              <wps:cNvSpPr/>
                              <wps:spPr>
                                <a:xfrm rot="0">
                                  <a:off x="785495" y="1939359"/>
                                  <a:ext cx="645794" cy="289563"/>
                                </a:xfrm>
                                <a:prstGeom prst="rect"/>
                                <a:noFill/>
                                <a:ln w="9525" cmpd="sng" cap="flat">
                                  <a:solidFill>
                                    <a:srgbClr val="000000"/>
                                  </a:solidFill>
                                  <a:prstDash val="solid"/>
                                  <a:miter/>
                                </a:ln>
                              </wps:spPr>
                              <wps:txbx id="75">
                                <w:txbxContent>
                                  <w:p>
                                    <w:pPr>
                                      <w:jc w:val="center"/>
                                      <w:rPr>
                                        <w:rFonts w:eastAsia="宋体" w:hint="eastAsia"/>
                                        <w:lang w:eastAsia="zh-CN"/>
                                      </w:rPr>
                                    </w:pPr>
                                    <w:r>
                                      <w:rPr>
                                        <w:rFonts w:hint="eastAsia"/>
                                        <w:lang w:eastAsia="zh-CN"/>
                                      </w:rPr>
                                      <w:t>分类</w:t>
                                    </w:r>
                                  </w:p>
                                </w:txbxContent>
                              </wps:txbx>
                              <wps:bodyPr vert="horz" wrap="square" lIns="91440" tIns="45720" rIns="91440" bIns="45720" anchor="t" anchorCtr="0" upright="1">
                                <a:noAutofit/>
                              </wps:bodyPr>
                            </wps:wsp>
                            <wps:wsp>
                              <wps:cNvPr id="76" name="直接箭头连接符 144 76 76 76 76 76"/>
                              <wps:cNvSpPr/>
                              <wps:spPr>
                                <a:xfrm rot="0">
                                  <a:off x="1105535" y="2228922"/>
                                  <a:ext cx="6349" cy="351168"/>
                                </a:xfrm>
                                <a:prstGeom prst="straightConnector1"/>
                                <a:noFill/>
                                <a:ln w="9525" cmpd="sng" cap="flat">
                                  <a:solidFill>
                                    <a:srgbClr val="000000"/>
                                  </a:solidFill>
                                  <a:prstDash val="solid"/>
                                  <a:round/>
                                  <a:tailEnd type="triangle" w="med" len="med"/>
                                </a:ln>
                              </wps:spPr>
                              <wps:bodyPr vert="horz" wrap="square" lIns="91440" tIns="45720" rIns="91440" bIns="45720" anchor="t" anchorCtr="0" upright="0">
                                <a:noAutofit/>
                              </wps:bodyPr>
                            </wps:wsp>
                            <wps:wsp>
                              <wps:cNvPr id="77" name="直接连接符 143 77 77 77 77 77"/>
                              <wps:cNvSpPr/>
                              <wps:spPr>
                                <a:xfrm rot="0">
                                  <a:off x="410208" y="2593380"/>
                                  <a:ext cx="1428750" cy="0"/>
                                </a:xfrm>
                                <a:prstGeom prst="line"/>
                                <a:noFill/>
                                <a:ln w="9525" cmpd="sng" cap="flat">
                                  <a:solidFill>
                                    <a:srgbClr val="000000"/>
                                  </a:solidFill>
                                  <a:prstDash val="solid"/>
                                  <a:round/>
                                </a:ln>
                              </wps:spPr>
                              <wps:bodyPr vert="horz" wrap="square" lIns="91440" tIns="45720" rIns="91440" bIns="45720" anchor="t" anchorCtr="0" upright="0">
                                <a:noAutofit/>
                              </wps:bodyPr>
                            </wps:wsp>
                            <wps:wsp>
                              <wps:cNvPr id="78" name="直接箭头连接符 38 78 78 78 78 78"/>
                              <wps:cNvSpPr/>
                              <wps:spPr>
                                <a:xfrm rot="0">
                                  <a:off x="427354" y="2591487"/>
                                  <a:ext cx="6349" cy="351164"/>
                                </a:xfrm>
                                <a:prstGeom prst="straightConnector1"/>
                                <a:noFill/>
                                <a:ln w="9525" cmpd="sng" cap="flat">
                                  <a:solidFill>
                                    <a:srgbClr val="000000"/>
                                  </a:solidFill>
                                  <a:prstDash val="solid"/>
                                  <a:round/>
                                  <a:tailEnd type="triangle" w="med" len="med"/>
                                </a:ln>
                              </wps:spPr>
                              <wps:bodyPr vert="horz" wrap="square" lIns="91440" tIns="45720" rIns="91440" bIns="45720" anchor="t" anchorCtr="0" upright="0">
                                <a:noAutofit/>
                              </wps:bodyPr>
                            </wps:wsp>
                            <wps:wsp>
                              <wps:cNvPr id="79" name="直接箭头连接符 139 79 79 79 79 79"/>
                              <wps:cNvSpPr/>
                              <wps:spPr>
                                <a:xfrm rot="0">
                                  <a:off x="1840228" y="2599101"/>
                                  <a:ext cx="6350" cy="351168"/>
                                </a:xfrm>
                                <a:prstGeom prst="straightConnector1"/>
                                <a:noFill/>
                                <a:ln w="9525" cmpd="sng" cap="flat">
                                  <a:solidFill>
                                    <a:srgbClr val="000000"/>
                                  </a:solidFill>
                                  <a:prstDash val="solid"/>
                                  <a:round/>
                                  <a:tailEnd type="triangle" w="med" len="med"/>
                                </a:ln>
                              </wps:spPr>
                              <wps:bodyPr vert="horz" wrap="square" lIns="91440" tIns="45720" rIns="91440" bIns="45720" anchor="t" anchorCtr="0" upright="0">
                                <a:noAutofit/>
                              </wps:bodyPr>
                            </wps:wsp>
                            <wps:wsp>
                              <wps:cNvPr id="80" name="文本框 142 80 80 80 80 80"/>
                              <wps:cNvSpPr/>
                              <wps:spPr>
                                <a:xfrm rot="0">
                                  <a:off x="0" y="2941410"/>
                                  <a:ext cx="850900" cy="289563"/>
                                </a:xfrm>
                                <a:prstGeom prst="rect"/>
                                <a:noFill/>
                                <a:ln w="9525" cmpd="sng" cap="flat">
                                  <a:solidFill>
                                    <a:srgbClr val="000000"/>
                                  </a:solidFill>
                                  <a:prstDash val="solid"/>
                                  <a:miter/>
                                </a:ln>
                              </wps:spPr>
                              <wps:txbx id="81">
                                <w:txbxContent>
                                  <w:p>
                                    <w:pPr>
                                      <w:jc w:val="center"/>
                                      <w:rPr>
                                        <w:rFonts w:eastAsia="宋体" w:hint="eastAsia"/>
                                        <w:lang w:eastAsia="zh-CN"/>
                                      </w:rPr>
                                    </w:pPr>
                                    <w:r>
                                      <w:rPr>
                                        <w:rFonts w:hint="eastAsia"/>
                                        <w:lang w:eastAsia="zh-CN"/>
                                      </w:rPr>
                                      <w:t>堆码贮存</w:t>
                                    </w:r>
                                  </w:p>
                                </w:txbxContent>
                              </wps:txbx>
                              <wps:bodyPr vert="horz" wrap="square" lIns="91440" tIns="45720" rIns="91440" bIns="45720" anchor="t" anchorCtr="0" upright="1">
                                <a:noAutofit/>
                              </wps:bodyPr>
                            </wps:wsp>
                            <wps:wsp>
                              <wps:cNvPr id="82" name="文本框 135 82 82 82 82 82"/>
                              <wps:cNvSpPr/>
                              <wps:spPr>
                                <a:xfrm rot="0">
                                  <a:off x="1369060" y="2950868"/>
                                  <a:ext cx="921385" cy="289561"/>
                                </a:xfrm>
                                <a:prstGeom prst="rect"/>
                                <a:noFill/>
                                <a:ln w="9525" cmpd="sng" cap="flat">
                                  <a:solidFill>
                                    <a:srgbClr val="000000"/>
                                  </a:solidFill>
                                  <a:prstDash val="solid"/>
                                  <a:miter/>
                                </a:ln>
                              </wps:spPr>
                              <wps:txbx id="83">
                                <w:txbxContent>
                                  <w:p>
                                    <w:pPr>
                                      <w:jc w:val="center"/>
                                      <w:rPr>
                                        <w:rFonts w:eastAsia="宋体" w:hint="eastAsia"/>
                                        <w:lang w:eastAsia="zh-CN"/>
                                      </w:rPr>
                                    </w:pPr>
                                    <w:r>
                                      <w:rPr>
                                        <w:rFonts w:hint="eastAsia"/>
                                        <w:lang w:eastAsia="zh-CN"/>
                                      </w:rPr>
                                      <w:t>独立贮存间</w:t>
                                    </w:r>
                                  </w:p>
                                </w:txbxContent>
                              </wps:txbx>
                              <wps:bodyPr vert="horz" wrap="square" lIns="91440" tIns="45720" rIns="91440" bIns="45720" anchor="t" anchorCtr="0" upright="1">
                                <a:noAutofit/>
                              </wps:bodyPr>
                            </wps:wsp>
                            <wps:wsp>
                              <wps:cNvPr id="84" name="直接箭头连接符 141 84 84 84 84 84"/>
                              <wps:cNvSpPr/>
                              <wps:spPr>
                                <a:xfrm rot="0">
                                  <a:off x="1834513" y="3243617"/>
                                  <a:ext cx="6350" cy="351164"/>
                                </a:xfrm>
                                <a:prstGeom prst="straightConnector1"/>
                                <a:noFill/>
                                <a:ln w="9525" cmpd="sng" cap="flat">
                                  <a:solidFill>
                                    <a:srgbClr val="000000"/>
                                  </a:solidFill>
                                  <a:prstDash val="solid"/>
                                  <a:round/>
                                  <a:tailEnd type="triangle" w="med" len="med"/>
                                </a:ln>
                              </wps:spPr>
                              <wps:bodyPr vert="horz" wrap="square" lIns="91440" tIns="45720" rIns="91440" bIns="45720" anchor="t" anchorCtr="0" upright="0">
                                <a:noAutofit/>
                              </wps:bodyPr>
                            </wps:wsp>
                            <wps:wsp>
                              <wps:cNvPr id="85" name="文本框 136 85 85 85 85 85"/>
                              <wps:cNvSpPr/>
                              <wps:spPr>
                                <a:xfrm rot="0">
                                  <a:off x="1202689" y="2361636"/>
                                  <a:ext cx="661670" cy="297823"/>
                                </a:xfrm>
                                <a:prstGeom prst="rect"/>
                                <a:noFill/>
                                <a:ln cmpd="sng" cap="flat">
                                  <a:noFill/>
                                  <a:prstDash val="solid"/>
                                  <a:round/>
                                </a:ln>
                              </wps:spPr>
                              <wps:txbx id="86">
                                <w:txbxContent>
                                  <w:p>
                                    <w:pPr>
                                      <w:jc w:val="center"/>
                                      <w:rPr>
                                        <w:rFonts w:eastAsia="宋体" w:hint="eastAsia"/>
                                        <w:lang w:eastAsia="zh-CN"/>
                                      </w:rPr>
                                    </w:pPr>
                                    <w:r>
                                      <w:rPr>
                                        <w:rFonts w:hint="eastAsia"/>
                                        <w:lang w:eastAsia="zh-CN"/>
                                      </w:rPr>
                                      <w:t>破损</w:t>
                                    </w:r>
                                  </w:p>
                                </w:txbxContent>
                              </wps:txbx>
                              <wps:bodyPr vert="horz" wrap="square" lIns="91440" tIns="45720" rIns="91440" bIns="45720" anchor="t" anchorCtr="0" upright="1">
                                <a:noAutofit/>
                              </wps:bodyPr>
                            </wps:wsp>
                            <wps:wsp>
                              <wps:cNvPr id="87" name="直接箭头连接符 140 87 87 87 87 87"/>
                              <wps:cNvSpPr/>
                              <wps:spPr>
                                <a:xfrm flipH="1" rot="21600000">
                                  <a:off x="424179" y="3230927"/>
                                  <a:ext cx="1267" cy="344798"/>
                                </a:xfrm>
                                <a:prstGeom prst="straightConnector1"/>
                                <a:noFill/>
                                <a:ln w="9525" cmpd="sng" cap="flat">
                                  <a:solidFill>
                                    <a:srgbClr val="000000"/>
                                  </a:solidFill>
                                  <a:prstDash val="solid"/>
                                  <a:round/>
                                  <a:tailEnd type="triangle" w="med" len="med"/>
                                </a:ln>
                              </wps:spPr>
                              <wps:bodyPr vert="horz" wrap="square" lIns="91440" tIns="45720" rIns="91440" bIns="45720" anchor="t" anchorCtr="0" upright="0">
                                <a:noAutofit/>
                              </wps:bodyPr>
                            </wps:wsp>
                            <wps:wsp>
                              <wps:cNvPr id="88" name="直接箭头连接符 133 88 88 88 88 88"/>
                              <wps:cNvSpPr/>
                              <wps:spPr>
                                <a:xfrm rot="0">
                                  <a:off x="1113790" y="3578957"/>
                                  <a:ext cx="6349" cy="351164"/>
                                </a:xfrm>
                                <a:prstGeom prst="straightConnector1"/>
                                <a:noFill/>
                                <a:ln w="9525" cmpd="sng" cap="flat">
                                  <a:solidFill>
                                    <a:srgbClr val="000000"/>
                                  </a:solidFill>
                                  <a:prstDash val="solid"/>
                                  <a:round/>
                                  <a:tailEnd type="triangle" w="med" len="med"/>
                                </a:ln>
                              </wps:spPr>
                              <wps:bodyPr vert="horz" wrap="square" lIns="91440" tIns="45720" rIns="91440" bIns="45720" anchor="t" anchorCtr="0" upright="0">
                                <a:noAutofit/>
                              </wps:bodyPr>
                            </wps:wsp>
                            <wps:wsp>
                              <wps:cNvPr id="89" name="直接连接符 134 89 89 89 89 89"/>
                              <wps:cNvSpPr/>
                              <wps:spPr>
                                <a:xfrm rot="0">
                                  <a:off x="420369" y="3587171"/>
                                  <a:ext cx="1428750" cy="0"/>
                                </a:xfrm>
                                <a:prstGeom prst="line"/>
                                <a:noFill/>
                                <a:ln w="9525" cmpd="sng" cap="flat">
                                  <a:solidFill>
                                    <a:srgbClr val="000000"/>
                                  </a:solidFill>
                                  <a:prstDash val="solid"/>
                                  <a:round/>
                                </a:ln>
                              </wps:spPr>
                              <wps:bodyPr vert="horz" wrap="square" lIns="91440" tIns="45720" rIns="91440" bIns="45720" anchor="t" anchorCtr="0" upright="0">
                                <a:noAutofit/>
                              </wps:bodyPr>
                            </wps:wsp>
                            <wps:wsp>
                              <wps:cNvPr id="90" name="文本框 132 90 90 90 90 90"/>
                              <wps:cNvSpPr/>
                              <wps:spPr>
                                <a:xfrm rot="0">
                                  <a:off x="694055" y="3942122"/>
                                  <a:ext cx="850900" cy="289563"/>
                                </a:xfrm>
                                <a:prstGeom prst="rect"/>
                                <a:noFill/>
                                <a:ln w="9525" cmpd="sng" cap="flat">
                                  <a:solidFill>
                                    <a:srgbClr val="000000"/>
                                  </a:solidFill>
                                  <a:prstDash val="solid"/>
                                  <a:miter/>
                                </a:ln>
                              </wps:spPr>
                              <wps:txbx id="91">
                                <w:txbxContent>
                                  <w:p>
                                    <w:pPr>
                                      <w:jc w:val="center"/>
                                      <w:rPr>
                                        <w:rFonts w:eastAsia="宋体" w:hint="eastAsia"/>
                                        <w:lang w:eastAsia="zh-CN"/>
                                      </w:rPr>
                                    </w:pPr>
                                    <w:r>
                                      <w:rPr>
                                        <w:rFonts w:hint="eastAsia"/>
                                        <w:lang w:eastAsia="zh-CN"/>
                                      </w:rPr>
                                      <w:t>装车</w:t>
                                    </w:r>
                                  </w:p>
                                </w:txbxContent>
                              </wps:txbx>
                              <wps:bodyPr vert="horz" wrap="square" lIns="91440" tIns="45720" rIns="91440" bIns="45720" anchor="t" anchorCtr="0" upright="1">
                                <a:noAutofit/>
                              </wps:bodyPr>
                            </wps:wsp>
                            <wps:wsp>
                              <wps:cNvPr id="92" name="文本框 155 92 92 92 92 92"/>
                              <wps:cNvSpPr/>
                              <wps:spPr>
                                <a:xfrm rot="0">
                                  <a:off x="1680210" y="2420009"/>
                                  <a:ext cx="1018539" cy="297823"/>
                                </a:xfrm>
                                <a:prstGeom prst="rect"/>
                                <a:noFill/>
                                <a:ln cmpd="sng" cap="flat">
                                  <a:noFill/>
                                  <a:prstDash val="solid"/>
                                  <a:round/>
                                </a:ln>
                              </wps:spPr>
                              <wps:txbx id="93">
                                <w:txbxContent>
                                  <w:p>
                                    <w:pPr>
                                      <w:jc w:val="center"/>
                                      <w:rPr>
                                        <w:rFonts w:eastAsia="宋体"/>
                                        <w:lang w:val="en-US" w:eastAsia="zh-CN"/>
                                      </w:rPr>
                                    </w:pPr>
                                    <w:r>
                                      <w:rPr>
                                        <w:rFonts w:hint="eastAsia"/>
                                        <w:lang w:val="en-US" w:eastAsia="zh-CN"/>
                                      </w:rPr>
                                      <w:t>G、N、S</w:t>
                                    </w:r>
                                  </w:p>
                                </w:txbxContent>
                              </wps:txbx>
                              <wps:bodyPr vert="horz" wrap="square" lIns="91440" tIns="45720" rIns="91440" bIns="45720" anchor="t" anchorCtr="0" upright="1">
                                <a:noAutofit/>
                              </wps:bodyPr>
                            </wps:wsp>
                            <wps:wsp>
                              <wps:cNvPr id="94" name="直接箭头连接符 154 94 94 94 94 94"/>
                              <wps:cNvSpPr/>
                              <wps:spPr>
                                <a:xfrm flipH="1" flipV="1" rot="0">
                                  <a:off x="2099310" y="2654985"/>
                                  <a:ext cx="2538" cy="292746"/>
                                </a:xfrm>
                                <a:prstGeom prst="straightConnector1"/>
                                <a:noFill/>
                                <a:ln w="9525" cmpd="sng" cap="flat">
                                  <a:solidFill>
                                    <a:srgbClr val="000000"/>
                                  </a:solidFill>
                                  <a:prstDash val="dash"/>
                                  <a:round/>
                                  <a:tailEnd type="triangle" w="med" len="med"/>
                                </a:ln>
                              </wps:spPr>
                              <wps:bodyPr vert="horz" wrap="square" lIns="91440" tIns="45720" rIns="91440" bIns="45720" anchor="t" anchorCtr="0" upright="0">
                                <a:noAutofit/>
                              </wps:bodyPr>
                            </wps:wsp>
                            <wps:wsp>
                              <wps:cNvPr id="95" name="直接箭头连接符 156 95 95 95 95 95"/>
                              <wps:cNvSpPr/>
                              <wps:spPr>
                                <a:xfrm flipV="1" rot="21600000">
                                  <a:off x="1339215" y="1699956"/>
                                  <a:ext cx="0" cy="229848"/>
                                </a:xfrm>
                                <a:prstGeom prst="straightConnector1"/>
                                <a:noFill/>
                                <a:ln w="9525" cmpd="sng" cap="flat">
                                  <a:solidFill>
                                    <a:srgbClr val="000000"/>
                                  </a:solidFill>
                                  <a:prstDash val="dash"/>
                                  <a:round/>
                                  <a:tailEnd type="triangle" w="med" len="med"/>
                                </a:ln>
                              </wps:spPr>
                              <wps:bodyPr vert="horz" wrap="square" lIns="91440" tIns="45720" rIns="91440" bIns="45720" anchor="t" anchorCtr="0" upright="0">
                                <a:noAutofit/>
                              </wps:bodyPr>
                            </wps:wsp>
                            <wps:wsp>
                              <wps:cNvPr id="96" name="文本框 157 96 96 96 96 96"/>
                              <wps:cNvSpPr/>
                              <wps:spPr>
                                <a:xfrm rot="0">
                                  <a:off x="905509" y="1479609"/>
                                  <a:ext cx="1018540" cy="297821"/>
                                </a:xfrm>
                                <a:prstGeom prst="rect"/>
                                <a:noFill/>
                                <a:ln cmpd="sng" cap="flat">
                                  <a:noFill/>
                                  <a:prstDash val="solid"/>
                                  <a:round/>
                                </a:ln>
                              </wps:spPr>
                              <wps:txbx id="97">
                                <w:txbxContent>
                                  <w:p>
                                    <w:pPr>
                                      <w:jc w:val="center"/>
                                      <w:rPr>
                                        <w:rFonts w:eastAsia="宋体"/>
                                        <w:lang w:val="en-US" w:eastAsia="zh-CN"/>
                                      </w:rPr>
                                    </w:pPr>
                                    <w:r>
                                      <w:rPr>
                                        <w:rFonts w:hint="eastAsia"/>
                                        <w:lang w:val="en-US" w:eastAsia="zh-CN"/>
                                      </w:rPr>
                                      <w:t>G、S</w:t>
                                    </w:r>
                                  </w:p>
                                </w:txbxContent>
                              </wps:txbx>
                              <wps:bodyPr vert="horz" wrap="square" lIns="91440" tIns="45720" rIns="91440" bIns="45720" anchor="t" anchorCtr="0" upright="1">
                                <a:noAutofit/>
                              </wps:bodyPr>
                            </wps:wsp>
                            <wps:bodyPr vert="horz" wrap="square" lIns="91440" tIns="45720" rIns="91440" bIns="45720" anchor="t" anchorCtr="0" upright="1">
                              <a:noAutofit/>
                            </wps:bodyPr>
                          </wpg:wgp>
                        </a:graphicData>
                      </a:graphic>
                    </wp:anchor>
                  </w:drawing>
                </mc:Choice>
                <mc:Fallback>
                  <w:pict>
                    <v:group type="#_x0000_t1" id="组合 98" o:spid="_x0000_s98" coordorigin="4997,8779" coordsize="4249,6664" style="position:absolute;margin-left:137.1pt;margin-top:7.1000004pt;width:212.49994pt;height:333.20355pt;z-index:204;mso-position-horizontal:absolute;mso-position-vertical:absolute;">
                      <v:rect type="#_x0000_t1" id="_s99" o:spid="_x0000_s99" style="position:absolute;left:5602;top:12498;width:1041;height:469;mso-wrap-style:square;" filled="f" stroked="f" strokeweight="-1.0pt">
                        <v:textbox id="859" inset="2.54mm,1.27mm,2.54mm,1.27mm" o:insetmode="custom" style="layout-flow:horizontal;v-text-anchor:top;">
                          <w:txbxContent>
                            <w:p>
                              <w:pPr>
                                <w:jc w:val="center"/>
                                <w:rPr>
                                  <w:rFonts w:eastAsia="宋体" w:hint="eastAsia"/>
                                  <w:lang w:eastAsia="zh-CN"/>
                                </w:rPr>
                              </w:pPr>
                              <w:r>
                                <w:rPr>
                                  <w:rFonts w:hint="eastAsia"/>
                                  <w:lang w:eastAsia="zh-CN"/>
                                </w:rPr>
                                <w:t>完整</w:t>
                              </w:r>
                            </w:p>
                          </w:txbxContent>
                        </v:textbox>
                        <v:stroke/>
                      </v:rect>
                      <v:rect type="#_x0000_t1" id="_s100" o:spid="_x0000_s100" style="position:absolute;left:5891;top:8779;width:1728;height:444;mso-wrap-style:square;" filled="f" stroked="f" strokeweight="-1.0pt">
                        <v:textbox id="860" inset="2.54mm,1.27mm,2.54mm,1.27mm" o:insetmode="custom" style="layout-flow:horizontal;v-text-anchor:top;">
                          <w:txbxContent>
                            <w:p>
                              <w:pPr>
                                <w:jc w:val="center"/>
                                <w:rPr>
                                  <w:rFonts w:eastAsia="宋体" w:hint="eastAsia"/>
                                  <w:lang w:eastAsia="zh-CN"/>
                                </w:rPr>
                              </w:pPr>
                              <w:r>
                                <w:rPr>
                                  <w:rFonts w:hint="eastAsia"/>
                                  <w:lang w:eastAsia="zh-CN"/>
                                </w:rPr>
                                <w:t>废旧铅酸蓄电池</w:t>
                              </w:r>
                            </w:p>
                          </w:txbxContent>
                        </v:textbox>
                        <v:stroke/>
                      </v:rect>
                      <v:shape type="#_x0000_t32" id="直接箭头连接符 138 67 67 67 67 67" o:spid="_x0000_s101" style="position:absolute;left:6755;top:9205;width:10;height:553;" filled="f" stroked="t">
                        <v:stroke color="#000000" endarrow="block"/>
                      </v:shape>
                      <v:rect type="#_x0000_t1" id="_s102" o:spid="_x0000_s102" style="position:absolute;left:5700;top:9779;width:2101;height:467;mso-wrap-style:square;" filled="f" stroked="t">
                        <v:textbox id="861" inset="2.54mm,1.27mm,2.54mm,1.27mm" o:insetmode="custom" style="layout-flow:horizontal;v-text-anchor:top;">
                          <w:txbxContent>
                            <w:p>
                              <w:pPr>
                                <w:jc w:val="center"/>
                                <w:rPr>
                                  <w:rFonts w:eastAsia="宋体" w:hint="eastAsia"/>
                                  <w:lang w:eastAsia="zh-CN"/>
                                </w:rPr>
                              </w:pPr>
                              <w:r>
                                <w:rPr>
                                  <w:rFonts w:hint="eastAsia"/>
                                  <w:lang w:eastAsia="zh-CN"/>
                                </w:rPr>
                                <w:t>过磅、检查和记录</w:t>
                              </w:r>
                            </w:p>
                          </w:txbxContent>
                        </v:textbox>
                        <v:stroke color="#000000"/>
                      </v:rect>
                      <v:shape type="#_x0000_t32" id="直接箭头连接符 148 70 70 70 70 70" o:spid="_x0000_s103" style="position:absolute;left:6758;top:10247;width:10;height:371;" filled="f" stroked="t">
                        <v:stroke color="#000000" endarrow="block"/>
                      </v:shape>
                      <v:rect type="#_x0000_t1" id="_s104" o:spid="_x0000_s104" style="position:absolute;left:5932;top:10643;width:1629;height:456;mso-wrap-style:square;" filled="f" stroked="t">
                        <v:textbox id="862" inset="2.54mm,1.27mm,2.54mm,1.27mm" o:insetmode="custom" style="layout-flow:horizontal;v-text-anchor:top;">
                          <w:txbxContent>
                            <w:p>
                              <w:pPr>
                                <w:jc w:val="center"/>
                                <w:rPr>
                                  <w:rFonts w:eastAsia="宋体" w:hint="eastAsia"/>
                                  <w:lang w:eastAsia="zh-CN"/>
                                </w:rPr>
                              </w:pPr>
                              <w:r>
                                <w:rPr>
                                  <w:rFonts w:hint="eastAsia"/>
                                  <w:lang w:eastAsia="zh-CN"/>
                                </w:rPr>
                                <w:t>转运至库房</w:t>
                              </w:r>
                            </w:p>
                          </w:txbxContent>
                        </v:textbox>
                        <v:stroke color="#000000"/>
                      </v:rect>
                      <v:shape type="#_x0000_t32" id="直接箭头连接符 146 73 73 73 73 73" o:spid="_x0000_s105" style="position:absolute;left:6743;top:11099;width:4;height:734;flip:x;" filled="f" stroked="t">
                        <v:stroke color="#000000" endarrow="block"/>
                      </v:shape>
                      <v:rect type="#_x0000_t1" id="_s106" o:spid="_x0000_s106" style="position:absolute;left:6234;top:11833;width:1016;height:456;mso-wrap-style:square;" filled="f" stroked="t">
                        <v:textbox id="863" inset="2.54mm,1.27mm,2.54mm,1.27mm" o:insetmode="custom" style="layout-flow:horizontal;v-text-anchor:top;">
                          <w:txbxContent>
                            <w:p>
                              <w:pPr>
                                <w:jc w:val="center"/>
                                <w:rPr>
                                  <w:rFonts w:eastAsia="宋体" w:hint="eastAsia"/>
                                  <w:lang w:eastAsia="zh-CN"/>
                                </w:rPr>
                              </w:pPr>
                              <w:r>
                                <w:rPr>
                                  <w:rFonts w:hint="eastAsia"/>
                                  <w:lang w:eastAsia="zh-CN"/>
                                </w:rPr>
                                <w:t>分类</w:t>
                              </w:r>
                            </w:p>
                          </w:txbxContent>
                        </v:textbox>
                        <v:stroke color="#000000"/>
                      </v:rect>
                      <v:shape type="#_x0000_t32" id="直接箭头连接符 144 76 76 76 76 76" o:spid="_x0000_s107" style="position:absolute;left:6738;top:12289;width:10;height:553;" filled="f" stroked="t">
                        <v:stroke color="#000000" endarrow="block"/>
                      </v:shape>
                      <v:line type="#_x0000_t20" id="直接连接符 143 77 77 77 77 77" o:spid="_x0000_s108" style="position:absolute;visibility:visible;" from="5643.3916,12863.064" to="7893.3916,12863.064" filled="f" stroked="t">
                        <v:stroke color="#000000"/>
                      </v:line>
                      <v:shape type="#_x0000_t32" id="直接箭头连接符 38 78 78 78 78 78" o:spid="_x0000_s109" style="position:absolute;left:5670;top:12860;width:10;height:553;" filled="f" stroked="t">
                        <v:stroke color="#000000" endarrow="block"/>
                      </v:shape>
                      <v:shape type="#_x0000_t32" id="直接箭头连接符 139 79 79 79 79 79" o:spid="_x0000_s110" style="position:absolute;left:7895;top:12872;width:10;height:553;" filled="f" stroked="t">
                        <v:stroke color="#000000" endarrow="block"/>
                      </v:shape>
                      <v:rect type="#_x0000_t1" id="_s111" o:spid="_x0000_s111" style="position:absolute;left:4997;top:13411;width:1340;height:456;mso-wrap-style:square;" filled="f" stroked="t">
                        <v:textbox id="864" inset="2.54mm,1.27mm,2.54mm,1.27mm" o:insetmode="custom" style="layout-flow:horizontal;v-text-anchor:top;">
                          <w:txbxContent>
                            <w:p>
                              <w:pPr>
                                <w:jc w:val="center"/>
                                <w:rPr>
                                  <w:rFonts w:eastAsia="宋体" w:hint="eastAsia"/>
                                  <w:lang w:eastAsia="zh-CN"/>
                                </w:rPr>
                              </w:pPr>
                              <w:r>
                                <w:rPr>
                                  <w:rFonts w:hint="eastAsia"/>
                                  <w:lang w:eastAsia="zh-CN"/>
                                </w:rPr>
                                <w:t>堆码贮存</w:t>
                              </w:r>
                            </w:p>
                          </w:txbxContent>
                        </v:textbox>
                        <v:stroke color="#000000"/>
                      </v:rect>
                      <v:rect type="#_x0000_t1" id="_s112" o:spid="_x0000_s112" style="position:absolute;left:7153;top:13426;width:1451;height:456;mso-wrap-style:square;" filled="f" stroked="t">
                        <v:textbox id="865" inset="2.54mm,1.27mm,2.54mm,1.27mm" o:insetmode="custom" style="layout-flow:horizontal;v-text-anchor:top;">
                          <w:txbxContent>
                            <w:p>
                              <w:pPr>
                                <w:jc w:val="center"/>
                                <w:rPr>
                                  <w:rFonts w:eastAsia="宋体" w:hint="eastAsia"/>
                                  <w:lang w:eastAsia="zh-CN"/>
                                </w:rPr>
                              </w:pPr>
                              <w:r>
                                <w:rPr>
                                  <w:rFonts w:hint="eastAsia"/>
                                  <w:lang w:eastAsia="zh-CN"/>
                                </w:rPr>
                                <w:t>独立贮存间</w:t>
                              </w:r>
                            </w:p>
                          </w:txbxContent>
                        </v:textbox>
                        <v:stroke color="#000000"/>
                      </v:rect>
                      <v:shape type="#_x0000_t32" id="直接箭头连接符 141 84 84 84 84 84" o:spid="_x0000_s113" style="position:absolute;left:7886;top:13887;width:10;height:553;" filled="f" stroked="t">
                        <v:stroke color="#000000" endarrow="block"/>
                      </v:shape>
                      <v:rect type="#_x0000_t1" id="_s114" o:spid="_x0000_s114" style="position:absolute;left:6891;top:12498;width:1042;height:469;mso-wrap-style:square;" filled="f" stroked="f" strokeweight="-1.0pt">
                        <v:textbox id="866" inset="2.54mm,1.27mm,2.54mm,1.27mm" o:insetmode="custom" style="layout-flow:horizontal;v-text-anchor:top;">
                          <w:txbxContent>
                            <w:p>
                              <w:pPr>
                                <w:jc w:val="center"/>
                                <w:rPr>
                                  <w:rFonts w:eastAsia="宋体" w:hint="eastAsia"/>
                                  <w:lang w:eastAsia="zh-CN"/>
                                </w:rPr>
                              </w:pPr>
                              <w:r>
                                <w:rPr>
                                  <w:rFonts w:hint="eastAsia"/>
                                  <w:lang w:eastAsia="zh-CN"/>
                                </w:rPr>
                                <w:t>破损</w:t>
                              </w:r>
                            </w:p>
                          </w:txbxContent>
                        </v:textbox>
                        <v:stroke/>
                      </v:rect>
                      <v:shape type="#_x0000_t32" id="直接箭头连接符 140 87 87 87 87 87" o:spid="_x0000_s115" style="position:absolute;left:5665;top:13867;width:2;height:543;flip:x;" filled="f" stroked="t">
                        <v:stroke color="#000000" endarrow="block"/>
                      </v:shape>
                      <v:shape type="#_x0000_t32" id="直接箭头连接符 133 88 88 88 88 88" o:spid="_x0000_s116" style="position:absolute;left:6751;top:14415;width:10;height:553;" filled="f" stroked="t">
                        <v:stroke color="#000000" endarrow="block"/>
                      </v:shape>
                      <v:line type="#_x0000_t20" id="直接连接符 134 89 89 89 89 89" o:spid="_x0000_s117" style="position:absolute;visibility:visible;" from="5659.3936,14428.088" to="7909.3936,14428.088" filled="f" stroked="t">
                        <v:stroke color="#000000"/>
                      </v:line>
                      <v:rect type="#_x0000_t1" id="_s118" o:spid="_x0000_s118" style="position:absolute;left:6090;top:14987;width:1340;height:456;mso-wrap-style:square;" filled="f" stroked="t">
                        <v:textbox id="867" inset="2.54mm,1.27mm,2.54mm,1.27mm" o:insetmode="custom" style="layout-flow:horizontal;v-text-anchor:top;">
                          <w:txbxContent>
                            <w:p>
                              <w:pPr>
                                <w:jc w:val="center"/>
                                <w:rPr>
                                  <w:rFonts w:eastAsia="宋体" w:hint="eastAsia"/>
                                  <w:lang w:eastAsia="zh-CN"/>
                                </w:rPr>
                              </w:pPr>
                              <w:r>
                                <w:rPr>
                                  <w:rFonts w:hint="eastAsia"/>
                                  <w:lang w:eastAsia="zh-CN"/>
                                </w:rPr>
                                <w:t>装车</w:t>
                              </w:r>
                            </w:p>
                          </w:txbxContent>
                        </v:textbox>
                        <v:stroke color="#000000"/>
                      </v:rect>
                      <v:rect type="#_x0000_t1" id="_s119" o:spid="_x0000_s119" style="position:absolute;left:7643;top:12590;width:1603;height:469;mso-wrap-style:square;" filled="f" stroked="f" strokeweight="-1.0pt">
                        <v:textbox id="868" inset="2.54mm,1.27mm,2.54mm,1.27mm" o:insetmode="custom" style="layout-flow:horizontal;v-text-anchor:top;">
                          <w:txbxContent>
                            <w:p>
                              <w:pPr>
                                <w:jc w:val="center"/>
                                <w:rPr>
                                  <w:rFonts w:eastAsia="宋体"/>
                                  <w:lang w:val="en-US" w:eastAsia="zh-CN"/>
                                </w:rPr>
                              </w:pPr>
                              <w:r>
                                <w:rPr>
                                  <w:rFonts w:hint="eastAsia"/>
                                  <w:lang w:val="en-US" w:eastAsia="zh-CN"/>
                                </w:rPr>
                                <w:t>G、N、S</w:t>
                              </w:r>
                            </w:p>
                          </w:txbxContent>
                        </v:textbox>
                        <v:stroke/>
                      </v:rect>
                      <v:shape type="#_x0000_t32" id="直接箭头连接符 154 94 94 94 94 94" o:spid="_x0000_s120" style="position:absolute;left:8303;top:12960;width:4;height:461;flip:x y;" filled="f" stroked="t">
                        <v:stroke dashstyle="dash" color="#000000" endarrow="block"/>
                      </v:shape>
                      <v:shape type="#_x0000_t32" id="直接箭头连接符 156 95 95 95 95 95" o:spid="_x0000_s121" style="position:absolute;left:7106;top:11456;width:0;height:362;flip:y;" filled="f" stroked="t">
                        <v:stroke dashstyle="dash" color="#000000" endarrow="block"/>
                      </v:shape>
                      <v:rect type="#_x0000_t1" id="_s122" o:spid="_x0000_s122" style="position:absolute;left:6423;top:11109;width:1604;height:469;mso-wrap-style:square;" filled="f" stroked="f" strokeweight="-1.0pt">
                        <v:textbox id="869" inset="2.54mm,1.27mm,2.54mm,1.27mm" o:insetmode="custom" style="layout-flow:horizontal;v-text-anchor:top;">
                          <w:txbxContent>
                            <w:p>
                              <w:pPr>
                                <w:jc w:val="center"/>
                                <w:rPr>
                                  <w:rFonts w:eastAsia="宋体"/>
                                  <w:lang w:val="en-US" w:eastAsia="zh-CN"/>
                                </w:rPr>
                              </w:pPr>
                              <w:r>
                                <w:rPr>
                                  <w:rFonts w:hint="eastAsia"/>
                                  <w:lang w:val="en-US" w:eastAsia="zh-CN"/>
                                </w:rPr>
                                <w:t>G、S</w:t>
                              </w:r>
                            </w:p>
                          </w:txbxContent>
                        </v:textbox>
                        <v:stroke/>
                      </v:rect>
                    </v:group>
                  </w:pict>
                </mc:Fallback>
              </mc:AlternateContent>
            </w:r>
            <w:r>
              <w:rPr>
                <w:rFonts w:ascii="Times New Roman" w:cs="Times New Roman" w:hAnsi="Times New Roman" w:hint="eastAsia"/>
                <w:color w:val="auto"/>
                <w:sz w:val="24"/>
                <w:lang w:eastAsia="zh-CN"/>
                <w:highlight w:val="none"/>
              </w:rPr>
              <w:tab/>
            </w:r>
          </w:p>
          <w:p>
            <w:pPr>
              <w:pStyle w:val="17"/>
              <w:keepNext w:val="0"/>
              <w:keepLines w:val="0"/>
              <w:pageBreakBefore w:val="0"/>
              <w:widowControl/>
              <w:kinsoku/>
              <w:wordWrap/>
              <w:overflowPunct/>
              <w:topLinePunct w:val="0"/>
              <w:autoSpaceDE/>
              <w:autoSpaceDN/>
              <w:bidi w:val="0"/>
              <w:adjustRightInd/>
              <w:snapToGrid/>
              <w:spacing w:line="240" w:lineRule="auto"/>
              <w:ind w:firstLineChars="200" w:firstLine="480"/>
              <w:textAlignment w:val="auto"/>
              <w:rPr>
                <w:rFonts w:ascii="Times New Roman" w:cs="Times New Roman" w:hAnsi="Times New Roman"/>
                <w:color w:val="auto"/>
                <w:sz w:val="24"/>
                <w:highlight w:val="none"/>
              </w:rPr>
            </w:pPr>
          </w:p>
          <w:p>
            <w:pPr>
              <w:pStyle w:val="17"/>
              <w:keepNext w:val="0"/>
              <w:keepLines w:val="0"/>
              <w:pageBreakBefore w:val="0"/>
              <w:widowControl/>
              <w:kinsoku/>
              <w:wordWrap/>
              <w:overflowPunct/>
              <w:topLinePunct w:val="0"/>
              <w:autoSpaceDE/>
              <w:autoSpaceDN/>
              <w:bidi w:val="0"/>
              <w:adjustRightInd/>
              <w:snapToGrid/>
              <w:spacing w:line="240" w:lineRule="auto"/>
              <w:ind w:firstLineChars="200" w:firstLine="480"/>
              <w:textAlignment w:val="auto"/>
              <w:rPr>
                <w:rFonts w:ascii="Times New Roman" w:cs="Times New Roman" w:hAnsi="Times New Roman"/>
                <w:color w:val="auto"/>
                <w:sz w:val="24"/>
                <w:highlight w:val="none"/>
              </w:rPr>
            </w:pPr>
          </w:p>
          <w:p>
            <w:pPr>
              <w:pStyle w:val="17"/>
              <w:keepNext w:val="0"/>
              <w:keepLines w:val="0"/>
              <w:pageBreakBefore w:val="0"/>
              <w:widowControl/>
              <w:kinsoku/>
              <w:wordWrap/>
              <w:overflowPunct/>
              <w:topLinePunct w:val="0"/>
              <w:autoSpaceDE/>
              <w:autoSpaceDN/>
              <w:bidi w:val="0"/>
              <w:adjustRightInd/>
              <w:snapToGrid/>
              <w:spacing w:line="240" w:lineRule="auto"/>
              <w:ind w:firstLineChars="200" w:firstLine="480"/>
              <w:textAlignment w:val="auto"/>
              <w:rPr>
                <w:rFonts w:ascii="Times New Roman" w:cs="Times New Roman" w:hAnsi="Times New Roman"/>
                <w:color w:val="auto"/>
                <w:sz w:val="24"/>
                <w:highlight w:val="none"/>
              </w:rPr>
            </w:pPr>
          </w:p>
          <w:p>
            <w:pPr>
              <w:pStyle w:val="17"/>
              <w:keepNext w:val="0"/>
              <w:keepLines w:val="0"/>
              <w:pageBreakBefore w:val="0"/>
              <w:widowControl/>
              <w:kinsoku/>
              <w:wordWrap/>
              <w:overflowPunct/>
              <w:topLinePunct w:val="0"/>
              <w:autoSpaceDE/>
              <w:autoSpaceDN/>
              <w:bidi w:val="0"/>
              <w:adjustRightInd/>
              <w:snapToGrid/>
              <w:spacing w:line="240" w:lineRule="auto"/>
              <w:ind w:firstLineChars="200" w:firstLine="480"/>
              <w:textAlignment w:val="auto"/>
              <w:rPr>
                <w:rFonts w:ascii="Times New Roman" w:cs="Times New Roman" w:hAnsi="Times New Roman"/>
                <w:color w:val="auto"/>
                <w:sz w:val="24"/>
                <w:highlight w:val="none"/>
              </w:rPr>
            </w:pPr>
          </w:p>
          <w:p>
            <w:pPr>
              <w:pStyle w:val="17"/>
              <w:keepNext w:val="0"/>
              <w:keepLines w:val="0"/>
              <w:pageBreakBefore w:val="0"/>
              <w:widowControl/>
              <w:kinsoku/>
              <w:wordWrap/>
              <w:overflowPunct/>
              <w:topLinePunct w:val="0"/>
              <w:autoSpaceDE/>
              <w:autoSpaceDN/>
              <w:bidi w:val="0"/>
              <w:adjustRightInd/>
              <w:snapToGrid/>
              <w:spacing w:line="240" w:lineRule="auto"/>
              <w:ind w:firstLineChars="200" w:firstLine="480"/>
              <w:textAlignment w:val="auto"/>
              <w:rPr>
                <w:rFonts w:ascii="Times New Roman" w:cs="Times New Roman" w:hAnsi="Times New Roman"/>
                <w:color w:val="auto"/>
                <w:sz w:val="24"/>
                <w:highlight w:val="none"/>
              </w:rPr>
            </w:pPr>
          </w:p>
          <w:p>
            <w:pPr>
              <w:pStyle w:val="17"/>
              <w:keepNext w:val="0"/>
              <w:keepLines w:val="0"/>
              <w:pageBreakBefore w:val="0"/>
              <w:widowControl/>
              <w:kinsoku/>
              <w:wordWrap/>
              <w:overflowPunct/>
              <w:topLinePunct w:val="0"/>
              <w:autoSpaceDE/>
              <w:autoSpaceDN/>
              <w:bidi w:val="0"/>
              <w:adjustRightInd/>
              <w:snapToGrid/>
              <w:spacing w:line="240" w:lineRule="auto"/>
              <w:ind w:firstLineChars="200" w:firstLine="480"/>
              <w:textAlignment w:val="auto"/>
              <w:rPr>
                <w:rFonts w:ascii="Times New Roman" w:cs="Times New Roman" w:hAnsi="Times New Roman"/>
                <w:color w:val="auto"/>
                <w:sz w:val="24"/>
                <w:highlight w:val="none"/>
              </w:rPr>
            </w:pPr>
          </w:p>
          <w:p>
            <w:pPr>
              <w:pStyle w:val="17"/>
              <w:keepNext w:val="0"/>
              <w:keepLines w:val="0"/>
              <w:pageBreakBefore w:val="0"/>
              <w:widowControl/>
              <w:kinsoku/>
              <w:wordWrap/>
              <w:overflowPunct/>
              <w:topLinePunct w:val="0"/>
              <w:autoSpaceDE/>
              <w:autoSpaceDN/>
              <w:bidi w:val="0"/>
              <w:adjustRightInd/>
              <w:snapToGrid/>
              <w:spacing w:line="240" w:lineRule="auto"/>
              <w:ind w:firstLineChars="200" w:firstLine="480"/>
              <w:textAlignment w:val="auto"/>
              <w:rPr>
                <w:rFonts w:ascii="Times New Roman" w:cs="Times New Roman" w:hAnsi="Times New Roman"/>
                <w:color w:val="auto"/>
                <w:sz w:val="24"/>
                <w:highlight w:val="none"/>
              </w:rPr>
            </w:pPr>
          </w:p>
          <w:p>
            <w:pPr>
              <w:pStyle w:val="17"/>
              <w:keepNext w:val="0"/>
              <w:keepLines w:val="0"/>
              <w:pageBreakBefore w:val="0"/>
              <w:widowControl/>
              <w:kinsoku/>
              <w:wordWrap/>
              <w:overflowPunct/>
              <w:topLinePunct w:val="0"/>
              <w:autoSpaceDE/>
              <w:autoSpaceDN/>
              <w:bidi w:val="0"/>
              <w:adjustRightInd/>
              <w:snapToGrid/>
              <w:spacing w:line="240" w:lineRule="auto"/>
              <w:ind w:firstLineChars="200" w:firstLine="480"/>
              <w:textAlignment w:val="auto"/>
              <w:rPr>
                <w:rFonts w:ascii="Times New Roman" w:cs="Times New Roman" w:hAnsi="Times New Roman"/>
                <w:color w:val="auto"/>
                <w:sz w:val="24"/>
                <w:highlight w:val="none"/>
              </w:rPr>
            </w:pPr>
          </w:p>
          <w:p>
            <w:pPr>
              <w:pStyle w:val="17"/>
              <w:keepNext w:val="0"/>
              <w:keepLines w:val="0"/>
              <w:pageBreakBefore w:val="0"/>
              <w:widowControl/>
              <w:kinsoku/>
              <w:wordWrap/>
              <w:overflowPunct/>
              <w:topLinePunct w:val="0"/>
              <w:autoSpaceDE/>
              <w:autoSpaceDN/>
              <w:bidi w:val="0"/>
              <w:adjustRightInd/>
              <w:snapToGrid/>
              <w:spacing w:line="240" w:lineRule="auto"/>
              <w:ind w:firstLineChars="200" w:firstLine="480"/>
              <w:textAlignment w:val="auto"/>
              <w:rPr>
                <w:rFonts w:ascii="Times New Roman" w:cs="Times New Roman" w:hAnsi="Times New Roman"/>
                <w:color w:val="auto"/>
                <w:sz w:val="24"/>
                <w:highlight w:val="none"/>
              </w:rPr>
            </w:pPr>
          </w:p>
          <w:p>
            <w:pPr>
              <w:pStyle w:val="17"/>
              <w:keepNext w:val="0"/>
              <w:keepLines w:val="0"/>
              <w:pageBreakBefore w:val="0"/>
              <w:widowControl/>
              <w:kinsoku/>
              <w:wordWrap/>
              <w:overflowPunct/>
              <w:topLinePunct w:val="0"/>
              <w:autoSpaceDE/>
              <w:autoSpaceDN/>
              <w:bidi w:val="0"/>
              <w:adjustRightInd/>
              <w:snapToGrid/>
              <w:spacing w:line="240" w:lineRule="auto"/>
              <w:ind w:firstLineChars="200" w:firstLine="480"/>
              <w:textAlignment w:val="auto"/>
              <w:rPr>
                <w:rFonts w:ascii="Times New Roman" w:cs="Times New Roman" w:hAnsi="Times New Roman"/>
                <w:color w:val="auto"/>
                <w:sz w:val="24"/>
                <w:highlight w:val="none"/>
              </w:rPr>
            </w:pPr>
          </w:p>
          <w:p>
            <w:pPr>
              <w:pStyle w:val="17"/>
              <w:keepNext w:val="0"/>
              <w:keepLines w:val="0"/>
              <w:pageBreakBefore w:val="0"/>
              <w:widowControl/>
              <w:kinsoku/>
              <w:wordWrap/>
              <w:overflowPunct/>
              <w:topLinePunct w:val="0"/>
              <w:autoSpaceDE/>
              <w:autoSpaceDN/>
              <w:bidi w:val="0"/>
              <w:adjustRightInd/>
              <w:snapToGrid/>
              <w:spacing w:line="240" w:lineRule="auto"/>
              <w:ind w:firstLineChars="200" w:firstLine="480"/>
              <w:textAlignment w:val="auto"/>
              <w:rPr>
                <w:rFonts w:ascii="Times New Roman" w:cs="Times New Roman" w:hAnsi="Times New Roman"/>
                <w:color w:val="auto"/>
                <w:sz w:val="24"/>
                <w:highlight w:val="none"/>
              </w:rPr>
            </w:pPr>
          </w:p>
          <w:p>
            <w:pPr>
              <w:pStyle w:val="17"/>
              <w:keepNext w:val="0"/>
              <w:keepLines w:val="0"/>
              <w:pageBreakBefore w:val="0"/>
              <w:widowControl/>
              <w:kinsoku/>
              <w:wordWrap/>
              <w:overflowPunct/>
              <w:topLinePunct w:val="0"/>
              <w:autoSpaceDE/>
              <w:autoSpaceDN/>
              <w:bidi w:val="0"/>
              <w:adjustRightInd/>
              <w:snapToGrid/>
              <w:spacing w:line="240" w:lineRule="auto"/>
              <w:ind w:firstLineChars="200" w:firstLine="480"/>
              <w:textAlignment w:val="auto"/>
              <w:rPr>
                <w:rFonts w:ascii="Times New Roman" w:cs="Times New Roman" w:hAnsi="Times New Roman"/>
                <w:color w:val="auto"/>
                <w:sz w:val="24"/>
                <w:highlight w:val="none"/>
              </w:rPr>
            </w:pPr>
          </w:p>
          <w:p>
            <w:pPr>
              <w:pStyle w:val="17"/>
              <w:keepNext w:val="0"/>
              <w:keepLines w:val="0"/>
              <w:pageBreakBefore w:val="0"/>
              <w:widowControl/>
              <w:kinsoku/>
              <w:wordWrap/>
              <w:overflowPunct/>
              <w:topLinePunct w:val="0"/>
              <w:autoSpaceDE/>
              <w:autoSpaceDN/>
              <w:bidi w:val="0"/>
              <w:adjustRightInd/>
              <w:snapToGrid/>
              <w:spacing w:line="240" w:lineRule="auto"/>
              <w:ind w:firstLineChars="200" w:firstLine="480"/>
              <w:textAlignment w:val="auto"/>
              <w:rPr>
                <w:rFonts w:ascii="Times New Roman" w:cs="Times New Roman" w:hAnsi="Times New Roman"/>
                <w:color w:val="auto"/>
                <w:sz w:val="24"/>
                <w:highlight w:val="none"/>
              </w:rPr>
            </w:pPr>
          </w:p>
          <w:p>
            <w:pPr>
              <w:pStyle w:val="17"/>
              <w:keepNext w:val="0"/>
              <w:keepLines w:val="0"/>
              <w:pageBreakBefore w:val="0"/>
              <w:widowControl/>
              <w:kinsoku/>
              <w:wordWrap/>
              <w:overflowPunct/>
              <w:topLinePunct w:val="0"/>
              <w:autoSpaceDE/>
              <w:autoSpaceDN/>
              <w:bidi w:val="0"/>
              <w:adjustRightInd/>
              <w:snapToGrid/>
              <w:spacing w:line="240" w:lineRule="auto"/>
              <w:ind w:firstLineChars="200" w:firstLine="480"/>
              <w:textAlignment w:val="auto"/>
              <w:rPr>
                <w:rFonts w:ascii="Times New Roman" w:cs="Times New Roman" w:hAnsi="Times New Roman"/>
                <w:color w:val="auto"/>
                <w:sz w:val="24"/>
                <w:highlight w:val="none"/>
              </w:rPr>
            </w:pPr>
          </w:p>
          <w:p>
            <w:pPr>
              <w:pStyle w:val="17"/>
              <w:keepNext w:val="0"/>
              <w:keepLines w:val="0"/>
              <w:pageBreakBefore w:val="0"/>
              <w:widowControl/>
              <w:kinsoku/>
              <w:wordWrap/>
              <w:overflowPunct/>
              <w:topLinePunct w:val="0"/>
              <w:autoSpaceDE/>
              <w:autoSpaceDN/>
              <w:bidi w:val="0"/>
              <w:adjustRightInd/>
              <w:snapToGrid/>
              <w:spacing w:line="240" w:lineRule="auto"/>
              <w:ind w:firstLineChars="200" w:firstLine="480"/>
              <w:textAlignment w:val="auto"/>
              <w:rPr>
                <w:rFonts w:ascii="Times New Roman" w:cs="Times New Roman" w:hAnsi="Times New Roman"/>
                <w:color w:val="auto"/>
                <w:sz w:val="24"/>
                <w:highlight w:val="none"/>
              </w:rPr>
            </w:pPr>
          </w:p>
          <w:p>
            <w:pPr>
              <w:pStyle w:val="17"/>
              <w:keepNext w:val="0"/>
              <w:keepLines w:val="0"/>
              <w:pageBreakBefore w:val="0"/>
              <w:widowControl/>
              <w:kinsoku/>
              <w:wordWrap/>
              <w:overflowPunct/>
              <w:topLinePunct w:val="0"/>
              <w:autoSpaceDE/>
              <w:autoSpaceDN/>
              <w:bidi w:val="0"/>
              <w:adjustRightInd/>
              <w:snapToGrid/>
              <w:spacing w:line="240" w:lineRule="auto"/>
              <w:ind w:firstLineChars="200" w:firstLine="480"/>
              <w:textAlignment w:val="auto"/>
              <w:rPr>
                <w:rFonts w:ascii="Times New Roman" w:cs="Times New Roman" w:hAnsi="Times New Roman"/>
                <w:color w:val="auto"/>
                <w:sz w:val="24"/>
                <w:highlight w:val="none"/>
              </w:rPr>
            </w:pPr>
          </w:p>
          <w:p>
            <w:pPr>
              <w:pStyle w:val="17"/>
              <w:keepNext w:val="0"/>
              <w:keepLines w:val="0"/>
              <w:pageBreakBefore w:val="0"/>
              <w:widowControl/>
              <w:kinsoku/>
              <w:wordWrap/>
              <w:overflowPunct/>
              <w:topLinePunct w:val="0"/>
              <w:autoSpaceDE/>
              <w:autoSpaceDN/>
              <w:bidi w:val="0"/>
              <w:adjustRightInd/>
              <w:snapToGrid/>
              <w:spacing w:line="240" w:lineRule="auto"/>
              <w:ind w:firstLineChars="200" w:firstLine="480"/>
              <w:textAlignment w:val="auto"/>
              <w:rPr>
                <w:rFonts w:ascii="Times New Roman" w:cs="Times New Roman" w:hAnsi="Times New Roman"/>
                <w:color w:val="auto"/>
                <w:sz w:val="24"/>
                <w:highlight w:val="none"/>
              </w:rPr>
            </w:pPr>
          </w:p>
          <w:p>
            <w:pPr>
              <w:pStyle w:val="17"/>
              <w:keepNext w:val="0"/>
              <w:keepLines w:val="0"/>
              <w:pageBreakBefore w:val="0"/>
              <w:widowControl/>
              <w:kinsoku/>
              <w:wordWrap/>
              <w:overflowPunct/>
              <w:topLinePunct w:val="0"/>
              <w:autoSpaceDE/>
              <w:autoSpaceDN/>
              <w:bidi w:val="0"/>
              <w:adjustRightInd/>
              <w:snapToGrid/>
              <w:spacing w:line="240" w:lineRule="auto"/>
              <w:ind w:firstLineChars="200" w:firstLine="480"/>
              <w:textAlignment w:val="auto"/>
              <w:rPr>
                <w:rFonts w:ascii="Times New Roman" w:cs="Times New Roman" w:hAnsi="Times New Roman"/>
                <w:color w:val="auto"/>
                <w:sz w:val="24"/>
                <w:highlight w:val="none"/>
              </w:rPr>
            </w:pPr>
          </w:p>
          <w:p>
            <w:pPr>
              <w:pStyle w:val="17"/>
              <w:keepNext w:val="0"/>
              <w:keepLines w:val="0"/>
              <w:pageBreakBefore w:val="0"/>
              <w:widowControl/>
              <w:kinsoku/>
              <w:wordWrap/>
              <w:overflowPunct/>
              <w:topLinePunct w:val="0"/>
              <w:autoSpaceDE/>
              <w:autoSpaceDN/>
              <w:bidi w:val="0"/>
              <w:adjustRightInd/>
              <w:snapToGrid/>
              <w:spacing w:line="240" w:lineRule="auto"/>
              <w:ind w:firstLineChars="200" w:firstLine="480"/>
              <w:textAlignment w:val="auto"/>
              <w:rPr>
                <w:rFonts w:ascii="Times New Roman" w:cs="Times New Roman" w:hAnsi="Times New Roman"/>
                <w:color w:val="auto"/>
                <w:sz w:val="24"/>
                <w:highlight w:val="none"/>
              </w:rPr>
            </w:pPr>
          </w:p>
          <w:p>
            <w:pPr>
              <w:pStyle w:val="17"/>
              <w:keepNext w:val="0"/>
              <w:keepLines w:val="0"/>
              <w:pageBreakBefore w:val="0"/>
              <w:widowControl/>
              <w:kinsoku/>
              <w:wordWrap/>
              <w:overflowPunct/>
              <w:topLinePunct w:val="0"/>
              <w:autoSpaceDE/>
              <w:autoSpaceDN/>
              <w:bidi w:val="0"/>
              <w:adjustRightInd/>
              <w:snapToGrid/>
              <w:spacing w:line="240" w:lineRule="auto"/>
              <w:ind w:firstLineChars="200" w:firstLine="480"/>
              <w:textAlignment w:val="auto"/>
              <w:rPr>
                <w:rFonts w:ascii="Times New Roman" w:cs="Times New Roman" w:hAnsi="Times New Roman"/>
                <w:color w:val="auto"/>
                <w:sz w:val="24"/>
                <w:highlight w:val="none"/>
              </w:rPr>
            </w:pPr>
          </w:p>
          <w:p>
            <w:pPr>
              <w:pStyle w:val="17"/>
              <w:keepNext w:val="0"/>
              <w:keepLines w:val="0"/>
              <w:pageBreakBefore w:val="0"/>
              <w:widowControl/>
              <w:kinsoku/>
              <w:wordWrap/>
              <w:overflowPunct/>
              <w:topLinePunct w:val="0"/>
              <w:autoSpaceDE/>
              <w:autoSpaceDN/>
              <w:bidi w:val="0"/>
              <w:adjustRightInd/>
              <w:snapToGrid/>
              <w:spacing w:line="240" w:lineRule="auto"/>
              <w:ind w:firstLineChars="200" w:firstLine="480"/>
              <w:textAlignment w:val="auto"/>
              <w:rPr>
                <w:rFonts w:ascii="Times New Roman" w:cs="Times New Roman" w:hAnsi="Times New Roman"/>
                <w:color w:val="auto"/>
                <w:sz w:val="24"/>
                <w:highlight w:val="none"/>
              </w:rPr>
            </w:pPr>
          </w:p>
          <w:p>
            <w:pPr>
              <w:pStyle w:val="17"/>
              <w:keepNext w:val="0"/>
              <w:keepLines w:val="0"/>
              <w:pageBreakBefore w:val="0"/>
              <w:widowControl/>
              <w:kinsoku/>
              <w:wordWrap/>
              <w:overflowPunct/>
              <w:topLinePunct w:val="0"/>
              <w:autoSpaceDE/>
              <w:autoSpaceDN/>
              <w:bidi w:val="0"/>
              <w:adjustRightInd/>
              <w:snapToGrid/>
              <w:spacing w:line="240" w:lineRule="auto"/>
              <w:ind w:firstLineChars="200" w:firstLine="480"/>
              <w:textAlignment w:val="auto"/>
              <w:rPr>
                <w:rFonts w:ascii="Times New Roman" w:cs="Times New Roman" w:hAnsi="Times New Roman"/>
                <w:color w:val="auto"/>
                <w:sz w:val="24"/>
                <w:highlight w:val="none"/>
              </w:rPr>
            </w:pPr>
          </w:p>
          <w:p>
            <w:pPr>
              <w:pStyle w:val="17"/>
              <w:keepNext w:val="0"/>
              <w:keepLines w:val="0"/>
              <w:pageBreakBefore w:val="0"/>
              <w:widowControl/>
              <w:kinsoku/>
              <w:wordWrap/>
              <w:overflowPunct/>
              <w:topLinePunct w:val="0"/>
              <w:autoSpaceDE/>
              <w:autoSpaceDN/>
              <w:bidi w:val="0"/>
              <w:adjustRightInd/>
              <w:snapToGrid/>
              <w:spacing w:line="240" w:lineRule="auto"/>
              <w:ind w:firstLineChars="200" w:firstLine="480"/>
              <w:textAlignment w:val="auto"/>
              <w:rPr>
                <w:rFonts w:ascii="Times New Roman" w:cs="Times New Roman" w:hAnsi="Times New Roman"/>
                <w:color w:val="auto"/>
                <w:sz w:val="24"/>
                <w:highlight w:val="none"/>
              </w:rPr>
            </w:pPr>
          </w:p>
          <w:p>
            <w:pPr>
              <w:pStyle w:val="98"/>
              <w:rPr>
                <w:color w:val="auto"/>
                <w:sz w:val="24"/>
              </w:rPr>
            </w:pPr>
          </w:p>
          <w:p>
            <w:pPr>
              <w:pStyle w:val="98"/>
              <w:rPr>
                <w:color w:val="auto"/>
                <w:sz w:val="24"/>
              </w:rPr>
            </w:pPr>
            <w:r>
              <w:rPr>
                <w:color w:val="auto"/>
                <w:sz w:val="24"/>
              </w:rPr>
              <w:t>图</w:t>
            </w:r>
            <w:r>
              <w:rPr>
                <w:rFonts w:hint="eastAsia"/>
                <w:color w:val="auto"/>
                <w:sz w:val="24"/>
                <w:lang w:val="en-US" w:eastAsia="zh-CN"/>
              </w:rPr>
              <w:t>3</w:t>
            </w:r>
            <w:r>
              <w:rPr>
                <w:rFonts w:hint="eastAsia"/>
                <w:color w:val="auto"/>
                <w:sz w:val="24"/>
              </w:rPr>
              <w:t>-</w:t>
            </w:r>
            <w:r>
              <w:rPr>
                <w:color w:val="auto"/>
                <w:sz w:val="24"/>
              </w:rPr>
              <w:t>1 生产工艺流程图</w:t>
            </w:r>
          </w:p>
          <w:p>
            <w:pPr>
              <w:pStyle w:val="17"/>
              <w:keepNext w:val="0"/>
              <w:keepLines w:val="0"/>
              <w:pageBreakBefore w:val="0"/>
              <w:widowControl/>
              <w:tabs>
                <w:tab w:val="left" w:pos="5474"/>
              </w:tabs>
              <w:kinsoku/>
              <w:wordWrap/>
              <w:overflowPunct/>
              <w:topLinePunct w:val="0"/>
              <w:autoSpaceDE/>
              <w:autoSpaceDN/>
              <w:bidi w:val="0"/>
              <w:adjustRightInd/>
              <w:snapToGrid/>
              <w:spacing w:line="360" w:lineRule="auto"/>
              <w:ind w:firstLineChars="200" w:firstLine="480"/>
              <w:textAlignment w:val="auto"/>
              <w:rPr>
                <w:rFonts w:ascii="Times New Roman" w:eastAsia="宋体" w:cs="Times New Roman" w:hAnsi="Times New Roman"/>
                <w:color w:val="auto"/>
                <w:kern w:val="2"/>
                <w:sz w:val="24"/>
                <w:szCs w:val="20"/>
                <w:lang w:val="en-US" w:eastAsia="zh-CN" w:bidi="ar-SA"/>
              </w:rPr>
            </w:pPr>
            <w:r>
              <w:rPr>
                <w:rFonts w:ascii="Times New Roman" w:eastAsia="宋体" w:cs="Times New Roman" w:hAnsi="Times New Roman"/>
                <w:color w:val="auto"/>
                <w:kern w:val="2"/>
                <w:sz w:val="24"/>
                <w:szCs w:val="20"/>
                <w:lang w:val="en-US" w:eastAsia="zh-CN" w:bidi="ar-SA"/>
              </w:rPr>
              <w:t>项目生产工艺流程简述见下：</w:t>
            </w:r>
            <w:r>
              <w:rPr>
                <w:rFonts w:ascii="Times New Roman" w:cs="Times New Roman" w:hAnsi="Times New Roman" w:hint="eastAsia"/>
                <w:color w:val="auto"/>
                <w:kern w:val="2"/>
                <w:sz w:val="24"/>
                <w:szCs w:val="20"/>
                <w:lang w:val="en-US" w:eastAsia="zh-CN" w:bidi="ar-SA"/>
              </w:rPr>
              <w:tab/>
            </w:r>
          </w:p>
          <w:p>
            <w:pPr>
              <w:pStyle w:val="99"/>
              <w:keepNext w:val="0"/>
              <w:keepLines w:val="0"/>
              <w:pageBreakBefore w:val="0"/>
              <w:kinsoku/>
              <w:wordWrap/>
              <w:overflowPunct/>
              <w:topLinePunct w:val="0"/>
              <w:autoSpaceDE/>
              <w:autoSpaceDN/>
              <w:bidi w:val="0"/>
              <w:adjustRightInd w:val="0"/>
              <w:snapToGrid w:val="0"/>
              <w:spacing w:line="360" w:lineRule="auto"/>
              <w:textAlignment w:val="auto"/>
              <w:rPr>
                <w:rFonts w:cs="Times New Roman" w:hint="eastAsia"/>
                <w:color w:val="auto"/>
              </w:rPr>
            </w:pPr>
            <w:r>
              <w:rPr>
                <w:rFonts w:ascii="Times New Roman" w:eastAsia="宋体" w:cs="Times New Roman" w:hAnsi="Times New Roman" w:hint="eastAsia"/>
                <w:color w:val="auto"/>
                <w:kern w:val="2"/>
                <w:sz w:val="24"/>
                <w:szCs w:val="20"/>
                <w:lang w:val="en-US" w:eastAsia="zh-CN" w:bidi="ar-SA"/>
              </w:rPr>
              <w:t>废电池由专业单位运输至厂区，</w:t>
            </w:r>
            <w:r>
              <w:rPr>
                <w:rFonts w:cs="Times New Roman" w:hint="eastAsia"/>
                <w:color w:val="auto"/>
                <w:kern w:val="2"/>
                <w:sz w:val="24"/>
                <w:szCs w:val="20"/>
                <w:lang w:val="en-US" w:eastAsia="zh-CN" w:bidi="ar-SA"/>
              </w:rPr>
              <w:t>进口处设有监控，智能识别运输车辆，随</w:t>
            </w:r>
            <w:r>
              <w:rPr>
                <w:rFonts w:ascii="Times New Roman" w:eastAsia="宋体" w:cs="Times New Roman" w:hAnsi="Times New Roman" w:hint="eastAsia"/>
                <w:color w:val="auto"/>
                <w:kern w:val="2"/>
                <w:sz w:val="24"/>
                <w:szCs w:val="20"/>
                <w:lang w:val="en-US" w:eastAsia="zh-CN" w:bidi="ar-SA"/>
              </w:rPr>
              <w:t>后进行过磅，同时进行简单的检查和记录，</w:t>
            </w:r>
            <w:r>
              <w:rPr>
                <w:rFonts w:cs="Times New Roman" w:hint="eastAsia"/>
                <w:color w:val="auto"/>
                <w:kern w:val="2"/>
                <w:sz w:val="24"/>
                <w:szCs w:val="20"/>
                <w:lang w:val="en-US" w:eastAsia="zh-CN" w:bidi="ar-SA"/>
              </w:rPr>
              <w:t>过磅后</w:t>
            </w:r>
            <w:r>
              <w:rPr>
                <w:rFonts w:ascii="Times New Roman" w:eastAsia="宋体" w:cs="Times New Roman" w:hAnsi="Times New Roman" w:hint="eastAsia"/>
                <w:color w:val="auto"/>
                <w:kern w:val="2"/>
                <w:sz w:val="24"/>
                <w:szCs w:val="20"/>
                <w:lang w:val="en-US" w:eastAsia="zh-CN" w:bidi="ar-SA"/>
              </w:rPr>
              <w:t>运输至本项目库房。在装卸区用叉车卸</w:t>
            </w:r>
            <w:r>
              <w:rPr>
                <w:rFonts w:cs="Times New Roman" w:hint="eastAsia"/>
                <w:color w:val="auto"/>
              </w:rPr>
              <w:t>车，将装有废电池的托盘运入库房内暂存区，用智能台秤计量称重，建立台帐、入库交接记录。</w:t>
            </w:r>
            <w:r>
              <w:rPr>
                <w:rFonts w:cs="Times New Roman" w:hint="eastAsia"/>
                <w:color w:val="auto"/>
                <w:lang w:eastAsia="zh-CN"/>
              </w:rPr>
              <w:t>同时</w:t>
            </w:r>
            <w:r>
              <w:rPr>
                <w:rFonts w:cs="Times New Roman" w:hint="eastAsia"/>
                <w:color w:val="auto"/>
              </w:rPr>
              <w:t>对废电池进行人工</w:t>
            </w:r>
            <w:r>
              <w:rPr>
                <w:rFonts w:cs="Times New Roman" w:hint="eastAsia"/>
                <w:color w:val="auto"/>
                <w:lang w:eastAsia="zh-CN"/>
              </w:rPr>
              <w:t>分类</w:t>
            </w:r>
            <w:r>
              <w:rPr>
                <w:rFonts w:cs="Times New Roman" w:hint="eastAsia"/>
                <w:color w:val="auto"/>
              </w:rPr>
              <w:t>，将完整的废电池</w:t>
            </w:r>
            <w:r>
              <w:rPr>
                <w:rFonts w:cs="Times New Roman" w:hint="eastAsia"/>
                <w:color w:val="auto"/>
                <w:lang w:eastAsia="zh-CN"/>
              </w:rPr>
              <w:t>（第I类</w:t>
            </w:r>
            <w:r>
              <w:rPr>
                <w:rFonts w:ascii="Times New Roman" w:eastAsia="宋体" w:cs="Times New Roman" w:hAnsi="Times New Roman"/>
                <w:color w:val="auto"/>
                <w:lang w:eastAsia="zh-CN"/>
              </w:rPr>
              <w:t>）</w:t>
            </w:r>
            <w:r>
              <w:rPr>
                <w:rFonts w:cs="Times New Roman" w:hint="eastAsia"/>
                <w:color w:val="auto"/>
              </w:rPr>
              <w:t>放入托盘，</w:t>
            </w:r>
            <w:r>
              <w:rPr>
                <w:rFonts w:cs="Times New Roman" w:hint="eastAsia"/>
                <w:color w:val="auto"/>
                <w:lang w:eastAsia="zh-CN"/>
              </w:rPr>
              <w:t>在贮存区</w:t>
            </w:r>
            <w:r>
              <w:rPr>
                <w:rFonts w:cs="Times New Roman" w:hint="eastAsia"/>
                <w:color w:val="auto"/>
              </w:rPr>
              <w:t>码放整齐。破损电池</w:t>
            </w:r>
            <w:r>
              <w:rPr>
                <w:rFonts w:cs="Times New Roman" w:hint="eastAsia"/>
                <w:color w:val="auto"/>
                <w:lang w:eastAsia="zh-CN"/>
              </w:rPr>
              <w:t>按第II类要求进行处理，</w:t>
            </w:r>
            <w:r>
              <w:rPr>
                <w:rFonts w:cs="Times New Roman" w:hint="eastAsia"/>
                <w:color w:val="auto"/>
              </w:rPr>
              <w:t>用塑料薄膜缠绕后放入耐腐蚀PE桶，加盖盖严</w:t>
            </w:r>
            <w:r>
              <w:rPr>
                <w:rFonts w:cs="Times New Roman" w:hint="eastAsia"/>
                <w:color w:val="auto"/>
                <w:lang w:eastAsia="zh-CN"/>
              </w:rPr>
              <w:t>，并转入独立的破损电池贮存间</w:t>
            </w:r>
            <w:r>
              <w:rPr>
                <w:rFonts w:cs="Times New Roman" w:hint="eastAsia"/>
                <w:color w:val="auto"/>
              </w:rPr>
              <w:t>。贮存的废铅蓄电池由叉车装车</w:t>
            </w:r>
            <w:r>
              <w:rPr>
                <w:rFonts w:cs="Times New Roman" w:hint="eastAsia"/>
                <w:color w:val="auto"/>
                <w:lang w:eastAsia="zh-CN"/>
              </w:rPr>
              <w:t>，</w:t>
            </w:r>
            <w:r>
              <w:rPr>
                <w:rFonts w:cs="Times New Roman" w:hint="eastAsia"/>
                <w:color w:val="auto"/>
              </w:rPr>
              <w:t>装车后</w:t>
            </w:r>
            <w:r>
              <w:rPr>
                <w:rFonts w:cs="Times New Roman" w:hint="eastAsia"/>
                <w:color w:val="auto"/>
                <w:lang w:eastAsia="zh-CN"/>
              </w:rPr>
              <w:t>由专业单位</w:t>
            </w:r>
            <w:r>
              <w:rPr>
                <w:rFonts w:cs="Times New Roman" w:hint="eastAsia"/>
                <w:color w:val="auto"/>
              </w:rPr>
              <w:t>外运至具有相应资质的公司处置、利用。</w:t>
            </w:r>
          </w:p>
          <w:p>
            <w:pPr>
              <w:pStyle w:val="99"/>
              <w:keepNext w:val="0"/>
              <w:keepLines w:val="0"/>
              <w:pageBreakBefore w:val="0"/>
              <w:kinsoku/>
              <w:wordWrap/>
              <w:overflowPunct/>
              <w:topLinePunct w:val="0"/>
              <w:autoSpaceDE/>
              <w:autoSpaceDN/>
              <w:bidi w:val="0"/>
              <w:adjustRightInd w:val="0"/>
              <w:snapToGrid w:val="0"/>
              <w:spacing w:line="360" w:lineRule="auto"/>
              <w:textAlignment w:val="auto"/>
              <w:rPr>
                <w:rFonts w:cs="Times New Roman" w:hint="eastAsia"/>
                <w:color w:val="auto"/>
              </w:rPr>
            </w:pPr>
            <w:r>
              <w:rPr>
                <w:rFonts w:cs="Times New Roman" w:hint="eastAsia"/>
                <w:color w:val="auto"/>
              </w:rPr>
              <w:t>破损电池在</w:t>
            </w:r>
            <w:r>
              <w:rPr>
                <w:rFonts w:cs="Times New Roman" w:hint="eastAsia"/>
                <w:color w:val="auto"/>
                <w:lang w:eastAsia="zh-CN"/>
              </w:rPr>
              <w:t>分类</w:t>
            </w:r>
            <w:r>
              <w:rPr>
                <w:rFonts w:cs="Times New Roman" w:hint="eastAsia"/>
                <w:color w:val="auto"/>
              </w:rPr>
              <w:t>过程中</w:t>
            </w:r>
            <w:r>
              <w:rPr>
                <w:rFonts w:cs="Times New Roman" w:hint="eastAsia"/>
                <w:color w:val="auto"/>
                <w:lang w:eastAsia="zh-CN"/>
              </w:rPr>
              <w:t>可能会</w:t>
            </w:r>
            <w:r>
              <w:rPr>
                <w:rFonts w:cs="Times New Roman" w:hint="eastAsia"/>
                <w:color w:val="auto"/>
              </w:rPr>
              <w:t>有</w:t>
            </w:r>
            <w:r>
              <w:rPr>
                <w:rFonts w:cs="Times New Roman" w:hint="eastAsia"/>
                <w:color w:val="auto"/>
                <w:lang w:eastAsia="zh-CN"/>
              </w:rPr>
              <w:t>废</w:t>
            </w:r>
            <w:r>
              <w:rPr>
                <w:rFonts w:cs="Times New Roman" w:hint="eastAsia"/>
                <w:color w:val="auto"/>
              </w:rPr>
              <w:t>电解液渗漏现象，电池电解液中硫酸含量 40%左右，不属于浓硫酸，挥发性较弱。工人需穿防护服、戴护目镜、手套等防护用具进行</w:t>
            </w:r>
            <w:r>
              <w:rPr>
                <w:rFonts w:cs="Times New Roman" w:hint="eastAsia"/>
                <w:color w:val="auto"/>
                <w:lang w:eastAsia="zh-CN"/>
              </w:rPr>
              <w:t>分类</w:t>
            </w:r>
            <w:r>
              <w:rPr>
                <w:rFonts w:cs="Times New Roman" w:hint="eastAsia"/>
                <w:color w:val="auto"/>
              </w:rPr>
              <w:t>，</w:t>
            </w:r>
            <w:r>
              <w:rPr>
                <w:rFonts w:cs="Times New Roman" w:hint="eastAsia"/>
                <w:color w:val="auto"/>
                <w:lang w:eastAsia="zh-CN"/>
              </w:rPr>
              <w:t>该</w:t>
            </w:r>
            <w:r>
              <w:rPr>
                <w:rFonts w:cs="Times New Roman" w:hint="eastAsia"/>
                <w:color w:val="auto"/>
              </w:rPr>
              <w:t>过程历时短，产生极少量硫酸雾，通过库房风扇排出。工人分拣过程中如遇少量废电解液滴落地面，需用抹布擦拭干净，产生沾染电解液的废抹布、废防护服、废手套等废防护用具，作为危废委托有资质单位处置。破损电池间</w:t>
            </w:r>
            <w:r>
              <w:rPr>
                <w:rFonts w:cs="Times New Roman" w:hint="eastAsia"/>
                <w:color w:val="auto"/>
                <w:lang w:eastAsia="zh-CN"/>
              </w:rPr>
              <w:t>配备碱液喷淋装置</w:t>
            </w:r>
            <w:r>
              <w:rPr>
                <w:rFonts w:cs="Times New Roman" w:hint="eastAsia"/>
                <w:color w:val="auto"/>
              </w:rPr>
              <w:t>，硫酸雾废气处理后通过</w:t>
            </w:r>
            <w:r>
              <w:rPr>
                <w:rFonts w:cs="Times New Roman" w:hint="eastAsia"/>
                <w:color w:val="auto"/>
                <w:lang w:val="en-US" w:eastAsia="zh-CN"/>
              </w:rPr>
              <w:t>15</w:t>
            </w:r>
            <w:r>
              <w:rPr>
                <w:rFonts w:cs="Times New Roman" w:hint="eastAsia"/>
                <w:color w:val="auto"/>
              </w:rPr>
              <w:t>m高排气筒排放，碱液循环使用，定期更换，废碱液作为危废委托有资质单位处置。</w:t>
            </w:r>
          </w:p>
          <w:p>
            <w:pPr>
              <w:keepNext w:val="0"/>
              <w:keepLines w:val="0"/>
              <w:pageBreakBefore w:val="0"/>
              <w:widowControl/>
              <w:kinsoku/>
              <w:wordWrap/>
              <w:overflowPunct/>
              <w:topLinePunct w:val="0"/>
              <w:autoSpaceDE/>
              <w:autoSpaceDN/>
              <w:bidi w:val="0"/>
              <w:spacing w:line="360" w:lineRule="auto"/>
              <w:ind w:firstLineChars="200" w:firstLine="480"/>
              <w:textAlignment w:val="auto"/>
              <w:rPr>
                <w:rFonts w:ascii="Times New Roman" w:eastAsia="宋体" w:cs="Times New Roman" w:hAnsi="Times New Roman" w:hint="eastAsia"/>
                <w:color w:val="auto"/>
                <w:sz w:val="24"/>
                <w:lang w:val="en-US" w:eastAsia="zh-CN"/>
                <w:highlight w:val="none"/>
              </w:rPr>
            </w:pPr>
            <w:r>
              <w:rPr>
                <w:rFonts w:ascii="Times New Roman" w:eastAsia="宋体" w:cs="Times New Roman" w:hAnsi="Times New Roman" w:hint="eastAsia"/>
                <w:color w:val="auto"/>
                <w:sz w:val="24"/>
                <w:lang w:val="en-US" w:eastAsia="zh-CN"/>
                <w:highlight w:val="none"/>
              </w:rPr>
              <w:t>项目</w:t>
            </w:r>
            <w:r>
              <w:rPr>
                <w:rFonts w:ascii="Times New Roman" w:eastAsia="宋体" w:cs="Times New Roman" w:hAnsi="Times New Roman" w:hint="eastAsia"/>
                <w:color w:val="auto"/>
                <w:sz w:val="24"/>
                <w:lang w:val="zh-CN"/>
                <w:highlight w:val="none"/>
              </w:rPr>
              <w:t>产排污节点一览表</w:t>
            </w:r>
            <w:r>
              <w:rPr>
                <w:rFonts w:ascii="Times New Roman" w:eastAsia="宋体" w:cs="Times New Roman" w:hAnsi="Times New Roman" w:hint="eastAsia"/>
                <w:color w:val="auto"/>
                <w:sz w:val="24"/>
                <w:lang w:val="en-US" w:eastAsia="zh-CN"/>
                <w:highlight w:val="none"/>
              </w:rPr>
              <w:t>见下：</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b/>
                <w:bCs/>
                <w:color w:val="auto"/>
                <w:highlight w:val="none"/>
              </w:rPr>
            </w:pPr>
            <w:r>
              <w:rPr>
                <w:b/>
                <w:bCs/>
                <w:color w:val="auto"/>
                <w:sz w:val="24"/>
                <w:highlight w:val="none"/>
              </w:rPr>
              <w:t>表2-</w:t>
            </w:r>
            <w:r>
              <w:rPr>
                <w:rFonts w:hint="eastAsia"/>
                <w:b/>
                <w:bCs/>
                <w:color w:val="auto"/>
                <w:sz w:val="24"/>
                <w:lang w:val="en-US" w:eastAsia="zh-CN"/>
                <w:highlight w:val="none"/>
              </w:rPr>
              <w:t>9</w:t>
            </w:r>
            <w:r>
              <w:rPr>
                <w:b/>
                <w:bCs/>
                <w:color w:val="auto"/>
                <w:sz w:val="24"/>
                <w:highlight w:val="none"/>
              </w:rPr>
              <w:t xml:space="preserve">  </w:t>
            </w:r>
            <w:r>
              <w:rPr>
                <w:rFonts w:hint="eastAsia"/>
                <w:b/>
                <w:bCs/>
                <w:color w:val="auto"/>
                <w:sz w:val="24"/>
                <w:lang w:val="en-US" w:eastAsia="zh-CN"/>
                <w:highlight w:val="none"/>
              </w:rPr>
              <w:t>项目</w:t>
            </w:r>
            <w:r>
              <w:rPr>
                <w:b/>
                <w:bCs/>
                <w:color w:val="auto"/>
                <w:sz w:val="24"/>
                <w:highlight w:val="none"/>
              </w:rPr>
              <w:t>产排污节点一览表</w:t>
            </w:r>
          </w:p>
          <w:tbl>
            <w:tblPr>
              <w:jc w:val="center"/>
              <w:tblW w:w="49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600" w:firstRow="0" w:lastRow="0" w:firstColumn="0" w:lastColumn="0" w:noHBand="1" w:noVBand="1"/>
            </w:tblPr>
            <w:tblGrid>
              <w:gridCol w:w="680"/>
              <w:gridCol w:w="549"/>
              <w:gridCol w:w="1804"/>
              <w:gridCol w:w="1558"/>
              <w:gridCol w:w="767"/>
              <w:gridCol w:w="2735"/>
            </w:tblGrid>
            <w:tr>
              <w:trPr>
                <w:cantSplit/>
                <w:trHeight w:val="397"/>
              </w:trPr>
              <w:tc>
                <w:tcPr>
                  <w:tcW w:w="420" w:type="pct"/>
                  <w:vAlign w:val="center"/>
                </w:tcPr>
                <w:p>
                  <w:pPr>
                    <w:tabs>
                      <w:tab w:val="center" w:pos="4153"/>
                      <w:tab w:val="right" w:pos="8306"/>
                    </w:tabs>
                    <w:snapToGrid w:val="0"/>
                    <w:jc w:val="center"/>
                    <w:rPr>
                      <w:b/>
                      <w:bCs/>
                      <w:color w:val="auto"/>
                      <w:sz w:val="21"/>
                      <w:szCs w:val="21"/>
                      <w:highlight w:val="none"/>
                    </w:rPr>
                  </w:pPr>
                  <w:r>
                    <w:rPr>
                      <w:rFonts w:hint="eastAsia"/>
                      <w:b/>
                      <w:bCs/>
                      <w:color w:val="auto"/>
                      <w:sz w:val="21"/>
                      <w:szCs w:val="21"/>
                      <w:highlight w:val="none"/>
                    </w:rPr>
                    <w:t>类别</w:t>
                  </w:r>
                </w:p>
              </w:tc>
              <w:tc>
                <w:tcPr>
                  <w:tcW w:w="1453" w:type="pct"/>
                  <w:gridSpan w:val="2"/>
                  <w:vAlign w:val="center"/>
                </w:tcPr>
                <w:p>
                  <w:pPr>
                    <w:tabs>
                      <w:tab w:val="center" w:pos="4153"/>
                      <w:tab w:val="right" w:pos="8306"/>
                    </w:tabs>
                    <w:snapToGrid w:val="0"/>
                    <w:jc w:val="center"/>
                    <w:rPr>
                      <w:b/>
                      <w:bCs/>
                      <w:color w:val="auto"/>
                      <w:sz w:val="21"/>
                      <w:szCs w:val="21"/>
                      <w:highlight w:val="none"/>
                    </w:rPr>
                  </w:pPr>
                  <w:r>
                    <w:rPr>
                      <w:rFonts w:hint="eastAsia"/>
                      <w:b/>
                      <w:bCs/>
                      <w:color w:val="auto"/>
                      <w:sz w:val="21"/>
                      <w:szCs w:val="21"/>
                      <w:highlight w:val="none"/>
                    </w:rPr>
                    <w:t>排污节点</w:t>
                  </w:r>
                </w:p>
              </w:tc>
              <w:tc>
                <w:tcPr>
                  <w:tcW w:w="962" w:type="pct"/>
                  <w:vAlign w:val="center"/>
                </w:tcPr>
                <w:p>
                  <w:pPr>
                    <w:tabs>
                      <w:tab w:val="center" w:pos="4153"/>
                      <w:tab w:val="right" w:pos="8306"/>
                    </w:tabs>
                    <w:snapToGrid w:val="0"/>
                    <w:jc w:val="center"/>
                    <w:rPr>
                      <w:b/>
                      <w:bCs/>
                      <w:color w:val="auto"/>
                      <w:sz w:val="21"/>
                      <w:szCs w:val="21"/>
                      <w:highlight w:val="none"/>
                    </w:rPr>
                  </w:pPr>
                  <w:r>
                    <w:rPr>
                      <w:rFonts w:hint="eastAsia"/>
                      <w:b/>
                      <w:bCs/>
                      <w:color w:val="auto"/>
                      <w:sz w:val="21"/>
                      <w:szCs w:val="21"/>
                      <w:highlight w:val="none"/>
                    </w:rPr>
                    <w:t>主要污染物</w:t>
                  </w:r>
                </w:p>
              </w:tc>
              <w:tc>
                <w:tcPr>
                  <w:tcW w:w="474" w:type="pct"/>
                  <w:vAlign w:val="center"/>
                </w:tcPr>
                <w:p>
                  <w:pPr>
                    <w:tabs>
                      <w:tab w:val="center" w:pos="4153"/>
                      <w:tab w:val="right" w:pos="8306"/>
                    </w:tabs>
                    <w:snapToGrid w:val="0"/>
                    <w:jc w:val="center"/>
                    <w:rPr>
                      <w:b/>
                      <w:bCs/>
                      <w:color w:val="auto"/>
                      <w:sz w:val="21"/>
                      <w:szCs w:val="21"/>
                      <w:highlight w:val="none"/>
                    </w:rPr>
                  </w:pPr>
                  <w:r>
                    <w:rPr>
                      <w:rFonts w:hint="eastAsia"/>
                      <w:b/>
                      <w:bCs/>
                      <w:color w:val="auto"/>
                      <w:sz w:val="21"/>
                      <w:szCs w:val="21"/>
                      <w:highlight w:val="none"/>
                    </w:rPr>
                    <w:t>排放规律</w:t>
                  </w:r>
                </w:p>
              </w:tc>
              <w:tc>
                <w:tcPr>
                  <w:tcW w:w="1689" w:type="pct"/>
                  <w:vAlign w:val="center"/>
                </w:tcPr>
                <w:p>
                  <w:pPr>
                    <w:tabs>
                      <w:tab w:val="center" w:pos="4153"/>
                      <w:tab w:val="right" w:pos="8306"/>
                    </w:tabs>
                    <w:snapToGrid w:val="0"/>
                    <w:jc w:val="center"/>
                    <w:rPr>
                      <w:b/>
                      <w:bCs/>
                      <w:color w:val="auto"/>
                      <w:sz w:val="21"/>
                      <w:szCs w:val="21"/>
                      <w:highlight w:val="none"/>
                    </w:rPr>
                  </w:pPr>
                  <w:r>
                    <w:rPr>
                      <w:rFonts w:hint="eastAsia"/>
                      <w:b/>
                      <w:bCs/>
                      <w:color w:val="auto"/>
                      <w:sz w:val="21"/>
                      <w:szCs w:val="21"/>
                      <w:highlight w:val="none"/>
                    </w:rPr>
                    <w:t>防治措施</w:t>
                  </w:r>
                </w:p>
              </w:tc>
            </w:tr>
            <w:tr>
              <w:trPr>
                <w:cantSplit/>
                <w:trHeight w:val="397"/>
              </w:trPr>
              <w:tc>
                <w:tcPr>
                  <w:tcW w:w="420" w:type="pct"/>
                  <w:vMerge w:val="restart"/>
                  <w:vAlign w:val="center"/>
                </w:tcPr>
                <w:p>
                  <w:pPr>
                    <w:tabs>
                      <w:tab w:val="center" w:pos="4153"/>
                      <w:tab w:val="right" w:pos="8306"/>
                    </w:tabs>
                    <w:snapToGrid w:val="0"/>
                    <w:jc w:val="center"/>
                    <w:rPr>
                      <w:color w:val="auto"/>
                      <w:sz w:val="21"/>
                      <w:szCs w:val="21"/>
                      <w:highlight w:val="none"/>
                    </w:rPr>
                  </w:pPr>
                  <w:r>
                    <w:rPr>
                      <w:rFonts w:hint="eastAsia"/>
                      <w:color w:val="auto"/>
                      <w:sz w:val="21"/>
                      <w:szCs w:val="21"/>
                      <w:highlight w:val="none"/>
                    </w:rPr>
                    <w:t>废气</w:t>
                  </w:r>
                </w:p>
              </w:tc>
              <w:tc>
                <w:tcPr>
                  <w:tcW w:w="339" w:type="pct"/>
                  <w:tcBorders>
                    <w:left w:val="single" w:sz="4" w:space="0" w:color="auto"/>
                  </w:tcBorders>
                  <w:vAlign w:val="center"/>
                </w:tcPr>
                <w:p>
                  <w:pPr>
                    <w:tabs>
                      <w:tab w:val="center" w:pos="4153"/>
                      <w:tab w:val="right" w:pos="8306"/>
                    </w:tabs>
                    <w:snapToGrid w:val="0"/>
                    <w:jc w:val="center"/>
                    <w:rPr>
                      <w:rFonts w:eastAsia="宋体"/>
                      <w:color w:val="auto"/>
                      <w:sz w:val="21"/>
                      <w:szCs w:val="21"/>
                      <w:lang w:val="en-US" w:eastAsia="zh-CN"/>
                      <w:highlight w:val="none"/>
                    </w:rPr>
                  </w:pPr>
                  <w:r>
                    <w:rPr>
                      <w:rFonts w:hint="eastAsia"/>
                      <w:color w:val="auto"/>
                      <w:sz w:val="21"/>
                      <w:szCs w:val="21"/>
                      <w:lang w:val="en-US" w:eastAsia="zh-CN"/>
                      <w:highlight w:val="none"/>
                    </w:rPr>
                    <w:t>G</w:t>
                  </w:r>
                  <w:r>
                    <w:rPr>
                      <w:rFonts w:hint="eastAsia"/>
                      <w:color w:val="auto"/>
                      <w:sz w:val="21"/>
                      <w:szCs w:val="21"/>
                      <w:vertAlign w:val="subscript"/>
                      <w:lang w:val="en-US" w:eastAsia="zh-CN"/>
                      <w:highlight w:val="none"/>
                    </w:rPr>
                    <w:t>1</w:t>
                  </w:r>
                </w:p>
              </w:tc>
              <w:tc>
                <w:tcPr>
                  <w:tcW w:w="1114" w:type="pct"/>
                  <w:tcBorders>
                    <w:left w:val="single" w:sz="4" w:space="0" w:color="auto"/>
                  </w:tcBorders>
                  <w:vAlign w:val="center"/>
                </w:tcPr>
                <w:p>
                  <w:pPr>
                    <w:pStyle w:val="68"/>
                    <w:tabs>
                      <w:tab w:val="left" w:pos="0"/>
                      <w:tab w:val="left" w:pos="360"/>
                      <w:tab w:val="left" w:pos="900"/>
                    </w:tabs>
                    <w:rPr>
                      <w:rFonts w:eastAsia="宋体" w:hint="eastAsia"/>
                      <w:color w:val="auto"/>
                      <w:sz w:val="21"/>
                      <w:szCs w:val="21"/>
                      <w:lang w:eastAsia="zh-CN"/>
                      <w:highlight w:val="none"/>
                    </w:rPr>
                  </w:pPr>
                  <w:r>
                    <w:rPr>
                      <w:rFonts w:hint="eastAsia"/>
                      <w:color w:val="auto"/>
                      <w:sz w:val="21"/>
                      <w:szCs w:val="21"/>
                      <w:lang w:eastAsia="zh-CN"/>
                      <w:highlight w:val="none"/>
                    </w:rPr>
                    <w:t>库房分类区</w:t>
                  </w:r>
                </w:p>
              </w:tc>
              <w:tc>
                <w:tcPr>
                  <w:tcW w:w="962" w:type="pct"/>
                  <w:tcBorders>
                    <w:left w:val="single" w:sz="4" w:space="0" w:color="auto"/>
                  </w:tcBorders>
                  <w:vAlign w:val="center"/>
                </w:tcPr>
                <w:p>
                  <w:pPr>
                    <w:pStyle w:val="68"/>
                    <w:tabs>
                      <w:tab w:val="left" w:pos="0"/>
                      <w:tab w:val="left" w:pos="360"/>
                      <w:tab w:val="left" w:pos="900"/>
                    </w:tabs>
                    <w:rPr>
                      <w:rFonts w:eastAsia="宋体"/>
                      <w:color w:val="auto"/>
                      <w:sz w:val="21"/>
                      <w:szCs w:val="21"/>
                      <w:lang w:val="en-US" w:eastAsia="zh-CN"/>
                      <w:highlight w:val="none"/>
                    </w:rPr>
                  </w:pPr>
                  <w:r>
                    <w:rPr>
                      <w:rFonts w:hint="eastAsia"/>
                      <w:color w:val="auto"/>
                      <w:sz w:val="21"/>
                      <w:szCs w:val="21"/>
                      <w:lang w:val="en-US" w:eastAsia="zh-CN"/>
                      <w:highlight w:val="none"/>
                    </w:rPr>
                    <w:t>硫酸雾</w:t>
                  </w:r>
                </w:p>
              </w:tc>
              <w:tc>
                <w:tcPr>
                  <w:tcW w:w="474" w:type="pct"/>
                  <w:tcBorders>
                    <w:left w:val="single" w:sz="4" w:space="0" w:color="auto"/>
                  </w:tcBorders>
                  <w:vAlign w:val="center"/>
                </w:tcPr>
                <w:p>
                  <w:pPr>
                    <w:jc w:val="center"/>
                    <w:rPr>
                      <w:rFonts w:eastAsia="宋体" w:hint="eastAsia"/>
                      <w:color w:val="auto"/>
                      <w:sz w:val="21"/>
                      <w:szCs w:val="21"/>
                      <w:lang w:eastAsia="zh-CN"/>
                      <w:highlight w:val="none"/>
                    </w:rPr>
                  </w:pPr>
                  <w:r>
                    <w:rPr>
                      <w:rFonts w:hint="eastAsia"/>
                      <w:color w:val="auto"/>
                      <w:sz w:val="21"/>
                      <w:szCs w:val="21"/>
                      <w:highlight w:val="none"/>
                    </w:rPr>
                    <w:t>间断</w:t>
                  </w:r>
                </w:p>
              </w:tc>
              <w:tc>
                <w:tcPr>
                  <w:tcW w:w="1689" w:type="pct"/>
                  <w:tcBorders>
                    <w:left w:val="single" w:sz="4" w:space="0" w:color="auto"/>
                  </w:tcBorders>
                  <w:vAlign w:val="center"/>
                </w:tcPr>
                <w:p>
                  <w:pPr>
                    <w:tabs>
                      <w:tab w:val="center" w:pos="4153"/>
                      <w:tab w:val="right" w:pos="8306"/>
                    </w:tabs>
                    <w:snapToGrid w:val="0"/>
                    <w:jc w:val="both"/>
                    <w:rPr>
                      <w:rFonts w:ascii="Times New Roman" w:eastAsia="宋体" w:cs="Times New Roman" w:hAnsi="Times New Roman"/>
                      <w:bCs/>
                      <w:color w:val="auto"/>
                      <w:sz w:val="21"/>
                      <w:szCs w:val="21"/>
                      <w:lang w:val="en-US" w:eastAsia="zh-CN"/>
                      <w:highlight w:val="none"/>
                    </w:rPr>
                  </w:pPr>
                  <w:r>
                    <w:rPr>
                      <w:rFonts w:cs="Times New Roman" w:hint="eastAsia"/>
                      <w:bCs/>
                      <w:color w:val="auto"/>
                      <w:sz w:val="21"/>
                      <w:szCs w:val="21"/>
                      <w:lang w:val="en-US" w:eastAsia="zh-CN"/>
                      <w:highlight w:val="none"/>
                    </w:rPr>
                    <w:t>历时短、产生量极少，无组织排放</w:t>
                  </w:r>
                </w:p>
              </w:tc>
            </w:tr>
            <w:tr>
              <w:trPr>
                <w:cantSplit/>
                <w:trHeight w:val="397"/>
              </w:trPr>
              <w:tc>
                <w:tcPr>
                  <w:tcW w:w="420" w:type="pct"/>
                  <w:vMerge/>
                  <w:vAlign w:val="center"/>
                </w:tcPr>
                <w:p/>
              </w:tc>
              <w:tc>
                <w:tcPr>
                  <w:tcW w:w="339" w:type="pct"/>
                  <w:tcBorders>
                    <w:left w:val="single" w:sz="4" w:space="0" w:color="auto"/>
                  </w:tcBorders>
                  <w:vAlign w:val="center"/>
                </w:tcPr>
                <w:p>
                  <w:pPr>
                    <w:tabs>
                      <w:tab w:val="center" w:pos="4153"/>
                      <w:tab w:val="right" w:pos="8306"/>
                    </w:tabs>
                    <w:snapToGrid w:val="0"/>
                    <w:jc w:val="center"/>
                    <w:rPr>
                      <w:rFonts w:hint="eastAsia"/>
                      <w:color w:val="auto"/>
                      <w:sz w:val="21"/>
                      <w:szCs w:val="21"/>
                      <w:lang w:val="en-US" w:eastAsia="zh-CN"/>
                      <w:highlight w:val="none"/>
                    </w:rPr>
                  </w:pPr>
                  <w:r>
                    <w:rPr>
                      <w:rFonts w:hint="eastAsia"/>
                      <w:color w:val="auto"/>
                      <w:sz w:val="21"/>
                      <w:szCs w:val="21"/>
                      <w:lang w:val="en-US" w:eastAsia="zh-CN"/>
                      <w:highlight w:val="none"/>
                    </w:rPr>
                    <w:t>G</w:t>
                  </w:r>
                  <w:r>
                    <w:rPr>
                      <w:rFonts w:hint="eastAsia"/>
                      <w:color w:val="auto"/>
                      <w:sz w:val="21"/>
                      <w:szCs w:val="21"/>
                      <w:vertAlign w:val="subscript"/>
                      <w:lang w:val="en-US" w:eastAsia="zh-CN"/>
                      <w:highlight w:val="none"/>
                    </w:rPr>
                    <w:t>2</w:t>
                  </w:r>
                </w:p>
              </w:tc>
              <w:tc>
                <w:tcPr>
                  <w:tcW w:w="1114" w:type="pct"/>
                  <w:tcBorders>
                    <w:left w:val="single" w:sz="4" w:space="0" w:color="auto"/>
                  </w:tcBorders>
                  <w:vAlign w:val="center"/>
                </w:tcPr>
                <w:p>
                  <w:pPr>
                    <w:pStyle w:val="68"/>
                    <w:tabs>
                      <w:tab w:val="left" w:pos="0"/>
                      <w:tab w:val="left" w:pos="360"/>
                      <w:tab w:val="left" w:pos="900"/>
                    </w:tabs>
                    <w:rPr>
                      <w:rFonts w:hint="eastAsia"/>
                      <w:color w:val="auto"/>
                      <w:sz w:val="21"/>
                      <w:szCs w:val="21"/>
                      <w:lang w:eastAsia="zh-CN"/>
                      <w:highlight w:val="none"/>
                    </w:rPr>
                  </w:pPr>
                  <w:r>
                    <w:rPr>
                      <w:rFonts w:hint="eastAsia"/>
                      <w:color w:val="auto"/>
                      <w:sz w:val="21"/>
                      <w:szCs w:val="21"/>
                      <w:lang w:eastAsia="zh-CN"/>
                      <w:highlight w:val="none"/>
                    </w:rPr>
                    <w:t>破损电池贮存间、危废间</w:t>
                  </w:r>
                </w:p>
              </w:tc>
              <w:tc>
                <w:tcPr>
                  <w:tcW w:w="962" w:type="pct"/>
                  <w:tcBorders>
                    <w:left w:val="single" w:sz="4" w:space="0" w:color="auto"/>
                  </w:tcBorders>
                  <w:vAlign w:val="center"/>
                </w:tcPr>
                <w:p>
                  <w:pPr>
                    <w:pStyle w:val="68"/>
                    <w:tabs>
                      <w:tab w:val="left" w:pos="0"/>
                      <w:tab w:val="left" w:pos="360"/>
                      <w:tab w:val="left" w:pos="900"/>
                    </w:tabs>
                    <w:rPr>
                      <w:rFonts w:hint="eastAsia"/>
                      <w:color w:val="auto"/>
                      <w:sz w:val="21"/>
                      <w:szCs w:val="21"/>
                      <w:lang w:val="en-US" w:eastAsia="zh-CN"/>
                      <w:highlight w:val="none"/>
                    </w:rPr>
                  </w:pPr>
                  <w:r>
                    <w:rPr>
                      <w:rFonts w:hint="eastAsia"/>
                      <w:color w:val="auto"/>
                      <w:sz w:val="21"/>
                      <w:szCs w:val="21"/>
                      <w:lang w:val="en-US" w:eastAsia="zh-CN"/>
                      <w:highlight w:val="none"/>
                    </w:rPr>
                    <w:t>硫酸雾</w:t>
                  </w:r>
                </w:p>
              </w:tc>
              <w:tc>
                <w:tcPr>
                  <w:tcW w:w="474" w:type="pct"/>
                  <w:tcBorders>
                    <w:left w:val="single" w:sz="4" w:space="0" w:color="auto"/>
                  </w:tcBorders>
                  <w:vAlign w:val="center"/>
                </w:tcPr>
                <w:p>
                  <w:pPr>
                    <w:jc w:val="center"/>
                    <w:rPr>
                      <w:rFonts w:hint="eastAsia"/>
                      <w:color w:val="auto"/>
                      <w:sz w:val="21"/>
                      <w:szCs w:val="21"/>
                      <w:highlight w:val="none"/>
                    </w:rPr>
                  </w:pPr>
                  <w:r>
                    <w:rPr>
                      <w:rFonts w:hint="eastAsia"/>
                      <w:color w:val="auto"/>
                      <w:sz w:val="21"/>
                      <w:szCs w:val="21"/>
                      <w:highlight w:val="none"/>
                    </w:rPr>
                    <w:t>间断</w:t>
                  </w:r>
                </w:p>
              </w:tc>
              <w:tc>
                <w:tcPr>
                  <w:tcW w:w="1689" w:type="pct"/>
                  <w:tcBorders>
                    <w:left w:val="single" w:sz="4" w:space="0" w:color="auto"/>
                  </w:tcBorders>
                  <w:vAlign w:val="center"/>
                </w:tcPr>
                <w:p>
                  <w:pPr>
                    <w:tabs>
                      <w:tab w:val="center" w:pos="4153"/>
                      <w:tab w:val="right" w:pos="8306"/>
                    </w:tabs>
                    <w:snapToGrid w:val="0"/>
                    <w:jc w:val="both"/>
                    <w:rPr>
                      <w:rFonts w:ascii="Times New Roman" w:eastAsia="宋体" w:cs="Times New Roman" w:hAnsi="Times New Roman"/>
                      <w:bCs/>
                      <w:color w:val="auto"/>
                      <w:sz w:val="21"/>
                      <w:szCs w:val="21"/>
                      <w:lang w:val="en-US" w:eastAsia="zh-CN"/>
                      <w:highlight w:val="none"/>
                    </w:rPr>
                  </w:pPr>
                  <w:r>
                    <w:rPr>
                      <w:rFonts w:cs="Times New Roman" w:hint="eastAsia"/>
                      <w:bCs/>
                      <w:color w:val="auto"/>
                      <w:sz w:val="21"/>
                      <w:szCs w:val="21"/>
                      <w:lang w:val="en-US" w:eastAsia="zh-CN"/>
                      <w:highlight w:val="none"/>
                    </w:rPr>
                    <w:t>密闭空间+碱液喷淋装置+15m高排气筒排放</w:t>
                  </w:r>
                </w:p>
              </w:tc>
            </w:tr>
            <w:tr>
              <w:trPr>
                <w:cantSplit/>
                <w:trHeight w:val="397"/>
              </w:trPr>
              <w:tc>
                <w:tcPr>
                  <w:tcW w:w="420" w:type="pct"/>
                  <w:vAlign w:val="center"/>
                </w:tcPr>
                <w:p>
                  <w:pPr>
                    <w:tabs>
                      <w:tab w:val="center" w:pos="4153"/>
                      <w:tab w:val="right" w:pos="8306"/>
                    </w:tabs>
                    <w:snapToGrid w:val="0"/>
                    <w:jc w:val="center"/>
                    <w:rPr>
                      <w:rFonts w:hint="eastAsia"/>
                      <w:color w:val="auto"/>
                      <w:sz w:val="21"/>
                      <w:szCs w:val="21"/>
                      <w:highlight w:val="none"/>
                    </w:rPr>
                  </w:pPr>
                  <w:r>
                    <w:rPr>
                      <w:rFonts w:hint="eastAsia"/>
                      <w:color w:val="auto"/>
                      <w:sz w:val="21"/>
                      <w:szCs w:val="21"/>
                      <w:highlight w:val="none"/>
                    </w:rPr>
                    <w:t>废水</w:t>
                  </w:r>
                </w:p>
              </w:tc>
              <w:tc>
                <w:tcPr>
                  <w:tcW w:w="339" w:type="pct"/>
                  <w:tcBorders>
                    <w:left w:val="single" w:sz="4" w:space="0" w:color="auto"/>
                  </w:tcBorders>
                  <w:shd w:val="clear" w:color="auto" w:fill="auto"/>
                  <w:vAlign w:val="center"/>
                </w:tcPr>
                <w:p>
                  <w:pPr>
                    <w:snapToGrid w:val="0"/>
                    <w:jc w:val="center"/>
                    <w:rPr>
                      <w:rFonts w:ascii="Times New Roman" w:eastAsia="宋体" w:cs="Times New Roman" w:hAnsi="Times New Roman" w:hint="eastAsia"/>
                      <w:color w:val="auto"/>
                      <w:kern w:val="2"/>
                      <w:sz w:val="21"/>
                      <w:szCs w:val="21"/>
                      <w:lang w:val="en-US" w:eastAsia="zh-CN" w:bidi="ar-SA"/>
                      <w:highlight w:val="none"/>
                    </w:rPr>
                  </w:pPr>
                  <w:r>
                    <w:rPr>
                      <w:rFonts w:hint="eastAsia"/>
                      <w:color w:val="auto"/>
                      <w:sz w:val="21"/>
                      <w:szCs w:val="21"/>
                      <w:highlight w:val="none"/>
                    </w:rPr>
                    <w:t>W</w:t>
                  </w:r>
                  <w:r>
                    <w:rPr>
                      <w:rFonts w:hint="eastAsia"/>
                      <w:color w:val="auto"/>
                      <w:sz w:val="21"/>
                      <w:szCs w:val="21"/>
                      <w:vertAlign w:val="subscript"/>
                      <w:lang w:val="en-US" w:eastAsia="zh-CN"/>
                      <w:highlight w:val="none"/>
                    </w:rPr>
                    <w:t>1</w:t>
                  </w:r>
                </w:p>
              </w:tc>
              <w:tc>
                <w:tcPr>
                  <w:tcW w:w="1114" w:type="pct"/>
                  <w:tcBorders>
                    <w:left w:val="single" w:sz="4" w:space="0" w:color="auto"/>
                  </w:tcBorders>
                  <w:shd w:val="clear" w:color="auto" w:fill="auto"/>
                  <w:vAlign w:val="center"/>
                </w:tcPr>
                <w:p>
                  <w:pPr>
                    <w:tabs>
                      <w:tab w:val="center" w:pos="4153"/>
                      <w:tab w:val="right" w:pos="8306"/>
                    </w:tabs>
                    <w:snapToGrid w:val="0"/>
                    <w:jc w:val="center"/>
                    <w:rPr>
                      <w:rFonts w:ascii="Times New Roman" w:eastAsia="宋体" w:cs="Times New Roman" w:hAnsi="Times New Roman" w:hint="eastAsia"/>
                      <w:color w:val="auto"/>
                      <w:kern w:val="2"/>
                      <w:sz w:val="21"/>
                      <w:szCs w:val="21"/>
                      <w:lang w:val="en-US" w:eastAsia="zh-CN" w:bidi="ar-SA"/>
                      <w:highlight w:val="none"/>
                    </w:rPr>
                  </w:pPr>
                  <w:r>
                    <w:rPr>
                      <w:rFonts w:ascii="Times New Roman" w:eastAsia="宋体" w:cs="Times New Roman" w:hAnsi="Times New Roman" w:hint="eastAsia"/>
                      <w:b w:val="0"/>
                      <w:bCs w:val="0"/>
                      <w:color w:val="auto"/>
                      <w:sz w:val="21"/>
                      <w:szCs w:val="21"/>
                      <w:lang w:val="en-US" w:eastAsia="zh-CN"/>
                      <w:highlight w:val="none"/>
                    </w:rPr>
                    <w:t>职工生活污水</w:t>
                  </w:r>
                </w:p>
              </w:tc>
              <w:tc>
                <w:tcPr>
                  <w:tcW w:w="962" w:type="pct"/>
                  <w:tcBorders>
                    <w:left w:val="single" w:sz="4" w:space="0" w:color="auto"/>
                  </w:tcBorders>
                  <w:shd w:val="clear" w:color="auto" w:fill="auto"/>
                  <w:vAlign w:val="center"/>
                </w:tcPr>
                <w:p>
                  <w:pPr>
                    <w:tabs>
                      <w:tab w:val="center" w:pos="4153"/>
                      <w:tab w:val="right" w:pos="8306"/>
                    </w:tabs>
                    <w:snapToGrid w:val="0"/>
                    <w:jc w:val="center"/>
                    <w:rPr>
                      <w:rFonts w:ascii="Times New Roman" w:eastAsia="宋体" w:cs="Times New Roman" w:hAnsi="Times New Roman" w:hint="eastAsia"/>
                      <w:color w:val="auto"/>
                      <w:kern w:val="2"/>
                      <w:sz w:val="21"/>
                      <w:szCs w:val="21"/>
                      <w:lang w:val="en-US" w:eastAsia="zh-CN" w:bidi="ar-SA"/>
                      <w:highlight w:val="none"/>
                    </w:rPr>
                  </w:pPr>
                  <w:r>
                    <w:rPr>
                      <w:rFonts w:hint="eastAsia"/>
                      <w:color w:val="auto"/>
                      <w:lang w:val="en-US" w:eastAsia="zh-CN"/>
                      <w:highlight w:val="none"/>
                    </w:rPr>
                    <w:t>pH</w:t>
                  </w:r>
                  <w:r>
                    <w:rPr>
                      <w:rFonts w:ascii="Times New Roman" w:eastAsia="宋体" w:cs="Times New Roman" w:hAnsi="Times New Roman" w:hint="eastAsia"/>
                      <w:b w:val="0"/>
                      <w:bCs w:val="0"/>
                      <w:color w:val="auto"/>
                      <w:sz w:val="21"/>
                      <w:szCs w:val="21"/>
                      <w:lang w:val="en-US" w:eastAsia="zh-CN"/>
                      <w:highlight w:val="none"/>
                    </w:rPr>
                    <w:t>、COD、BOD</w:t>
                  </w:r>
                  <w:r>
                    <w:rPr>
                      <w:rFonts w:ascii="Times New Roman" w:eastAsia="宋体" w:cs="Times New Roman" w:hAnsi="Times New Roman" w:hint="eastAsia"/>
                      <w:b w:val="0"/>
                      <w:bCs w:val="0"/>
                      <w:color w:val="auto"/>
                      <w:sz w:val="21"/>
                      <w:szCs w:val="21"/>
                      <w:vertAlign w:val="subscript"/>
                      <w:lang w:val="en-US" w:eastAsia="zh-CN"/>
                      <w:highlight w:val="none"/>
                    </w:rPr>
                    <w:t>5</w:t>
                  </w:r>
                  <w:r>
                    <w:rPr>
                      <w:rFonts w:ascii="Times New Roman" w:eastAsia="宋体" w:cs="Times New Roman" w:hAnsi="Times New Roman" w:hint="eastAsia"/>
                      <w:b w:val="0"/>
                      <w:bCs w:val="0"/>
                      <w:color w:val="auto"/>
                      <w:sz w:val="21"/>
                      <w:szCs w:val="21"/>
                      <w:lang w:val="en-US" w:eastAsia="zh-CN"/>
                      <w:highlight w:val="none"/>
                    </w:rPr>
                    <w:t>、SS、NH</w:t>
                  </w:r>
                  <w:r>
                    <w:rPr>
                      <w:rFonts w:ascii="Times New Roman" w:eastAsia="宋体" w:cs="Times New Roman" w:hAnsi="Times New Roman" w:hint="eastAsia"/>
                      <w:b w:val="0"/>
                      <w:bCs w:val="0"/>
                      <w:color w:val="auto"/>
                      <w:sz w:val="21"/>
                      <w:szCs w:val="21"/>
                      <w:vertAlign w:val="subscript"/>
                      <w:lang w:val="en-US" w:eastAsia="zh-CN"/>
                      <w:highlight w:val="none"/>
                    </w:rPr>
                    <w:t>3</w:t>
                  </w:r>
                  <w:r>
                    <w:rPr>
                      <w:rFonts w:ascii="Times New Roman" w:eastAsia="宋体" w:cs="Times New Roman" w:hAnsi="Times New Roman" w:hint="eastAsia"/>
                      <w:b w:val="0"/>
                      <w:bCs w:val="0"/>
                      <w:color w:val="auto"/>
                      <w:sz w:val="21"/>
                      <w:szCs w:val="21"/>
                      <w:lang w:val="en-US" w:eastAsia="zh-CN"/>
                      <w:highlight w:val="none"/>
                    </w:rPr>
                    <w:t>-N</w:t>
                  </w:r>
                </w:p>
              </w:tc>
              <w:tc>
                <w:tcPr>
                  <w:tcW w:w="474" w:type="pct"/>
                  <w:tcBorders>
                    <w:left w:val="single" w:sz="4" w:space="0" w:color="auto"/>
                  </w:tcBorders>
                  <w:shd w:val="clear" w:color="auto" w:fill="auto"/>
                  <w:vAlign w:val="center"/>
                </w:tcPr>
                <w:p>
                  <w:pPr>
                    <w:tabs>
                      <w:tab w:val="center" w:pos="4153"/>
                      <w:tab w:val="right" w:pos="8306"/>
                    </w:tabs>
                    <w:snapToGrid w:val="0"/>
                    <w:jc w:val="center"/>
                    <w:rPr>
                      <w:rFonts w:ascii="Times New Roman" w:eastAsia="宋体" w:cs="Times New Roman" w:hAnsi="Times New Roman" w:hint="eastAsia"/>
                      <w:color w:val="auto"/>
                      <w:kern w:val="2"/>
                      <w:sz w:val="21"/>
                      <w:szCs w:val="21"/>
                      <w:lang w:val="en-US" w:eastAsia="zh-CN" w:bidi="ar-SA"/>
                      <w:highlight w:val="none"/>
                    </w:rPr>
                  </w:pPr>
                  <w:r>
                    <w:rPr>
                      <w:rFonts w:ascii="Times New Roman" w:eastAsia="宋体" w:cs="Times New Roman" w:hAnsi="Times New Roman" w:hint="eastAsia"/>
                      <w:b w:val="0"/>
                      <w:bCs w:val="0"/>
                      <w:color w:val="auto"/>
                      <w:sz w:val="21"/>
                      <w:szCs w:val="21"/>
                      <w:lang w:val="en-US" w:eastAsia="zh-CN"/>
                      <w:highlight w:val="none"/>
                    </w:rPr>
                    <w:t>间断</w:t>
                  </w:r>
                </w:p>
              </w:tc>
              <w:tc>
                <w:tcPr>
                  <w:tcW w:w="1689" w:type="pct"/>
                  <w:tcBorders>
                    <w:left w:val="single" w:sz="4" w:space="0" w:color="auto"/>
                  </w:tcBorders>
                  <w:vAlign w:val="center"/>
                </w:tcPr>
                <w:p>
                  <w:pPr>
                    <w:tabs>
                      <w:tab w:val="center" w:pos="4153"/>
                      <w:tab w:val="right" w:pos="8306"/>
                    </w:tabs>
                    <w:snapToGrid w:val="0"/>
                    <w:jc w:val="center"/>
                    <w:rPr>
                      <w:rFonts w:cs="Times New Roman" w:hint="eastAsia"/>
                      <w:bCs/>
                      <w:color w:val="auto"/>
                      <w:sz w:val="21"/>
                      <w:szCs w:val="21"/>
                      <w:lang w:val="en-US" w:eastAsia="zh-CN"/>
                      <w:highlight w:val="none"/>
                    </w:rPr>
                  </w:pPr>
                  <w:r>
                    <w:rPr>
                      <w:rFonts w:ascii="Times New Roman" w:eastAsia="宋体" w:cs="Times New Roman" w:hAnsi="Times New Roman"/>
                      <w:color w:val="auto"/>
                      <w:kern w:val="2"/>
                      <w:sz w:val="21"/>
                      <w:szCs w:val="21"/>
                      <w:lang w:val="en-US" w:eastAsia="zh-CN" w:bidi="ar-SA"/>
                      <w:highlight w:val="none"/>
                    </w:rPr>
                    <w:t>生活污水依托河北泽豪环保新材料科技有限公司化粪池处理后，</w:t>
                  </w:r>
                  <w:r>
                    <w:rPr>
                      <w:rFonts w:cs="Times New Roman" w:hint="eastAsia"/>
                      <w:color w:val="auto"/>
                      <w:kern w:val="2"/>
                      <w:sz w:val="21"/>
                      <w:szCs w:val="21"/>
                      <w:lang w:val="en-US" w:eastAsia="zh-CN" w:bidi="ar-SA"/>
                      <w:highlight w:val="none"/>
                    </w:rPr>
                    <w:t>定期清掏，不外排</w:t>
                  </w:r>
                </w:p>
              </w:tc>
            </w:tr>
            <w:tr>
              <w:trPr>
                <w:cantSplit/>
                <w:trHeight w:val="397"/>
              </w:trPr>
              <w:tc>
                <w:tcPr>
                  <w:tcW w:w="420" w:type="pct"/>
                  <w:vMerge w:val="restart"/>
                  <w:vAlign w:val="center"/>
                </w:tcPr>
                <w:p>
                  <w:pPr>
                    <w:tabs>
                      <w:tab w:val="center" w:pos="4153"/>
                      <w:tab w:val="right" w:pos="8306"/>
                    </w:tabs>
                    <w:snapToGrid w:val="0"/>
                    <w:jc w:val="center"/>
                    <w:rPr>
                      <w:rFonts w:hint="eastAsia"/>
                      <w:color w:val="auto"/>
                      <w:sz w:val="21"/>
                      <w:szCs w:val="21"/>
                      <w:highlight w:val="none"/>
                    </w:rPr>
                  </w:pPr>
                  <w:r>
                    <w:rPr>
                      <w:rFonts w:hint="eastAsia"/>
                      <w:color w:val="auto"/>
                      <w:sz w:val="21"/>
                      <w:szCs w:val="21"/>
                      <w:highlight w:val="none"/>
                    </w:rPr>
                    <w:t>噪声</w:t>
                  </w:r>
                </w:p>
              </w:tc>
              <w:tc>
                <w:tcPr>
                  <w:tcW w:w="339" w:type="pct"/>
                  <w:tcBorders>
                    <w:left w:val="single" w:sz="4" w:space="0" w:color="auto"/>
                  </w:tcBorders>
                  <w:vAlign w:val="center"/>
                </w:tcPr>
                <w:p>
                  <w:pPr>
                    <w:snapToGrid w:val="0"/>
                    <w:jc w:val="center"/>
                    <w:rPr>
                      <w:rFonts w:hint="eastAsia"/>
                      <w:color w:val="auto"/>
                      <w:sz w:val="21"/>
                      <w:szCs w:val="21"/>
                      <w:highlight w:val="none"/>
                    </w:rPr>
                  </w:pPr>
                  <w:r>
                    <w:rPr>
                      <w:rFonts w:hint="eastAsia"/>
                      <w:color w:val="auto"/>
                      <w:sz w:val="21"/>
                      <w:szCs w:val="21"/>
                      <w:highlight w:val="none"/>
                    </w:rPr>
                    <w:t>N</w:t>
                  </w:r>
                  <w:r>
                    <w:rPr>
                      <w:rFonts w:hint="eastAsia"/>
                      <w:color w:val="auto"/>
                      <w:sz w:val="21"/>
                      <w:szCs w:val="21"/>
                      <w:vertAlign w:val="subscript"/>
                      <w:lang w:val="en-US" w:eastAsia="zh-CN"/>
                      <w:highlight w:val="none"/>
                    </w:rPr>
                    <w:t>1</w:t>
                  </w:r>
                </w:p>
              </w:tc>
              <w:tc>
                <w:tcPr>
                  <w:tcW w:w="1114" w:type="pct"/>
                  <w:tcBorders>
                    <w:left w:val="single" w:sz="4" w:space="0" w:color="auto"/>
                  </w:tcBorders>
                  <w:shd w:val="clear" w:color="auto" w:fill="auto"/>
                  <w:vAlign w:val="center"/>
                </w:tcPr>
                <w:p>
                  <w:pPr>
                    <w:tabs>
                      <w:tab w:val="center" w:pos="4153"/>
                      <w:tab w:val="right" w:pos="8306"/>
                    </w:tabs>
                    <w:snapToGrid w:val="0"/>
                    <w:jc w:val="center"/>
                    <w:rPr>
                      <w:rFonts w:ascii="Times New Roman" w:eastAsia="宋体" w:cs="Times New Roman" w:hAnsi="Times New Roman" w:hint="eastAsia"/>
                      <w:b w:val="0"/>
                      <w:bCs w:val="0"/>
                      <w:color w:val="auto"/>
                      <w:sz w:val="21"/>
                      <w:szCs w:val="21"/>
                      <w:lang w:val="en-US" w:eastAsia="zh-CN"/>
                      <w:highlight w:val="none"/>
                    </w:rPr>
                  </w:pPr>
                  <w:r>
                    <w:rPr>
                      <w:rFonts w:hint="eastAsia"/>
                      <w:color w:val="auto"/>
                      <w:sz w:val="21"/>
                      <w:szCs w:val="21"/>
                      <w:lang w:val="en-US" w:eastAsia="zh-CN"/>
                      <w:highlight w:val="none"/>
                    </w:rPr>
                    <w:t>风机</w:t>
                  </w:r>
                </w:p>
              </w:tc>
              <w:tc>
                <w:tcPr>
                  <w:tcW w:w="962" w:type="pct"/>
                  <w:tcBorders>
                    <w:left w:val="single" w:sz="4" w:space="0" w:color="auto"/>
                  </w:tcBorders>
                  <w:shd w:val="clear" w:color="auto" w:fill="auto"/>
                  <w:vAlign w:val="center"/>
                </w:tcPr>
                <w:p>
                  <w:pPr>
                    <w:tabs>
                      <w:tab w:val="center" w:pos="4153"/>
                      <w:tab w:val="right" w:pos="8306"/>
                    </w:tabs>
                    <w:snapToGrid w:val="0"/>
                    <w:jc w:val="center"/>
                    <w:rPr>
                      <w:rFonts w:eastAsia="宋体" w:hint="eastAsia"/>
                      <w:color w:val="auto"/>
                      <w:lang w:val="en-US" w:eastAsia="zh-CN"/>
                      <w:highlight w:val="none"/>
                    </w:rPr>
                  </w:pPr>
                  <w:r>
                    <w:rPr>
                      <w:rFonts w:hint="eastAsia"/>
                      <w:color w:val="auto"/>
                      <w:sz w:val="21"/>
                      <w:szCs w:val="21"/>
                      <w:highlight w:val="none"/>
                    </w:rPr>
                    <w:t>Leq</w:t>
                  </w:r>
                  <w:r>
                    <w:rPr>
                      <w:rFonts w:hint="eastAsia"/>
                      <w:color w:val="auto"/>
                      <w:sz w:val="21"/>
                      <w:szCs w:val="21"/>
                      <w:lang w:eastAsia="zh-CN"/>
                      <w:highlight w:val="none"/>
                    </w:rPr>
                    <w:t>（</w:t>
                  </w:r>
                  <w:r>
                    <w:rPr>
                      <w:rFonts w:hint="eastAsia"/>
                      <w:color w:val="auto"/>
                      <w:sz w:val="21"/>
                      <w:szCs w:val="21"/>
                      <w:lang w:val="en-US" w:eastAsia="zh-CN"/>
                      <w:highlight w:val="none"/>
                    </w:rPr>
                    <w:t>A</w:t>
                  </w:r>
                  <w:r>
                    <w:rPr>
                      <w:rFonts w:hint="eastAsia"/>
                      <w:color w:val="auto"/>
                      <w:sz w:val="21"/>
                      <w:szCs w:val="21"/>
                      <w:lang w:eastAsia="zh-CN"/>
                      <w:highlight w:val="none"/>
                    </w:rPr>
                    <w:t>）</w:t>
                  </w:r>
                </w:p>
              </w:tc>
              <w:tc>
                <w:tcPr>
                  <w:tcW w:w="474" w:type="pct"/>
                  <w:tcBorders>
                    <w:left w:val="single" w:sz="4" w:space="0" w:color="auto"/>
                  </w:tcBorders>
                  <w:shd w:val="clear" w:color="auto" w:fill="auto"/>
                  <w:vAlign w:val="center"/>
                </w:tcPr>
                <w:p>
                  <w:pPr>
                    <w:tabs>
                      <w:tab w:val="center" w:pos="4153"/>
                      <w:tab w:val="right" w:pos="8306"/>
                    </w:tabs>
                    <w:snapToGrid w:val="0"/>
                    <w:jc w:val="center"/>
                    <w:rPr>
                      <w:rFonts w:ascii="Times New Roman" w:eastAsia="宋体" w:cs="Times New Roman" w:hAnsi="Times New Roman" w:hint="eastAsia"/>
                      <w:b w:val="0"/>
                      <w:bCs w:val="0"/>
                      <w:color w:val="auto"/>
                      <w:sz w:val="21"/>
                      <w:szCs w:val="21"/>
                      <w:lang w:val="en-US" w:eastAsia="zh-CN"/>
                      <w:highlight w:val="none"/>
                    </w:rPr>
                  </w:pPr>
                  <w:r>
                    <w:rPr>
                      <w:rFonts w:ascii="Times New Roman" w:eastAsia="Segoe UI" w:cs="Times New Roman" w:hAnsi="Times New Roman" w:hint="eastAsia"/>
                      <w:b w:val="0"/>
                      <w:bCs w:val="0"/>
                      <w:i w:val="0"/>
                      <w:iCs w:val="0"/>
                      <w:caps w:val="0"/>
                      <w:smallCaps w:val="0"/>
                      <w:color w:val="auto"/>
                      <w:spacing w:val="0"/>
                      <w:kern w:val="0"/>
                      <w:sz w:val="21"/>
                      <w:szCs w:val="21"/>
                      <w:shd w:val="clear" w:color="auto" w:fill="FFFFFF"/>
                      <w:lang w:val="zh-CN" w:eastAsia="zh-CN" w:bidi="ar-SA"/>
                      <w:highlight w:val="none"/>
                    </w:rPr>
                    <w:t>间断</w:t>
                  </w:r>
                </w:p>
              </w:tc>
              <w:tc>
                <w:tcPr>
                  <w:tcW w:w="1689" w:type="pct"/>
                  <w:vMerge w:val="restart"/>
                  <w:tcBorders>
                    <w:left w:val="single" w:sz="4" w:space="0" w:color="auto"/>
                  </w:tcBorders>
                  <w:shd w:val="clear" w:color="auto" w:fill="auto"/>
                  <w:vAlign w:val="center"/>
                </w:tcPr>
                <w:p>
                  <w:pPr>
                    <w:tabs>
                      <w:tab w:val="center" w:pos="4153"/>
                      <w:tab w:val="right" w:pos="8306"/>
                    </w:tabs>
                    <w:snapToGrid w:val="0"/>
                    <w:jc w:val="center"/>
                    <w:rPr>
                      <w:rFonts w:eastAsia="宋体" w:cs="Times New Roman" w:hint="eastAsia"/>
                      <w:color w:val="auto"/>
                      <w:kern w:val="2"/>
                      <w:sz w:val="21"/>
                      <w:szCs w:val="21"/>
                      <w:lang w:val="en-US" w:eastAsia="zh-CN" w:bidi="ar-SA"/>
                      <w:highlight w:val="none"/>
                    </w:rPr>
                  </w:pPr>
                  <w:r>
                    <w:rPr>
                      <w:color w:val="auto"/>
                      <w:sz w:val="21"/>
                      <w:szCs w:val="21"/>
                      <w:lang w:val="zh-CN"/>
                      <w:highlight w:val="none"/>
                    </w:rPr>
                    <w:t>选用低噪声设备，采取基础减</w:t>
                  </w:r>
                  <w:r>
                    <w:rPr>
                      <w:rFonts w:hint="eastAsia"/>
                      <w:color w:val="auto"/>
                      <w:sz w:val="21"/>
                      <w:szCs w:val="21"/>
                      <w:lang w:val="zh-CN"/>
                      <w:highlight w:val="none"/>
                    </w:rPr>
                    <w:t>振</w:t>
                  </w:r>
                  <w:r>
                    <w:rPr>
                      <w:color w:val="auto"/>
                      <w:sz w:val="21"/>
                      <w:szCs w:val="21"/>
                      <w:lang w:val="zh-CN"/>
                      <w:highlight w:val="none"/>
                    </w:rPr>
                    <w:t>、厂房隔声等措施</w:t>
                  </w:r>
                </w:p>
              </w:tc>
            </w:tr>
            <w:tr>
              <w:trPr>
                <w:cantSplit/>
                <w:trHeight w:val="464"/>
              </w:trPr>
              <w:tc>
                <w:tcPr>
                  <w:tcW w:w="420" w:type="pct"/>
                  <w:vMerge/>
                  <w:vAlign w:val="center"/>
                </w:tcPr>
                <w:p/>
              </w:tc>
              <w:tc>
                <w:tcPr>
                  <w:tcW w:w="339" w:type="pct"/>
                  <w:tcBorders>
                    <w:left w:val="single" w:sz="4" w:space="0" w:color="auto"/>
                  </w:tcBorders>
                  <w:vAlign w:val="center"/>
                </w:tcPr>
                <w:p>
                  <w:pPr>
                    <w:snapToGrid w:val="0"/>
                    <w:jc w:val="center"/>
                    <w:rPr>
                      <w:rFonts w:hint="eastAsia"/>
                      <w:color w:val="auto"/>
                      <w:sz w:val="21"/>
                      <w:szCs w:val="21"/>
                      <w:highlight w:val="none"/>
                    </w:rPr>
                  </w:pPr>
                  <w:r>
                    <w:rPr>
                      <w:rFonts w:ascii="Times New Roman" w:eastAsia="宋体" w:cs="Times New Roman" w:hAnsi="Times New Roman" w:hint="eastAsia"/>
                      <w:color w:val="auto"/>
                      <w:sz w:val="21"/>
                      <w:szCs w:val="21"/>
                      <w:lang w:val="en-US" w:eastAsia="zh-CN"/>
                      <w:highlight w:val="none"/>
                    </w:rPr>
                    <w:t>N</w:t>
                  </w:r>
                  <w:r>
                    <w:rPr>
                      <w:rFonts w:ascii="Times New Roman" w:eastAsia="宋体" w:cs="Times New Roman" w:hAnsi="Times New Roman" w:hint="eastAsia"/>
                      <w:color w:val="auto"/>
                      <w:sz w:val="21"/>
                      <w:szCs w:val="21"/>
                      <w:vertAlign w:val="subscript"/>
                      <w:lang w:val="en-US" w:eastAsia="zh-CN"/>
                      <w:highlight w:val="none"/>
                    </w:rPr>
                    <w:t>2</w:t>
                  </w:r>
                </w:p>
              </w:tc>
              <w:tc>
                <w:tcPr>
                  <w:tcW w:w="1114" w:type="pct"/>
                  <w:tcBorders>
                    <w:left w:val="single" w:sz="4" w:space="0" w:color="auto"/>
                  </w:tcBorders>
                  <w:shd w:val="clear" w:color="auto" w:fill="auto"/>
                  <w:vAlign w:val="center"/>
                </w:tcPr>
                <w:p>
                  <w:pPr>
                    <w:tabs>
                      <w:tab w:val="center" w:pos="4153"/>
                      <w:tab w:val="right" w:pos="8306"/>
                    </w:tabs>
                    <w:snapToGrid w:val="0"/>
                    <w:jc w:val="center"/>
                    <w:rPr>
                      <w:rFonts w:ascii="Times New Roman" w:eastAsia="宋体" w:cs="Times New Roman" w:hAnsi="Times New Roman" w:hint="eastAsia"/>
                      <w:b w:val="0"/>
                      <w:bCs w:val="0"/>
                      <w:color w:val="auto"/>
                      <w:sz w:val="21"/>
                      <w:szCs w:val="21"/>
                      <w:lang w:val="en-US" w:eastAsia="zh-CN"/>
                      <w:highlight w:val="none"/>
                    </w:rPr>
                  </w:pPr>
                  <w:r>
                    <w:rPr>
                      <w:rFonts w:cs="Times New Roman" w:hint="eastAsia"/>
                      <w:b w:val="0"/>
                      <w:bCs w:val="0"/>
                      <w:color w:val="auto"/>
                      <w:sz w:val="21"/>
                      <w:szCs w:val="21"/>
                      <w:lang w:val="en-US" w:eastAsia="zh-CN"/>
                      <w:highlight w:val="none"/>
                    </w:rPr>
                    <w:t>循环泵</w:t>
                  </w:r>
                </w:p>
              </w:tc>
              <w:tc>
                <w:tcPr>
                  <w:tcW w:w="962" w:type="pct"/>
                  <w:tcBorders>
                    <w:left w:val="single" w:sz="4" w:space="0" w:color="auto"/>
                  </w:tcBorders>
                  <w:shd w:val="clear" w:color="auto" w:fill="auto"/>
                  <w:vAlign w:val="center"/>
                </w:tcPr>
                <w:p>
                  <w:pPr>
                    <w:tabs>
                      <w:tab w:val="center" w:pos="4153"/>
                      <w:tab w:val="right" w:pos="8306"/>
                    </w:tabs>
                    <w:snapToGrid w:val="0"/>
                    <w:jc w:val="center"/>
                    <w:rPr>
                      <w:rFonts w:hint="eastAsia"/>
                      <w:color w:val="auto"/>
                      <w:lang w:val="en-US" w:eastAsia="zh-CN"/>
                      <w:highlight w:val="none"/>
                    </w:rPr>
                  </w:pPr>
                  <w:r>
                    <w:rPr>
                      <w:rFonts w:hint="eastAsia"/>
                      <w:color w:val="auto"/>
                      <w:sz w:val="21"/>
                      <w:szCs w:val="21"/>
                      <w:highlight w:val="none"/>
                    </w:rPr>
                    <w:t>Leq</w:t>
                  </w:r>
                  <w:r>
                    <w:rPr>
                      <w:rFonts w:hint="eastAsia"/>
                      <w:color w:val="auto"/>
                      <w:sz w:val="21"/>
                      <w:szCs w:val="21"/>
                      <w:lang w:eastAsia="zh-CN"/>
                      <w:highlight w:val="none"/>
                    </w:rPr>
                    <w:t>（</w:t>
                  </w:r>
                  <w:r>
                    <w:rPr>
                      <w:rFonts w:hint="eastAsia"/>
                      <w:color w:val="auto"/>
                      <w:sz w:val="21"/>
                      <w:szCs w:val="21"/>
                      <w:lang w:val="en-US" w:eastAsia="zh-CN"/>
                      <w:highlight w:val="none"/>
                    </w:rPr>
                    <w:t>A</w:t>
                  </w:r>
                  <w:r>
                    <w:rPr>
                      <w:rFonts w:hint="eastAsia"/>
                      <w:color w:val="auto"/>
                      <w:sz w:val="21"/>
                      <w:szCs w:val="21"/>
                      <w:lang w:eastAsia="zh-CN"/>
                      <w:highlight w:val="none"/>
                    </w:rPr>
                    <w:t>）</w:t>
                  </w:r>
                </w:p>
              </w:tc>
              <w:tc>
                <w:tcPr>
                  <w:tcW w:w="474" w:type="pct"/>
                  <w:tcBorders>
                    <w:left w:val="single" w:sz="4" w:space="0" w:color="auto"/>
                  </w:tcBorders>
                  <w:shd w:val="clear" w:color="auto" w:fill="auto"/>
                  <w:vAlign w:val="center"/>
                </w:tcPr>
                <w:p>
                  <w:pPr>
                    <w:tabs>
                      <w:tab w:val="center" w:pos="4153"/>
                      <w:tab w:val="right" w:pos="8306"/>
                    </w:tabs>
                    <w:snapToGrid w:val="0"/>
                    <w:jc w:val="center"/>
                    <w:rPr>
                      <w:rFonts w:ascii="Times New Roman" w:eastAsia="宋体" w:cs="Times New Roman" w:hAnsi="Times New Roman" w:hint="eastAsia"/>
                      <w:b w:val="0"/>
                      <w:bCs w:val="0"/>
                      <w:color w:val="auto"/>
                      <w:sz w:val="21"/>
                      <w:szCs w:val="21"/>
                      <w:lang w:val="en-US" w:eastAsia="zh-CN"/>
                      <w:highlight w:val="none"/>
                    </w:rPr>
                  </w:pPr>
                  <w:r>
                    <w:rPr>
                      <w:rFonts w:ascii="Times New Roman" w:eastAsia="Segoe UI" w:cs="Times New Roman" w:hAnsi="Times New Roman" w:hint="eastAsia"/>
                      <w:b w:val="0"/>
                      <w:bCs w:val="0"/>
                      <w:i w:val="0"/>
                      <w:iCs w:val="0"/>
                      <w:caps w:val="0"/>
                      <w:smallCaps w:val="0"/>
                      <w:color w:val="auto"/>
                      <w:spacing w:val="0"/>
                      <w:kern w:val="0"/>
                      <w:sz w:val="21"/>
                      <w:szCs w:val="21"/>
                      <w:shd w:val="clear" w:color="auto" w:fill="FFFFFF"/>
                      <w:lang w:val="zh-CN" w:eastAsia="zh-CN" w:bidi="ar-SA"/>
                      <w:highlight w:val="none"/>
                    </w:rPr>
                    <w:t>间断</w:t>
                  </w:r>
                </w:p>
              </w:tc>
              <w:tc>
                <w:tcPr>
                  <w:tcW w:w="1689" w:type="pct"/>
                  <w:vMerge/>
                  <w:tcBorders>
                    <w:left w:val="single" w:sz="4" w:space="0" w:color="auto"/>
                  </w:tcBorders>
                  <w:shd w:val="clear" w:color="auto" w:fill="auto"/>
                  <w:vAlign w:val="center"/>
                </w:tcPr>
                <w:p/>
              </w:tc>
            </w:tr>
            <w:tr>
              <w:trPr>
                <w:cantSplit/>
                <w:trHeight w:val="397"/>
              </w:trPr>
              <w:tc>
                <w:tcPr>
                  <w:tcW w:w="420" w:type="pct"/>
                  <w:vMerge w:val="restart"/>
                  <w:vAlign w:val="center"/>
                </w:tcPr>
                <w:p>
                  <w:pPr>
                    <w:tabs>
                      <w:tab w:val="center" w:pos="4153"/>
                      <w:tab w:val="right" w:pos="8306"/>
                    </w:tabs>
                    <w:snapToGrid w:val="0"/>
                    <w:jc w:val="center"/>
                    <w:rPr>
                      <w:rFonts w:eastAsia="宋体" w:hint="eastAsia"/>
                      <w:color w:val="auto"/>
                      <w:sz w:val="21"/>
                      <w:szCs w:val="21"/>
                      <w:lang w:val="en-US" w:eastAsia="zh-CN"/>
                      <w:highlight w:val="none"/>
                    </w:rPr>
                  </w:pPr>
                  <w:r>
                    <w:rPr>
                      <w:rFonts w:hint="eastAsia"/>
                      <w:color w:val="auto"/>
                      <w:sz w:val="21"/>
                      <w:szCs w:val="21"/>
                      <w:lang w:val="en-US" w:eastAsia="zh-CN"/>
                      <w:highlight w:val="none"/>
                    </w:rPr>
                    <w:t>固废</w:t>
                  </w:r>
                </w:p>
              </w:tc>
              <w:tc>
                <w:tcPr>
                  <w:tcW w:w="339" w:type="pct"/>
                  <w:tcBorders>
                    <w:left w:val="single" w:sz="4" w:space="0" w:color="auto"/>
                  </w:tcBorders>
                  <w:vAlign w:val="center"/>
                </w:tcPr>
                <w:p>
                  <w:pPr>
                    <w:tabs>
                      <w:tab w:val="center" w:pos="4153"/>
                      <w:tab w:val="right" w:pos="8306"/>
                    </w:tabs>
                    <w:snapToGrid w:val="0"/>
                    <w:jc w:val="center"/>
                    <w:rPr>
                      <w:rFonts w:hint="eastAsia"/>
                      <w:color w:val="auto"/>
                      <w:sz w:val="21"/>
                      <w:szCs w:val="21"/>
                      <w:highlight w:val="none"/>
                    </w:rPr>
                  </w:pPr>
                  <w:r>
                    <w:rPr>
                      <w:rFonts w:hint="eastAsia"/>
                      <w:color w:val="auto"/>
                      <w:sz w:val="21"/>
                      <w:szCs w:val="21"/>
                      <w:highlight w:val="none"/>
                    </w:rPr>
                    <w:t>S</w:t>
                  </w:r>
                  <w:r>
                    <w:rPr>
                      <w:rFonts w:hint="eastAsia"/>
                      <w:color w:val="auto"/>
                      <w:sz w:val="21"/>
                      <w:szCs w:val="21"/>
                      <w:vertAlign w:val="subscript"/>
                      <w:highlight w:val="none"/>
                    </w:rPr>
                    <w:t>1</w:t>
                  </w:r>
                </w:p>
              </w:tc>
              <w:tc>
                <w:tcPr>
                  <w:tcW w:w="1114" w:type="pct"/>
                  <w:tcBorders>
                    <w:left w:val="single" w:sz="4" w:space="0" w:color="auto"/>
                  </w:tcBorders>
                  <w:shd w:val="clear" w:color="auto" w:fill="auto"/>
                  <w:vAlign w:val="center"/>
                </w:tcPr>
                <w:p>
                  <w:pPr>
                    <w:tabs>
                      <w:tab w:val="center" w:pos="4153"/>
                      <w:tab w:val="right" w:pos="8306"/>
                    </w:tabs>
                    <w:snapToGrid w:val="0"/>
                    <w:jc w:val="center"/>
                    <w:rPr>
                      <w:rFonts w:ascii="Times New Roman" w:eastAsia="Segoe UI" w:cs="Times New Roman" w:hAnsi="Times New Roman" w:hint="eastAsia"/>
                      <w:b w:val="0"/>
                      <w:bCs w:val="0"/>
                      <w:i w:val="0"/>
                      <w:iCs w:val="0"/>
                      <w:caps w:val="0"/>
                      <w:smallCaps w:val="0"/>
                      <w:color w:val="auto"/>
                      <w:spacing w:val="0"/>
                      <w:kern w:val="0"/>
                      <w:sz w:val="21"/>
                      <w:szCs w:val="21"/>
                      <w:shd w:val="clear" w:color="auto" w:fill="FFFFFF"/>
                      <w:lang w:val="en-US" w:eastAsia="zh-CN" w:bidi="ar-SA"/>
                      <w:highlight w:val="none"/>
                    </w:rPr>
                  </w:pPr>
                  <w:r>
                    <w:rPr>
                      <w:rFonts w:hint="eastAsia"/>
                      <w:color w:val="auto"/>
                      <w:sz w:val="21"/>
                      <w:szCs w:val="21"/>
                      <w:lang w:eastAsia="zh-CN"/>
                      <w:highlight w:val="none"/>
                    </w:rPr>
                    <w:t>破损电池贮存间、事故收集</w:t>
                  </w:r>
                </w:p>
              </w:tc>
              <w:tc>
                <w:tcPr>
                  <w:tcW w:w="962" w:type="pct"/>
                  <w:tcBorders>
                    <w:left w:val="single" w:sz="4" w:space="0" w:color="auto"/>
                  </w:tcBorders>
                  <w:shd w:val="clear" w:color="auto" w:fill="auto"/>
                  <w:vAlign w:val="center"/>
                </w:tcPr>
                <w:p>
                  <w:pPr>
                    <w:tabs>
                      <w:tab w:val="center" w:pos="4153"/>
                      <w:tab w:val="right" w:pos="8306"/>
                    </w:tabs>
                    <w:snapToGrid w:val="0"/>
                    <w:jc w:val="center"/>
                    <w:rPr>
                      <w:rFonts w:ascii="Times New Roman" w:eastAsia="Segoe UI" w:cs="Times New Roman" w:hAnsi="Times New Roman" w:hint="eastAsia"/>
                      <w:b w:val="0"/>
                      <w:bCs w:val="0"/>
                      <w:i w:val="0"/>
                      <w:iCs w:val="0"/>
                      <w:caps w:val="0"/>
                      <w:smallCaps w:val="0"/>
                      <w:color w:val="auto"/>
                      <w:spacing w:val="0"/>
                      <w:kern w:val="0"/>
                      <w:sz w:val="21"/>
                      <w:szCs w:val="21"/>
                      <w:shd w:val="clear" w:color="auto" w:fill="FFFFFF"/>
                      <w:lang w:val="en-US" w:eastAsia="zh-CN" w:bidi="ar-SA"/>
                      <w:highlight w:val="none"/>
                    </w:rPr>
                  </w:pPr>
                  <w:r>
                    <w:rPr>
                      <w:rFonts w:ascii="Times New Roman" w:eastAsia="Segoe UI" w:cs="Times New Roman" w:hAnsi="Times New Roman" w:hint="eastAsia"/>
                      <w:b w:val="0"/>
                      <w:bCs w:val="0"/>
                      <w:i w:val="0"/>
                      <w:iCs w:val="0"/>
                      <w:caps w:val="0"/>
                      <w:smallCaps w:val="0"/>
                      <w:color w:val="auto"/>
                      <w:spacing w:val="0"/>
                      <w:kern w:val="0"/>
                      <w:sz w:val="21"/>
                      <w:szCs w:val="21"/>
                      <w:shd w:val="clear" w:color="auto" w:fill="FFFFFF"/>
                      <w:lang w:val="en-US" w:eastAsia="zh-CN" w:bidi="ar-SA"/>
                      <w:highlight w:val="none"/>
                    </w:rPr>
                    <w:t>废</w:t>
                  </w:r>
                  <w:r>
                    <w:rPr>
                      <w:rFonts w:eastAsia="Segoe UI" w:cs="Times New Roman" w:hint="eastAsia"/>
                      <w:b w:val="0"/>
                      <w:bCs w:val="0"/>
                      <w:i w:val="0"/>
                      <w:iCs w:val="0"/>
                      <w:caps w:val="0"/>
                      <w:smallCaps w:val="0"/>
                      <w:color w:val="auto"/>
                      <w:spacing w:val="0"/>
                      <w:kern w:val="0"/>
                      <w:sz w:val="21"/>
                      <w:szCs w:val="21"/>
                      <w:shd w:val="clear" w:color="auto" w:fill="FFFFFF"/>
                      <w:lang w:val="en-US" w:eastAsia="zh-CN" w:bidi="ar-SA"/>
                      <w:highlight w:val="none"/>
                    </w:rPr>
                    <w:t>电解液</w:t>
                  </w:r>
                </w:p>
              </w:tc>
              <w:tc>
                <w:tcPr>
                  <w:tcW w:w="474" w:type="pct"/>
                  <w:tcBorders>
                    <w:left w:val="single" w:sz="4" w:space="0" w:color="auto"/>
                  </w:tcBorders>
                  <w:shd w:val="clear" w:color="auto" w:fill="auto"/>
                  <w:vAlign w:val="center"/>
                </w:tcPr>
                <w:p>
                  <w:pPr>
                    <w:tabs>
                      <w:tab w:val="center" w:pos="4153"/>
                      <w:tab w:val="right" w:pos="8306"/>
                    </w:tabs>
                    <w:snapToGrid w:val="0"/>
                    <w:jc w:val="center"/>
                    <w:rPr>
                      <w:rFonts w:ascii="Times New Roman" w:eastAsia="Segoe UI" w:cs="Times New Roman" w:hAnsi="Times New Roman" w:hint="eastAsia"/>
                      <w:b w:val="0"/>
                      <w:bCs w:val="0"/>
                      <w:i w:val="0"/>
                      <w:iCs w:val="0"/>
                      <w:caps w:val="0"/>
                      <w:smallCaps w:val="0"/>
                      <w:color w:val="auto"/>
                      <w:spacing w:val="0"/>
                      <w:kern w:val="0"/>
                      <w:sz w:val="21"/>
                      <w:szCs w:val="21"/>
                      <w:shd w:val="clear" w:color="auto" w:fill="FFFFFF"/>
                      <w:lang w:val="zh-CN" w:eastAsia="zh-CN" w:bidi="ar-SA"/>
                      <w:highlight w:val="none"/>
                    </w:rPr>
                  </w:pPr>
                  <w:r>
                    <w:rPr>
                      <w:rFonts w:ascii="Times New Roman" w:eastAsia="Segoe UI" w:cs="Times New Roman" w:hAnsi="Times New Roman" w:hint="eastAsia"/>
                      <w:b w:val="0"/>
                      <w:bCs w:val="0"/>
                      <w:i w:val="0"/>
                      <w:iCs w:val="0"/>
                      <w:caps w:val="0"/>
                      <w:smallCaps w:val="0"/>
                      <w:color w:val="auto"/>
                      <w:spacing w:val="0"/>
                      <w:kern w:val="0"/>
                      <w:sz w:val="21"/>
                      <w:szCs w:val="21"/>
                      <w:shd w:val="clear" w:color="auto" w:fill="FFFFFF"/>
                      <w:lang w:val="zh-CN" w:eastAsia="zh-CN" w:bidi="ar-SA"/>
                      <w:highlight w:val="none"/>
                    </w:rPr>
                    <w:t>间断</w:t>
                  </w:r>
                </w:p>
              </w:tc>
              <w:tc>
                <w:tcPr>
                  <w:tcW w:w="1689" w:type="pct"/>
                  <w:vMerge w:val="restart"/>
                  <w:tcBorders>
                    <w:left w:val="single" w:sz="4" w:space="0" w:color="auto"/>
                  </w:tcBorders>
                  <w:shd w:val="clear" w:color="auto" w:fill="auto"/>
                  <w:vAlign w:val="center"/>
                </w:tcPr>
                <w:p>
                  <w:pPr>
                    <w:tabs>
                      <w:tab w:val="center" w:pos="4153"/>
                      <w:tab w:val="right" w:pos="8306"/>
                    </w:tabs>
                    <w:snapToGrid w:val="0"/>
                    <w:jc w:val="center"/>
                    <w:rPr>
                      <w:rFonts w:ascii="Times New Roman" w:eastAsia="Segoe UI" w:cs="Times New Roman" w:hAnsi="Times New Roman" w:hint="eastAsia"/>
                      <w:b w:val="0"/>
                      <w:bCs w:val="0"/>
                      <w:i w:val="0"/>
                      <w:iCs w:val="0"/>
                      <w:caps w:val="0"/>
                      <w:smallCaps w:val="0"/>
                      <w:color w:val="auto"/>
                      <w:spacing w:val="0"/>
                      <w:kern w:val="0"/>
                      <w:sz w:val="21"/>
                      <w:szCs w:val="21"/>
                      <w:shd w:val="clear" w:color="auto" w:fill="FFFFFF"/>
                      <w:lang w:val="en-US" w:eastAsia="zh-CN" w:bidi="ar-SA"/>
                      <w:highlight w:val="none"/>
                    </w:rPr>
                  </w:pPr>
                  <w:r>
                    <w:rPr>
                      <w:rFonts w:ascii="Times New Roman" w:eastAsia="Segoe UI" w:cs="Times New Roman" w:hAnsi="Times New Roman" w:hint="eastAsia"/>
                      <w:b w:val="0"/>
                      <w:bCs w:val="0"/>
                      <w:i w:val="0"/>
                      <w:iCs w:val="0"/>
                      <w:caps w:val="0"/>
                      <w:smallCaps w:val="0"/>
                      <w:color w:val="auto"/>
                      <w:spacing w:val="0"/>
                      <w:kern w:val="0"/>
                      <w:sz w:val="21"/>
                      <w:szCs w:val="21"/>
                      <w:shd w:val="clear" w:color="auto" w:fill="FFFFFF"/>
                      <w:lang w:val="en-US" w:eastAsia="zh-CN" w:bidi="ar-SA"/>
                      <w:highlight w:val="none"/>
                    </w:rPr>
                    <w:t>交</w:t>
                  </w:r>
                  <w:r>
                    <w:rPr>
                      <w:rFonts w:eastAsia="Segoe UI" w:cs="Times New Roman" w:hint="eastAsia"/>
                      <w:b w:val="0"/>
                      <w:bCs w:val="0"/>
                      <w:i w:val="0"/>
                      <w:iCs w:val="0"/>
                      <w:caps w:val="0"/>
                      <w:smallCaps w:val="0"/>
                      <w:color w:val="auto"/>
                      <w:spacing w:val="0"/>
                      <w:kern w:val="0"/>
                      <w:sz w:val="21"/>
                      <w:szCs w:val="21"/>
                      <w:shd w:val="clear" w:color="auto" w:fill="FFFFFF"/>
                      <w:lang w:val="en-US" w:eastAsia="zh-CN" w:bidi="ar-SA"/>
                      <w:highlight w:val="none"/>
                    </w:rPr>
                    <w:t>有资质单位处置</w:t>
                  </w:r>
                </w:p>
              </w:tc>
            </w:tr>
            <w:tr>
              <w:trPr>
                <w:cantSplit/>
                <w:trHeight w:val="435"/>
              </w:trPr>
              <w:tc>
                <w:tcPr>
                  <w:tcW w:w="420" w:type="pct"/>
                  <w:vMerge/>
                  <w:vAlign w:val="center"/>
                </w:tcPr>
                <w:p/>
              </w:tc>
              <w:tc>
                <w:tcPr>
                  <w:tcW w:w="339" w:type="pct"/>
                  <w:tcBorders>
                    <w:left w:val="single" w:sz="4" w:space="0" w:color="auto"/>
                  </w:tcBorders>
                  <w:vAlign w:val="center"/>
                </w:tcPr>
                <w:p>
                  <w:pPr>
                    <w:tabs>
                      <w:tab w:val="center" w:pos="4153"/>
                      <w:tab w:val="right" w:pos="8306"/>
                    </w:tabs>
                    <w:snapToGrid w:val="0"/>
                    <w:jc w:val="center"/>
                    <w:rPr>
                      <w:rFonts w:eastAsia="宋体" w:hint="eastAsia"/>
                      <w:color w:val="auto"/>
                      <w:sz w:val="21"/>
                      <w:szCs w:val="21"/>
                      <w:lang w:val="en-US" w:eastAsia="zh-CN"/>
                      <w:highlight w:val="none"/>
                    </w:rPr>
                  </w:pPr>
                  <w:r>
                    <w:rPr>
                      <w:rFonts w:hint="eastAsia"/>
                      <w:color w:val="auto"/>
                      <w:sz w:val="21"/>
                      <w:szCs w:val="21"/>
                      <w:highlight w:val="none"/>
                    </w:rPr>
                    <w:t>S</w:t>
                  </w:r>
                  <w:r>
                    <w:rPr>
                      <w:rFonts w:hint="eastAsia"/>
                      <w:color w:val="auto"/>
                      <w:sz w:val="21"/>
                      <w:szCs w:val="21"/>
                      <w:vertAlign w:val="subscript"/>
                      <w:lang w:val="en-US" w:eastAsia="zh-CN"/>
                      <w:highlight w:val="none"/>
                    </w:rPr>
                    <w:t>2</w:t>
                  </w:r>
                </w:p>
              </w:tc>
              <w:tc>
                <w:tcPr>
                  <w:tcW w:w="1114" w:type="pct"/>
                  <w:tcBorders>
                    <w:left w:val="single" w:sz="4" w:space="0" w:color="auto"/>
                  </w:tcBorders>
                  <w:shd w:val="clear" w:color="auto" w:fill="auto"/>
                  <w:vAlign w:val="center"/>
                </w:tcPr>
                <w:p>
                  <w:pPr>
                    <w:tabs>
                      <w:tab w:val="center" w:pos="4153"/>
                      <w:tab w:val="right" w:pos="8306"/>
                    </w:tabs>
                    <w:snapToGrid w:val="0"/>
                    <w:jc w:val="center"/>
                    <w:rPr>
                      <w:rFonts w:hint="eastAsia"/>
                      <w:color w:val="auto"/>
                      <w:sz w:val="21"/>
                      <w:szCs w:val="21"/>
                      <w:lang w:eastAsia="zh-CN"/>
                      <w:highlight w:val="none"/>
                    </w:rPr>
                  </w:pPr>
                  <w:r>
                    <w:rPr>
                      <w:rFonts w:hint="eastAsia"/>
                      <w:color w:val="auto"/>
                      <w:sz w:val="21"/>
                      <w:szCs w:val="21"/>
                      <w:lang w:eastAsia="zh-CN"/>
                      <w:highlight w:val="none"/>
                    </w:rPr>
                    <w:t>碱液喷淋装置</w:t>
                  </w:r>
                </w:p>
              </w:tc>
              <w:tc>
                <w:tcPr>
                  <w:tcW w:w="962" w:type="pct"/>
                  <w:tcBorders>
                    <w:left w:val="single" w:sz="4" w:space="0" w:color="auto"/>
                  </w:tcBorders>
                  <w:shd w:val="clear" w:color="auto" w:fill="auto"/>
                  <w:vAlign w:val="center"/>
                </w:tcPr>
                <w:p>
                  <w:pPr>
                    <w:tabs>
                      <w:tab w:val="center" w:pos="4153"/>
                      <w:tab w:val="right" w:pos="8306"/>
                    </w:tabs>
                    <w:snapToGrid w:val="0"/>
                    <w:jc w:val="center"/>
                    <w:rPr>
                      <w:rFonts w:ascii="Times New Roman" w:eastAsia="Segoe UI" w:cs="Times New Roman" w:hAnsi="Times New Roman" w:hint="eastAsia"/>
                      <w:b w:val="0"/>
                      <w:bCs w:val="0"/>
                      <w:i w:val="0"/>
                      <w:iCs w:val="0"/>
                      <w:caps w:val="0"/>
                      <w:smallCaps w:val="0"/>
                      <w:color w:val="auto"/>
                      <w:spacing w:val="0"/>
                      <w:kern w:val="0"/>
                      <w:sz w:val="21"/>
                      <w:szCs w:val="21"/>
                      <w:shd w:val="clear" w:color="auto" w:fill="FFFFFF"/>
                      <w:lang w:val="en-US" w:eastAsia="zh-CN" w:bidi="ar-SA"/>
                      <w:highlight w:val="none"/>
                    </w:rPr>
                  </w:pPr>
                  <w:r>
                    <w:rPr>
                      <w:rFonts w:eastAsia="Segoe UI" w:cs="Times New Roman" w:hint="eastAsia"/>
                      <w:b w:val="0"/>
                      <w:bCs w:val="0"/>
                      <w:i w:val="0"/>
                      <w:iCs w:val="0"/>
                      <w:caps w:val="0"/>
                      <w:smallCaps w:val="0"/>
                      <w:color w:val="auto"/>
                      <w:spacing w:val="0"/>
                      <w:kern w:val="0"/>
                      <w:sz w:val="21"/>
                      <w:szCs w:val="21"/>
                      <w:shd w:val="clear" w:color="auto" w:fill="FFFFFF"/>
                      <w:lang w:val="en-US" w:eastAsia="zh-CN" w:bidi="ar-SA"/>
                      <w:highlight w:val="none"/>
                    </w:rPr>
                    <w:t>废碱液</w:t>
                  </w:r>
                </w:p>
              </w:tc>
              <w:tc>
                <w:tcPr>
                  <w:tcW w:w="474" w:type="pct"/>
                  <w:tcBorders>
                    <w:left w:val="single" w:sz="4" w:space="0" w:color="auto"/>
                  </w:tcBorders>
                  <w:shd w:val="clear" w:color="auto" w:fill="auto"/>
                  <w:vAlign w:val="center"/>
                </w:tcPr>
                <w:p>
                  <w:pPr>
                    <w:tabs>
                      <w:tab w:val="center" w:pos="4153"/>
                      <w:tab w:val="right" w:pos="8306"/>
                    </w:tabs>
                    <w:snapToGrid w:val="0"/>
                    <w:jc w:val="center"/>
                    <w:rPr>
                      <w:rFonts w:ascii="Times New Roman" w:eastAsia="Segoe UI" w:cs="Times New Roman" w:hAnsi="Times New Roman" w:hint="eastAsia"/>
                      <w:b w:val="0"/>
                      <w:bCs w:val="0"/>
                      <w:i w:val="0"/>
                      <w:iCs w:val="0"/>
                      <w:caps w:val="0"/>
                      <w:smallCaps w:val="0"/>
                      <w:color w:val="auto"/>
                      <w:spacing w:val="0"/>
                      <w:kern w:val="0"/>
                      <w:sz w:val="21"/>
                      <w:szCs w:val="21"/>
                      <w:shd w:val="clear" w:color="auto" w:fill="FFFFFF"/>
                      <w:lang w:val="zh-CN" w:eastAsia="zh-CN" w:bidi="ar-SA"/>
                      <w:highlight w:val="none"/>
                    </w:rPr>
                  </w:pPr>
                  <w:r>
                    <w:rPr>
                      <w:rFonts w:ascii="Times New Roman" w:eastAsia="Segoe UI" w:cs="Times New Roman" w:hAnsi="Times New Roman" w:hint="eastAsia"/>
                      <w:b w:val="0"/>
                      <w:bCs w:val="0"/>
                      <w:i w:val="0"/>
                      <w:iCs w:val="0"/>
                      <w:caps w:val="0"/>
                      <w:smallCaps w:val="0"/>
                      <w:color w:val="auto"/>
                      <w:spacing w:val="0"/>
                      <w:kern w:val="0"/>
                      <w:sz w:val="21"/>
                      <w:szCs w:val="21"/>
                      <w:shd w:val="clear" w:color="auto" w:fill="FFFFFF"/>
                      <w:lang w:val="zh-CN" w:eastAsia="zh-CN" w:bidi="ar-SA"/>
                      <w:highlight w:val="none"/>
                    </w:rPr>
                    <w:t>间断</w:t>
                  </w:r>
                </w:p>
              </w:tc>
              <w:tc>
                <w:tcPr>
                  <w:tcW w:w="1689" w:type="pct"/>
                  <w:vMerge/>
                  <w:tcBorders>
                    <w:left w:val="single" w:sz="4" w:space="0" w:color="auto"/>
                  </w:tcBorders>
                  <w:shd w:val="clear" w:color="auto" w:fill="auto"/>
                  <w:vAlign w:val="center"/>
                </w:tcPr>
                <w:p/>
              </w:tc>
            </w:tr>
            <w:tr>
              <w:trPr>
                <w:trHeight w:val="397"/>
              </w:trPr>
              <w:tc>
                <w:tcPr>
                  <w:tcW w:w="420" w:type="pct"/>
                  <w:vMerge/>
                  <w:vAlign w:val="center"/>
                </w:tcPr>
                <w:p/>
              </w:tc>
              <w:tc>
                <w:tcPr>
                  <w:tcW w:w="339" w:type="pct"/>
                  <w:tcBorders>
                    <w:left w:val="single" w:sz="4" w:space="0" w:color="auto"/>
                  </w:tcBorders>
                  <w:vAlign w:val="center"/>
                </w:tcPr>
                <w:p>
                  <w:pPr>
                    <w:tabs>
                      <w:tab w:val="center" w:pos="4153"/>
                      <w:tab w:val="right" w:pos="8306"/>
                    </w:tabs>
                    <w:snapToGrid w:val="0"/>
                    <w:jc w:val="center"/>
                    <w:rPr>
                      <w:rFonts w:hint="eastAsia"/>
                      <w:color w:val="auto"/>
                      <w:sz w:val="21"/>
                      <w:szCs w:val="21"/>
                      <w:highlight w:val="none"/>
                    </w:rPr>
                  </w:pPr>
                  <w:r>
                    <w:rPr>
                      <w:rFonts w:hint="eastAsia"/>
                      <w:color w:val="auto"/>
                      <w:sz w:val="21"/>
                      <w:szCs w:val="21"/>
                      <w:highlight w:val="none"/>
                    </w:rPr>
                    <w:t>S</w:t>
                  </w:r>
                  <w:r>
                    <w:rPr>
                      <w:rFonts w:hint="eastAsia"/>
                      <w:color w:val="auto"/>
                      <w:sz w:val="21"/>
                      <w:szCs w:val="21"/>
                      <w:vertAlign w:val="subscript"/>
                      <w:lang w:val="en-US" w:eastAsia="zh-CN"/>
                      <w:highlight w:val="none"/>
                    </w:rPr>
                    <w:t>3</w:t>
                  </w:r>
                </w:p>
              </w:tc>
              <w:tc>
                <w:tcPr>
                  <w:tcW w:w="1114" w:type="pct"/>
                  <w:tcBorders>
                    <w:left w:val="single" w:sz="4" w:space="0" w:color="auto"/>
                  </w:tcBorders>
                  <w:shd w:val="clear" w:color="auto" w:fill="auto"/>
                  <w:vAlign w:val="center"/>
                </w:tcPr>
                <w:p>
                  <w:pPr>
                    <w:tabs>
                      <w:tab w:val="center" w:pos="4153"/>
                      <w:tab w:val="right" w:pos="8306"/>
                    </w:tabs>
                    <w:snapToGrid w:val="0"/>
                    <w:jc w:val="center"/>
                    <w:rPr>
                      <w:rFonts w:hint="eastAsia"/>
                      <w:color w:val="auto"/>
                      <w:sz w:val="21"/>
                      <w:szCs w:val="21"/>
                      <w:lang w:eastAsia="zh-CN"/>
                      <w:highlight w:val="none"/>
                    </w:rPr>
                  </w:pPr>
                  <w:r>
                    <w:rPr>
                      <w:rFonts w:hint="eastAsia"/>
                      <w:color w:val="auto"/>
                      <w:sz w:val="21"/>
                      <w:szCs w:val="21"/>
                      <w:lang w:eastAsia="zh-CN"/>
                      <w:highlight w:val="none"/>
                    </w:rPr>
                    <w:t>废防护用具</w:t>
                  </w:r>
                </w:p>
              </w:tc>
              <w:tc>
                <w:tcPr>
                  <w:tcW w:w="962" w:type="pct"/>
                  <w:tcBorders>
                    <w:left w:val="single" w:sz="4" w:space="0" w:color="auto"/>
                  </w:tcBorders>
                  <w:shd w:val="clear" w:color="auto" w:fill="auto"/>
                  <w:vAlign w:val="center"/>
                </w:tcPr>
                <w:p>
                  <w:pPr>
                    <w:tabs>
                      <w:tab w:val="center" w:pos="4153"/>
                      <w:tab w:val="right" w:pos="8306"/>
                    </w:tabs>
                    <w:snapToGrid w:val="0"/>
                    <w:jc w:val="center"/>
                    <w:rPr>
                      <w:rFonts w:ascii="Times New Roman" w:eastAsia="Segoe UI" w:cs="Times New Roman" w:hAnsi="Times New Roman" w:hint="eastAsia"/>
                      <w:b w:val="0"/>
                      <w:bCs w:val="0"/>
                      <w:i w:val="0"/>
                      <w:iCs w:val="0"/>
                      <w:caps w:val="0"/>
                      <w:smallCaps w:val="0"/>
                      <w:color w:val="auto"/>
                      <w:spacing w:val="0"/>
                      <w:kern w:val="0"/>
                      <w:sz w:val="21"/>
                      <w:szCs w:val="21"/>
                      <w:shd w:val="clear" w:color="auto" w:fill="FFFFFF"/>
                      <w:lang w:val="en-US" w:eastAsia="zh-CN" w:bidi="ar-SA"/>
                      <w:highlight w:val="none"/>
                    </w:rPr>
                  </w:pPr>
                  <w:r>
                    <w:rPr>
                      <w:rFonts w:eastAsia="Segoe UI" w:cs="Times New Roman" w:hint="eastAsia"/>
                      <w:b w:val="0"/>
                      <w:bCs w:val="0"/>
                      <w:i w:val="0"/>
                      <w:iCs w:val="0"/>
                      <w:caps w:val="0"/>
                      <w:smallCaps w:val="0"/>
                      <w:color w:val="auto"/>
                      <w:spacing w:val="0"/>
                      <w:kern w:val="0"/>
                      <w:sz w:val="21"/>
                      <w:szCs w:val="21"/>
                      <w:shd w:val="clear" w:color="auto" w:fill="FFFFFF"/>
                      <w:lang w:val="en-US" w:eastAsia="zh-CN" w:bidi="ar-SA"/>
                      <w:highlight w:val="none"/>
                    </w:rPr>
                    <w:t>沾染电解液的废抹布、废防护服、废手套等</w:t>
                  </w:r>
                </w:p>
              </w:tc>
              <w:tc>
                <w:tcPr>
                  <w:tcW w:w="474" w:type="pct"/>
                  <w:tcBorders>
                    <w:left w:val="single" w:sz="4" w:space="0" w:color="auto"/>
                  </w:tcBorders>
                  <w:shd w:val="clear" w:color="auto" w:fill="auto"/>
                  <w:vAlign w:val="center"/>
                </w:tcPr>
                <w:p>
                  <w:pPr>
                    <w:tabs>
                      <w:tab w:val="center" w:pos="4153"/>
                      <w:tab w:val="right" w:pos="8306"/>
                    </w:tabs>
                    <w:snapToGrid w:val="0"/>
                    <w:jc w:val="center"/>
                    <w:rPr>
                      <w:rFonts w:ascii="Times New Roman" w:eastAsia="Segoe UI" w:cs="Times New Roman" w:hAnsi="Times New Roman" w:hint="eastAsia"/>
                      <w:b w:val="0"/>
                      <w:bCs w:val="0"/>
                      <w:i w:val="0"/>
                      <w:iCs w:val="0"/>
                      <w:caps w:val="0"/>
                      <w:smallCaps w:val="0"/>
                      <w:color w:val="auto"/>
                      <w:spacing w:val="0"/>
                      <w:kern w:val="0"/>
                      <w:sz w:val="21"/>
                      <w:szCs w:val="21"/>
                      <w:shd w:val="clear" w:color="auto" w:fill="FFFFFF"/>
                      <w:lang w:val="zh-CN" w:eastAsia="zh-CN" w:bidi="ar-SA"/>
                      <w:highlight w:val="none"/>
                    </w:rPr>
                  </w:pPr>
                  <w:r>
                    <w:rPr>
                      <w:rFonts w:ascii="Times New Roman" w:eastAsia="Segoe UI" w:cs="Times New Roman" w:hAnsi="Times New Roman" w:hint="eastAsia"/>
                      <w:b w:val="0"/>
                      <w:bCs w:val="0"/>
                      <w:i w:val="0"/>
                      <w:iCs w:val="0"/>
                      <w:caps w:val="0"/>
                      <w:smallCaps w:val="0"/>
                      <w:color w:val="auto"/>
                      <w:spacing w:val="0"/>
                      <w:kern w:val="0"/>
                      <w:sz w:val="21"/>
                      <w:szCs w:val="21"/>
                      <w:shd w:val="clear" w:color="auto" w:fill="FFFFFF"/>
                      <w:lang w:val="zh-CN" w:eastAsia="zh-CN" w:bidi="ar-SA"/>
                      <w:highlight w:val="none"/>
                    </w:rPr>
                    <w:t>间断</w:t>
                  </w:r>
                </w:p>
              </w:tc>
              <w:tc>
                <w:tcPr>
                  <w:tcW w:w="1689" w:type="pct"/>
                  <w:vMerge/>
                  <w:tcBorders>
                    <w:left w:val="single" w:sz="4" w:space="0" w:color="auto"/>
                  </w:tcBorders>
                  <w:shd w:val="clear" w:color="auto" w:fill="auto"/>
                  <w:vAlign w:val="center"/>
                </w:tcPr>
                <w:p/>
              </w:tc>
            </w:tr>
            <w:tr>
              <w:trPr>
                <w:cantSplit/>
                <w:trHeight w:val="397"/>
              </w:trPr>
              <w:tc>
                <w:tcPr>
                  <w:tcW w:w="420" w:type="pct"/>
                  <w:vMerge/>
                  <w:vAlign w:val="center"/>
                </w:tcPr>
                <w:p/>
              </w:tc>
              <w:tc>
                <w:tcPr>
                  <w:tcW w:w="339" w:type="pct"/>
                  <w:tcBorders>
                    <w:left w:val="single" w:sz="4" w:space="0" w:color="auto"/>
                  </w:tcBorders>
                  <w:vAlign w:val="center"/>
                </w:tcPr>
                <w:p>
                  <w:pPr>
                    <w:snapToGrid w:val="0"/>
                    <w:jc w:val="center"/>
                    <w:rPr>
                      <w:rFonts w:eastAsia="宋体"/>
                      <w:color w:val="auto"/>
                      <w:sz w:val="21"/>
                      <w:szCs w:val="21"/>
                      <w:lang w:val="en-US" w:eastAsia="zh-CN"/>
                      <w:highlight w:val="none"/>
                    </w:rPr>
                  </w:pPr>
                  <w:r>
                    <w:rPr>
                      <w:rFonts w:hint="eastAsia"/>
                      <w:color w:val="auto"/>
                      <w:sz w:val="21"/>
                      <w:szCs w:val="21"/>
                      <w:highlight w:val="none"/>
                    </w:rPr>
                    <w:t>S</w:t>
                  </w:r>
                  <w:r>
                    <w:rPr>
                      <w:rFonts w:hint="eastAsia"/>
                      <w:color w:val="auto"/>
                      <w:sz w:val="21"/>
                      <w:szCs w:val="21"/>
                      <w:vertAlign w:val="subscript"/>
                      <w:lang w:val="en-US" w:eastAsia="zh-CN"/>
                      <w:highlight w:val="none"/>
                    </w:rPr>
                    <w:t>4</w:t>
                  </w:r>
                </w:p>
              </w:tc>
              <w:tc>
                <w:tcPr>
                  <w:tcW w:w="1114" w:type="pct"/>
                  <w:tcBorders>
                    <w:left w:val="single" w:sz="4" w:space="0" w:color="auto"/>
                  </w:tcBorders>
                  <w:vAlign w:val="center"/>
                </w:tcPr>
                <w:p>
                  <w:pPr>
                    <w:tabs>
                      <w:tab w:val="center" w:pos="4153"/>
                      <w:tab w:val="right" w:pos="8306"/>
                    </w:tabs>
                    <w:snapToGrid w:val="0"/>
                    <w:jc w:val="center"/>
                    <w:rPr>
                      <w:color w:val="auto"/>
                      <w:sz w:val="21"/>
                      <w:szCs w:val="21"/>
                      <w:lang w:val="en-US" w:eastAsia="zh-CN"/>
                      <w:highlight w:val="none"/>
                    </w:rPr>
                  </w:pPr>
                  <w:r>
                    <w:rPr>
                      <w:rFonts w:hint="eastAsia"/>
                      <w:color w:val="auto"/>
                      <w:sz w:val="21"/>
                      <w:szCs w:val="21"/>
                      <w:lang w:val="en-US" w:eastAsia="zh-CN"/>
                      <w:highlight w:val="none"/>
                    </w:rPr>
                    <w:t>职工生活</w:t>
                  </w:r>
                </w:p>
              </w:tc>
              <w:tc>
                <w:tcPr>
                  <w:tcW w:w="962" w:type="pct"/>
                  <w:tcBorders>
                    <w:left w:val="single" w:sz="4" w:space="0" w:color="auto"/>
                  </w:tcBorders>
                  <w:vAlign w:val="center"/>
                </w:tcPr>
                <w:p>
                  <w:pPr>
                    <w:tabs>
                      <w:tab w:val="center" w:pos="4153"/>
                      <w:tab w:val="right" w:pos="8306"/>
                    </w:tabs>
                    <w:snapToGrid w:val="0"/>
                    <w:jc w:val="center"/>
                    <w:rPr>
                      <w:rFonts w:hint="eastAsia"/>
                      <w:color w:val="auto"/>
                      <w:sz w:val="21"/>
                      <w:szCs w:val="21"/>
                      <w:highlight w:val="none"/>
                    </w:rPr>
                  </w:pPr>
                  <w:r>
                    <w:rPr>
                      <w:rFonts w:hint="eastAsia"/>
                      <w:color w:val="auto"/>
                      <w:sz w:val="21"/>
                      <w:szCs w:val="21"/>
                      <w:lang w:val="zh-CN"/>
                      <w:highlight w:val="none"/>
                    </w:rPr>
                    <w:t>生</w:t>
                  </w:r>
                  <w:r>
                    <w:rPr>
                      <w:rFonts w:hint="eastAsia"/>
                      <w:color w:val="auto"/>
                      <w:sz w:val="21"/>
                      <w:szCs w:val="21"/>
                      <w:highlight w:val="none"/>
                    </w:rPr>
                    <w:t>活垃圾</w:t>
                  </w:r>
                </w:p>
              </w:tc>
              <w:tc>
                <w:tcPr>
                  <w:tcW w:w="474" w:type="pct"/>
                  <w:tcBorders>
                    <w:left w:val="single" w:sz="4" w:space="0" w:color="auto"/>
                  </w:tcBorders>
                  <w:vAlign w:val="center"/>
                </w:tcPr>
                <w:p>
                  <w:pPr>
                    <w:snapToGrid w:val="0"/>
                    <w:jc w:val="center"/>
                    <w:rPr>
                      <w:rFonts w:hint="eastAsia"/>
                      <w:color w:val="auto"/>
                      <w:sz w:val="21"/>
                      <w:szCs w:val="21"/>
                      <w:lang w:val="zh-CN"/>
                      <w:highlight w:val="none"/>
                    </w:rPr>
                  </w:pPr>
                  <w:r>
                    <w:rPr>
                      <w:rFonts w:hint="eastAsia"/>
                      <w:color w:val="auto"/>
                      <w:sz w:val="21"/>
                      <w:szCs w:val="21"/>
                      <w:lang w:val="zh-CN"/>
                      <w:highlight w:val="none"/>
                    </w:rPr>
                    <w:t>间断</w:t>
                  </w:r>
                </w:p>
              </w:tc>
              <w:tc>
                <w:tcPr>
                  <w:tcW w:w="1689" w:type="pct"/>
                  <w:tcBorders>
                    <w:left w:val="single" w:sz="4" w:space="0" w:color="auto"/>
                  </w:tcBorders>
                  <w:vAlign w:val="center"/>
                </w:tcPr>
                <w:p>
                  <w:pPr>
                    <w:tabs>
                      <w:tab w:val="center" w:pos="4153"/>
                      <w:tab w:val="right" w:pos="8306"/>
                    </w:tabs>
                    <w:snapToGrid w:val="0"/>
                    <w:jc w:val="center"/>
                    <w:rPr>
                      <w:rFonts w:hint="eastAsia"/>
                      <w:color w:val="auto"/>
                      <w:sz w:val="21"/>
                      <w:szCs w:val="21"/>
                      <w:lang w:val="en-US" w:eastAsia="zh-CN"/>
                      <w:highlight w:val="none"/>
                    </w:rPr>
                  </w:pPr>
                  <w:r>
                    <w:rPr>
                      <w:rFonts w:hint="eastAsia"/>
                      <w:color w:val="auto"/>
                      <w:sz w:val="21"/>
                      <w:szCs w:val="21"/>
                      <w:highlight w:val="none"/>
                    </w:rPr>
                    <w:t>由环卫部门统一清运处理</w:t>
                  </w:r>
                </w:p>
              </w:tc>
            </w:tr>
          </w:tbl>
          <w:p>
            <w:pPr>
              <w:pStyle w:val="56"/>
              <w:ind w:firstLineChars="0" w:firstLine="0"/>
              <w:rPr>
                <w:color w:val="auto"/>
                <w:highlight w:val="none"/>
              </w:rPr>
            </w:pPr>
          </w:p>
        </w:tc>
      </w:tr>
      <w:tr>
        <w:trPr>
          <w:trHeight w:val="606"/>
        </w:trPr>
        <w:tc>
          <w:tcPr>
            <w:tcW w:w="397" w:type="pct"/>
            <w:vAlign w:val="center"/>
          </w:tcPr>
          <w:p>
            <w:pPr>
              <w:pStyle w:val="35"/>
              <w:adjustRightInd w:val="0"/>
              <w:snapToGrid w:val="0"/>
              <w:spacing w:before="0" w:beforeAutospacing="0" w:after="0" w:afterAutospacing="0"/>
              <w:jc w:val="center"/>
              <w:rPr>
                <w:rFonts w:cs="宋体" w:hint="eastAsia"/>
                <w:color w:val="auto"/>
                <w:szCs w:val="24"/>
                <w:highlight w:val="none"/>
              </w:rPr>
            </w:pPr>
            <w:r>
              <w:rPr>
                <w:rFonts w:cs="宋体" w:hint="eastAsia"/>
                <w:bCs/>
                <w:color w:val="auto"/>
                <w:kern w:val="2"/>
                <w:szCs w:val="24"/>
                <w:highlight w:val="none"/>
              </w:rPr>
              <w:t>与项目有关的原有环境污染问题</w:t>
            </w:r>
          </w:p>
        </w:tc>
        <w:tc>
          <w:tcPr>
            <w:tcW w:w="4602" w:type="pct"/>
            <w:tcBorders>
              <w:left w:val="single" w:sz="4" w:space="0" w:color="auto"/>
            </w:tcBorders>
          </w:tcPr>
          <w:p>
            <w:pPr>
              <w:keepNext w:val="0"/>
              <w:keepLines w:val="0"/>
              <w:pageBreakBefore w:val="0"/>
              <w:widowControl w:val="0"/>
              <w:kinsoku/>
              <w:wordWrap/>
              <w:overflowPunct/>
              <w:topLinePunct w:val="0"/>
              <w:autoSpaceDE/>
              <w:autoSpaceDN/>
              <w:bidi w:val="0"/>
              <w:adjustRightInd/>
              <w:snapToGrid/>
              <w:spacing w:line="460" w:lineRule="exact"/>
              <w:ind w:firstLineChars="200" w:firstLine="480"/>
              <w:textAlignment w:val="auto"/>
              <w:rPr>
                <w:rFonts w:ascii="Times New Roman" w:eastAsia="宋体" w:cs="Times New Roman" w:hAnsi="Times New Roman" w:hint="eastAsia"/>
                <w:color w:val="auto"/>
                <w:sz w:val="24"/>
                <w:lang w:eastAsia="zh-CN"/>
                <w:highlight w:val="none"/>
              </w:rPr>
            </w:pPr>
            <w:r>
              <w:rPr>
                <w:rFonts w:cs="Times New Roman" w:hint="eastAsia"/>
                <w:color w:val="auto"/>
                <w:sz w:val="24"/>
                <w:lang w:eastAsia="zh-CN"/>
                <w:highlight w:val="none"/>
              </w:rPr>
              <w:t>本项目为新建项目，</w:t>
            </w:r>
            <w:r>
              <w:rPr>
                <w:rFonts w:cs="Times New Roman" w:hint="eastAsia"/>
                <w:color w:val="auto"/>
                <w:sz w:val="24"/>
                <w:lang w:val="en-US"/>
                <w:highlight w:val="none"/>
              </w:rPr>
              <w:t>租赁泽豪闲置库房</w:t>
            </w:r>
            <w:r>
              <w:rPr>
                <w:rFonts w:cs="Times New Roman"/>
                <w:color w:val="auto"/>
                <w:sz w:val="24"/>
                <w:highlight w:val="none"/>
              </w:rPr>
              <w:t>。</w:t>
            </w:r>
            <w:r>
              <w:rPr>
                <w:rFonts w:cs="Times New Roman" w:hint="eastAsia"/>
                <w:color w:val="auto"/>
                <w:sz w:val="24"/>
                <w:lang w:val="en-US"/>
                <w:highlight w:val="none"/>
              </w:rPr>
              <w:t>该库房闲置多年</w:t>
            </w:r>
            <w:r>
              <w:rPr>
                <w:rFonts w:cs="Times New Roman"/>
                <w:color w:val="auto"/>
                <w:sz w:val="24"/>
                <w:highlight w:val="none"/>
              </w:rPr>
              <w:t>，</w:t>
            </w:r>
            <w:r>
              <w:rPr>
                <w:rFonts w:cs="Times New Roman" w:hint="eastAsia"/>
                <w:color w:val="auto"/>
                <w:sz w:val="24"/>
                <w:lang w:val="en-US"/>
                <w:highlight w:val="none"/>
              </w:rPr>
              <w:t>闲置前主要用途也为库房</w:t>
            </w:r>
            <w:r>
              <w:rPr>
                <w:rFonts w:cs="Times New Roman"/>
                <w:color w:val="auto"/>
                <w:sz w:val="24"/>
                <w:highlight w:val="none"/>
              </w:rPr>
              <w:t>，</w:t>
            </w:r>
            <w:r>
              <w:rPr>
                <w:rFonts w:cs="Times New Roman" w:hint="eastAsia"/>
                <w:color w:val="auto"/>
                <w:sz w:val="24"/>
                <w:lang w:val="en-US"/>
                <w:highlight w:val="none"/>
              </w:rPr>
              <w:t>不涉及生产活动</w:t>
            </w:r>
            <w:r>
              <w:rPr>
                <w:rFonts w:cs="Times New Roman"/>
                <w:color w:val="auto"/>
                <w:sz w:val="24"/>
                <w:highlight w:val="none"/>
              </w:rPr>
              <w:t>，</w:t>
            </w:r>
            <w:r>
              <w:rPr>
                <w:rFonts w:cs="Times New Roman" w:hint="eastAsia"/>
                <w:color w:val="auto"/>
                <w:sz w:val="24"/>
                <w:lang w:eastAsia="zh-CN"/>
                <w:highlight w:val="none"/>
              </w:rPr>
              <w:t>不存在与项目有关的原有环境污染问题</w:t>
            </w:r>
            <w:r>
              <w:rPr>
                <w:rFonts w:ascii="Times New Roman" w:eastAsia="宋体" w:cs="Times New Roman" w:hAnsi="Times New Roman" w:hint="eastAsia"/>
                <w:color w:val="auto"/>
                <w:sz w:val="24"/>
                <w:lang w:eastAsia="zh-CN"/>
                <w:highlight w:val="none"/>
              </w:rPr>
              <w:t>。</w:t>
            </w:r>
          </w:p>
          <w:p>
            <w:pPr>
              <w:keepNext w:val="0"/>
              <w:keepLines w:val="0"/>
              <w:pageBreakBefore w:val="0"/>
              <w:widowControl w:val="0"/>
              <w:kinsoku/>
              <w:wordWrap/>
              <w:overflowPunct/>
              <w:topLinePunct w:val="0"/>
              <w:autoSpaceDE/>
              <w:autoSpaceDN/>
              <w:bidi w:val="0"/>
              <w:adjustRightInd/>
              <w:snapToGrid/>
              <w:spacing w:line="460" w:lineRule="exact"/>
              <w:ind w:firstLineChars="200" w:firstLine="480"/>
              <w:textAlignment w:val="auto"/>
              <w:rPr>
                <w:rFonts w:ascii="Times New Roman" w:eastAsia="宋体" w:cs="Times New Roman" w:hAnsi="Times New Roman" w:hint="eastAsia"/>
                <w:color w:val="auto"/>
                <w:sz w:val="24"/>
                <w:lang w:eastAsia="zh-CN"/>
                <w:highlight w:val="none"/>
              </w:rPr>
            </w:pPr>
          </w:p>
          <w:p>
            <w:pPr>
              <w:keepNext w:val="0"/>
              <w:keepLines w:val="0"/>
              <w:pageBreakBefore w:val="0"/>
              <w:widowControl w:val="0"/>
              <w:kinsoku/>
              <w:wordWrap/>
              <w:overflowPunct/>
              <w:topLinePunct w:val="0"/>
              <w:autoSpaceDE/>
              <w:autoSpaceDN/>
              <w:bidi w:val="0"/>
              <w:adjustRightInd/>
              <w:snapToGrid/>
              <w:spacing w:line="460" w:lineRule="exact"/>
              <w:ind w:firstLineChars="200" w:firstLine="480"/>
              <w:textAlignment w:val="auto"/>
              <w:rPr>
                <w:rFonts w:ascii="Times New Roman" w:eastAsia="宋体" w:cs="Times New Roman" w:hAnsi="Times New Roman" w:hint="eastAsia"/>
                <w:color w:val="auto"/>
                <w:sz w:val="24"/>
                <w:lang w:eastAsia="zh-CN"/>
                <w:highlight w:val="none"/>
              </w:rPr>
            </w:pPr>
          </w:p>
          <w:p>
            <w:pPr>
              <w:keepNext w:val="0"/>
              <w:keepLines w:val="0"/>
              <w:pageBreakBefore w:val="0"/>
              <w:widowControl w:val="0"/>
              <w:kinsoku/>
              <w:wordWrap/>
              <w:overflowPunct/>
              <w:topLinePunct w:val="0"/>
              <w:autoSpaceDE/>
              <w:autoSpaceDN/>
              <w:bidi w:val="0"/>
              <w:adjustRightInd/>
              <w:snapToGrid/>
              <w:spacing w:line="460" w:lineRule="exact"/>
              <w:ind w:firstLineChars="200" w:firstLine="480"/>
              <w:textAlignment w:val="auto"/>
              <w:rPr>
                <w:rFonts w:ascii="Times New Roman" w:eastAsia="宋体" w:cs="Times New Roman" w:hAnsi="Times New Roman" w:hint="eastAsia"/>
                <w:color w:val="auto"/>
                <w:sz w:val="24"/>
                <w:lang w:eastAsia="zh-CN"/>
                <w:highlight w:val="none"/>
              </w:rPr>
            </w:pPr>
          </w:p>
          <w:p>
            <w:pPr>
              <w:keepNext w:val="0"/>
              <w:keepLines w:val="0"/>
              <w:pageBreakBefore w:val="0"/>
              <w:widowControl w:val="0"/>
              <w:kinsoku/>
              <w:wordWrap/>
              <w:overflowPunct/>
              <w:topLinePunct w:val="0"/>
              <w:autoSpaceDE/>
              <w:autoSpaceDN/>
              <w:bidi w:val="0"/>
              <w:adjustRightInd/>
              <w:snapToGrid/>
              <w:spacing w:line="460" w:lineRule="exact"/>
              <w:ind w:firstLineChars="200" w:firstLine="480"/>
              <w:textAlignment w:val="auto"/>
              <w:rPr>
                <w:rFonts w:ascii="Times New Roman" w:eastAsia="宋体" w:cs="Times New Roman" w:hAnsi="Times New Roman" w:hint="eastAsia"/>
                <w:color w:val="auto"/>
                <w:sz w:val="24"/>
                <w:lang w:eastAsia="zh-CN"/>
                <w:highlight w:val="none"/>
              </w:rPr>
            </w:pPr>
          </w:p>
          <w:p>
            <w:pPr>
              <w:keepNext w:val="0"/>
              <w:keepLines w:val="0"/>
              <w:pageBreakBefore w:val="0"/>
              <w:widowControl w:val="0"/>
              <w:kinsoku/>
              <w:wordWrap/>
              <w:overflowPunct/>
              <w:topLinePunct w:val="0"/>
              <w:autoSpaceDE/>
              <w:autoSpaceDN/>
              <w:bidi w:val="0"/>
              <w:adjustRightInd/>
              <w:snapToGrid/>
              <w:spacing w:line="460" w:lineRule="exact"/>
              <w:ind w:firstLineChars="200" w:firstLine="480"/>
              <w:textAlignment w:val="auto"/>
              <w:rPr>
                <w:rFonts w:ascii="Times New Roman" w:eastAsia="宋体" w:cs="Times New Roman" w:hAnsi="Times New Roman" w:hint="eastAsia"/>
                <w:color w:val="auto"/>
                <w:sz w:val="24"/>
                <w:lang w:eastAsia="zh-CN"/>
                <w:highlight w:val="none"/>
              </w:rPr>
            </w:pPr>
          </w:p>
          <w:p>
            <w:pPr>
              <w:keepNext w:val="0"/>
              <w:keepLines w:val="0"/>
              <w:pageBreakBefore w:val="0"/>
              <w:widowControl w:val="0"/>
              <w:kinsoku/>
              <w:wordWrap/>
              <w:overflowPunct/>
              <w:topLinePunct w:val="0"/>
              <w:autoSpaceDE/>
              <w:autoSpaceDN/>
              <w:bidi w:val="0"/>
              <w:adjustRightInd/>
              <w:snapToGrid/>
              <w:spacing w:line="460" w:lineRule="exact"/>
              <w:ind w:firstLineChars="200" w:firstLine="480"/>
              <w:textAlignment w:val="auto"/>
              <w:rPr>
                <w:rFonts w:ascii="Times New Roman" w:eastAsia="宋体" w:cs="Times New Roman" w:hAnsi="Times New Roman" w:hint="eastAsia"/>
                <w:color w:val="auto"/>
                <w:sz w:val="24"/>
                <w:lang w:eastAsia="zh-CN"/>
                <w:highlight w:val="none"/>
              </w:rPr>
            </w:pPr>
          </w:p>
          <w:p>
            <w:pPr>
              <w:keepNext w:val="0"/>
              <w:keepLines w:val="0"/>
              <w:pageBreakBefore w:val="0"/>
              <w:widowControl w:val="0"/>
              <w:kinsoku/>
              <w:wordWrap/>
              <w:overflowPunct/>
              <w:topLinePunct w:val="0"/>
              <w:autoSpaceDE/>
              <w:autoSpaceDN/>
              <w:bidi w:val="0"/>
              <w:adjustRightInd/>
              <w:snapToGrid/>
              <w:spacing w:line="460" w:lineRule="exact"/>
              <w:ind w:firstLineChars="200" w:firstLine="480"/>
              <w:textAlignment w:val="auto"/>
              <w:rPr>
                <w:rFonts w:ascii="Times New Roman" w:eastAsia="宋体" w:cs="Times New Roman" w:hAnsi="Times New Roman" w:hint="eastAsia"/>
                <w:color w:val="auto"/>
                <w:sz w:val="24"/>
                <w:lang w:eastAsia="zh-CN"/>
                <w:highlight w:val="none"/>
              </w:rPr>
            </w:pPr>
          </w:p>
          <w:p>
            <w:pPr>
              <w:keepNext w:val="0"/>
              <w:keepLines w:val="0"/>
              <w:pageBreakBefore w:val="0"/>
              <w:widowControl w:val="0"/>
              <w:kinsoku/>
              <w:wordWrap/>
              <w:overflowPunct/>
              <w:topLinePunct w:val="0"/>
              <w:autoSpaceDE/>
              <w:autoSpaceDN/>
              <w:bidi w:val="0"/>
              <w:adjustRightInd/>
              <w:snapToGrid/>
              <w:spacing w:line="460" w:lineRule="exact"/>
              <w:ind w:firstLineChars="200" w:firstLine="480"/>
              <w:textAlignment w:val="auto"/>
              <w:rPr>
                <w:rFonts w:ascii="Times New Roman" w:eastAsia="宋体" w:cs="Times New Roman" w:hAnsi="Times New Roman" w:hint="eastAsia"/>
                <w:color w:val="auto"/>
                <w:sz w:val="24"/>
                <w:lang w:eastAsia="zh-CN"/>
                <w:highlight w:val="none"/>
              </w:rPr>
            </w:pPr>
          </w:p>
          <w:p>
            <w:pPr>
              <w:keepNext w:val="0"/>
              <w:keepLines w:val="0"/>
              <w:pageBreakBefore w:val="0"/>
              <w:widowControl w:val="0"/>
              <w:kinsoku/>
              <w:wordWrap/>
              <w:overflowPunct/>
              <w:topLinePunct w:val="0"/>
              <w:autoSpaceDE/>
              <w:autoSpaceDN/>
              <w:bidi w:val="0"/>
              <w:adjustRightInd/>
              <w:snapToGrid/>
              <w:spacing w:line="460" w:lineRule="exact"/>
              <w:ind w:firstLineChars="200" w:firstLine="480"/>
              <w:textAlignment w:val="auto"/>
              <w:rPr>
                <w:rFonts w:ascii="Times New Roman" w:eastAsia="宋体" w:cs="Times New Roman" w:hAnsi="Times New Roman" w:hint="eastAsia"/>
                <w:color w:val="auto"/>
                <w:sz w:val="24"/>
                <w:lang w:eastAsia="zh-CN"/>
                <w:highlight w:val="none"/>
              </w:rPr>
            </w:pPr>
          </w:p>
          <w:p>
            <w:pPr>
              <w:keepNext w:val="0"/>
              <w:keepLines w:val="0"/>
              <w:pageBreakBefore w:val="0"/>
              <w:widowControl w:val="0"/>
              <w:kinsoku/>
              <w:wordWrap/>
              <w:overflowPunct/>
              <w:topLinePunct w:val="0"/>
              <w:autoSpaceDE/>
              <w:autoSpaceDN/>
              <w:bidi w:val="0"/>
              <w:adjustRightInd/>
              <w:snapToGrid/>
              <w:spacing w:line="460" w:lineRule="exact"/>
              <w:ind w:firstLineChars="200" w:firstLine="480"/>
              <w:textAlignment w:val="auto"/>
              <w:rPr>
                <w:rFonts w:ascii="Times New Roman" w:eastAsia="宋体" w:cs="Times New Roman" w:hAnsi="Times New Roman" w:hint="eastAsia"/>
                <w:color w:val="auto"/>
                <w:sz w:val="24"/>
                <w:lang w:eastAsia="zh-CN"/>
                <w:highlight w:val="none"/>
              </w:rPr>
            </w:pPr>
          </w:p>
          <w:p>
            <w:pPr>
              <w:keepNext w:val="0"/>
              <w:keepLines w:val="0"/>
              <w:pageBreakBefore w:val="0"/>
              <w:widowControl w:val="0"/>
              <w:kinsoku/>
              <w:wordWrap/>
              <w:overflowPunct/>
              <w:topLinePunct w:val="0"/>
              <w:autoSpaceDE/>
              <w:autoSpaceDN/>
              <w:bidi w:val="0"/>
              <w:adjustRightInd/>
              <w:snapToGrid/>
              <w:spacing w:line="460" w:lineRule="exact"/>
              <w:ind w:firstLineChars="200" w:firstLine="480"/>
              <w:textAlignment w:val="auto"/>
              <w:rPr>
                <w:rFonts w:ascii="Times New Roman" w:eastAsia="宋体" w:cs="Times New Roman" w:hAnsi="Times New Roman" w:hint="eastAsia"/>
                <w:color w:val="auto"/>
                <w:sz w:val="24"/>
                <w:lang w:eastAsia="zh-CN"/>
                <w:highlight w:val="none"/>
              </w:rPr>
            </w:pPr>
          </w:p>
          <w:p>
            <w:pPr>
              <w:keepNext w:val="0"/>
              <w:keepLines w:val="0"/>
              <w:pageBreakBefore w:val="0"/>
              <w:widowControl w:val="0"/>
              <w:kinsoku/>
              <w:wordWrap/>
              <w:overflowPunct/>
              <w:topLinePunct w:val="0"/>
              <w:autoSpaceDE/>
              <w:autoSpaceDN/>
              <w:bidi w:val="0"/>
              <w:adjustRightInd/>
              <w:snapToGrid/>
              <w:spacing w:line="460" w:lineRule="exact"/>
              <w:ind w:firstLineChars="200" w:firstLine="480"/>
              <w:textAlignment w:val="auto"/>
              <w:rPr>
                <w:rFonts w:ascii="Times New Roman" w:eastAsia="宋体" w:cs="Times New Roman" w:hAnsi="Times New Roman" w:hint="eastAsia"/>
                <w:color w:val="auto"/>
                <w:sz w:val="24"/>
                <w:lang w:eastAsia="zh-CN"/>
                <w:highlight w:val="none"/>
              </w:rPr>
            </w:pPr>
          </w:p>
          <w:p>
            <w:pPr>
              <w:keepNext w:val="0"/>
              <w:keepLines w:val="0"/>
              <w:pageBreakBefore w:val="0"/>
              <w:widowControl w:val="0"/>
              <w:kinsoku/>
              <w:wordWrap/>
              <w:overflowPunct/>
              <w:topLinePunct w:val="0"/>
              <w:autoSpaceDE/>
              <w:autoSpaceDN/>
              <w:bidi w:val="0"/>
              <w:adjustRightInd/>
              <w:snapToGrid/>
              <w:spacing w:line="460" w:lineRule="exact"/>
              <w:ind w:firstLineChars="200" w:firstLine="480"/>
              <w:textAlignment w:val="auto"/>
              <w:rPr>
                <w:rFonts w:ascii="Times New Roman" w:eastAsia="宋体" w:cs="Times New Roman" w:hAnsi="Times New Roman" w:hint="eastAsia"/>
                <w:color w:val="auto"/>
                <w:sz w:val="24"/>
                <w:lang w:eastAsia="zh-CN"/>
                <w:highlight w:val="none"/>
              </w:rPr>
            </w:pPr>
          </w:p>
          <w:p>
            <w:pPr>
              <w:keepNext w:val="0"/>
              <w:keepLines w:val="0"/>
              <w:pageBreakBefore w:val="0"/>
              <w:widowControl w:val="0"/>
              <w:kinsoku/>
              <w:wordWrap/>
              <w:overflowPunct/>
              <w:topLinePunct w:val="0"/>
              <w:autoSpaceDE/>
              <w:autoSpaceDN/>
              <w:bidi w:val="0"/>
              <w:adjustRightInd/>
              <w:snapToGrid/>
              <w:spacing w:line="460" w:lineRule="exact"/>
              <w:ind w:firstLineChars="200" w:firstLine="480"/>
              <w:textAlignment w:val="auto"/>
              <w:rPr>
                <w:rFonts w:ascii="Times New Roman" w:eastAsia="宋体" w:cs="Times New Roman" w:hAnsi="Times New Roman" w:hint="eastAsia"/>
                <w:color w:val="auto"/>
                <w:sz w:val="24"/>
                <w:lang w:eastAsia="zh-CN"/>
                <w:highlight w:val="none"/>
              </w:rPr>
            </w:pPr>
          </w:p>
          <w:p>
            <w:pPr>
              <w:keepNext w:val="0"/>
              <w:keepLines w:val="0"/>
              <w:pageBreakBefore w:val="0"/>
              <w:widowControl w:val="0"/>
              <w:kinsoku/>
              <w:wordWrap/>
              <w:overflowPunct/>
              <w:topLinePunct w:val="0"/>
              <w:autoSpaceDE/>
              <w:autoSpaceDN/>
              <w:bidi w:val="0"/>
              <w:adjustRightInd/>
              <w:snapToGrid/>
              <w:spacing w:line="460" w:lineRule="exact"/>
              <w:ind w:firstLineChars="200" w:firstLine="480"/>
              <w:textAlignment w:val="auto"/>
              <w:rPr>
                <w:rFonts w:ascii="Times New Roman" w:eastAsia="宋体" w:cs="Times New Roman" w:hAnsi="Times New Roman" w:hint="eastAsia"/>
                <w:color w:val="auto"/>
                <w:sz w:val="24"/>
                <w:lang w:eastAsia="zh-CN"/>
                <w:highlight w:val="none"/>
              </w:rPr>
            </w:pPr>
          </w:p>
          <w:p>
            <w:pPr>
              <w:keepNext w:val="0"/>
              <w:keepLines w:val="0"/>
              <w:pageBreakBefore w:val="0"/>
              <w:widowControl w:val="0"/>
              <w:kinsoku/>
              <w:wordWrap/>
              <w:overflowPunct/>
              <w:topLinePunct w:val="0"/>
              <w:autoSpaceDE/>
              <w:autoSpaceDN/>
              <w:bidi w:val="0"/>
              <w:adjustRightInd/>
              <w:snapToGrid/>
              <w:spacing w:line="460" w:lineRule="exact"/>
              <w:ind w:firstLineChars="200" w:firstLine="480"/>
              <w:textAlignment w:val="auto"/>
              <w:rPr>
                <w:rFonts w:ascii="Times New Roman" w:eastAsia="宋体" w:cs="Times New Roman" w:hAnsi="Times New Roman" w:hint="eastAsia"/>
                <w:color w:val="auto"/>
                <w:sz w:val="24"/>
                <w:lang w:eastAsia="zh-CN"/>
                <w:highlight w:val="none"/>
              </w:rPr>
            </w:pPr>
          </w:p>
          <w:p>
            <w:pPr>
              <w:keepNext w:val="0"/>
              <w:keepLines w:val="0"/>
              <w:pageBreakBefore w:val="0"/>
              <w:widowControl w:val="0"/>
              <w:kinsoku/>
              <w:wordWrap/>
              <w:overflowPunct/>
              <w:topLinePunct w:val="0"/>
              <w:autoSpaceDE/>
              <w:autoSpaceDN/>
              <w:bidi w:val="0"/>
              <w:adjustRightInd/>
              <w:snapToGrid/>
              <w:spacing w:line="460" w:lineRule="exact"/>
              <w:ind w:firstLineChars="200" w:firstLine="480"/>
              <w:textAlignment w:val="auto"/>
              <w:rPr>
                <w:rFonts w:ascii="Times New Roman" w:eastAsia="宋体" w:cs="Times New Roman" w:hAnsi="Times New Roman" w:hint="eastAsia"/>
                <w:color w:val="auto"/>
                <w:sz w:val="24"/>
                <w:lang w:eastAsia="zh-CN"/>
                <w:highlight w:val="none"/>
              </w:rPr>
            </w:pPr>
          </w:p>
          <w:p>
            <w:pPr>
              <w:keepNext w:val="0"/>
              <w:keepLines w:val="0"/>
              <w:pageBreakBefore w:val="0"/>
              <w:widowControl w:val="0"/>
              <w:kinsoku/>
              <w:wordWrap/>
              <w:overflowPunct/>
              <w:topLinePunct w:val="0"/>
              <w:autoSpaceDE/>
              <w:autoSpaceDN/>
              <w:bidi w:val="0"/>
              <w:adjustRightInd/>
              <w:snapToGrid/>
              <w:spacing w:line="460" w:lineRule="exact"/>
              <w:ind w:firstLineChars="200" w:firstLine="480"/>
              <w:textAlignment w:val="auto"/>
              <w:rPr>
                <w:rFonts w:ascii="Times New Roman" w:eastAsia="宋体" w:cs="Times New Roman" w:hAnsi="Times New Roman" w:hint="eastAsia"/>
                <w:color w:val="auto"/>
                <w:sz w:val="24"/>
                <w:lang w:eastAsia="zh-CN"/>
                <w:highlight w:val="none"/>
              </w:rPr>
            </w:pPr>
          </w:p>
          <w:p>
            <w:pPr>
              <w:keepNext w:val="0"/>
              <w:keepLines w:val="0"/>
              <w:pageBreakBefore w:val="0"/>
              <w:widowControl w:val="0"/>
              <w:kinsoku/>
              <w:wordWrap/>
              <w:overflowPunct/>
              <w:topLinePunct w:val="0"/>
              <w:autoSpaceDE/>
              <w:autoSpaceDN/>
              <w:bidi w:val="0"/>
              <w:adjustRightInd/>
              <w:snapToGrid/>
              <w:spacing w:line="460" w:lineRule="exact"/>
              <w:ind w:firstLineChars="200" w:firstLine="480"/>
              <w:textAlignment w:val="auto"/>
              <w:rPr>
                <w:rFonts w:ascii="Times New Roman" w:eastAsia="宋体" w:cs="Times New Roman" w:hAnsi="Times New Roman" w:hint="eastAsia"/>
                <w:color w:val="auto"/>
                <w:sz w:val="24"/>
                <w:lang w:eastAsia="zh-CN"/>
                <w:highlight w:val="none"/>
              </w:rPr>
            </w:pPr>
          </w:p>
          <w:p>
            <w:pPr>
              <w:keepNext w:val="0"/>
              <w:keepLines w:val="0"/>
              <w:pageBreakBefore w:val="0"/>
              <w:widowControl w:val="0"/>
              <w:kinsoku/>
              <w:wordWrap/>
              <w:overflowPunct/>
              <w:topLinePunct w:val="0"/>
              <w:autoSpaceDE/>
              <w:autoSpaceDN/>
              <w:bidi w:val="0"/>
              <w:adjustRightInd/>
              <w:snapToGrid/>
              <w:spacing w:line="460" w:lineRule="exact"/>
              <w:ind w:firstLineChars="200" w:firstLine="480"/>
              <w:textAlignment w:val="auto"/>
              <w:rPr>
                <w:rFonts w:ascii="Times New Roman" w:eastAsia="宋体" w:cs="Times New Roman" w:hAnsi="Times New Roman" w:hint="eastAsia"/>
                <w:color w:val="auto"/>
                <w:sz w:val="24"/>
                <w:lang w:eastAsia="zh-CN"/>
                <w:highlight w:val="none"/>
              </w:rPr>
            </w:pPr>
          </w:p>
          <w:p>
            <w:pPr>
              <w:keepNext w:val="0"/>
              <w:keepLines w:val="0"/>
              <w:pageBreakBefore w:val="0"/>
              <w:widowControl w:val="0"/>
              <w:kinsoku/>
              <w:wordWrap/>
              <w:overflowPunct/>
              <w:topLinePunct w:val="0"/>
              <w:autoSpaceDE/>
              <w:autoSpaceDN/>
              <w:bidi w:val="0"/>
              <w:adjustRightInd/>
              <w:snapToGrid/>
              <w:spacing w:line="460" w:lineRule="exact"/>
              <w:textAlignment w:val="auto"/>
              <w:rPr>
                <w:rFonts w:ascii="Times New Roman" w:eastAsia="宋体" w:cs="Times New Roman" w:hAnsi="Times New Roman" w:hint="eastAsia"/>
                <w:color w:val="auto"/>
                <w:sz w:val="24"/>
                <w:lang w:eastAsia="zh-CN"/>
                <w:highlight w:val="none"/>
              </w:rPr>
            </w:pPr>
          </w:p>
          <w:p>
            <w:pPr>
              <w:keepNext w:val="0"/>
              <w:keepLines w:val="0"/>
              <w:pageBreakBefore w:val="0"/>
              <w:widowControl w:val="0"/>
              <w:kinsoku/>
              <w:wordWrap/>
              <w:overflowPunct/>
              <w:topLinePunct w:val="0"/>
              <w:autoSpaceDE/>
              <w:autoSpaceDN/>
              <w:bidi w:val="0"/>
              <w:adjustRightInd/>
              <w:snapToGrid/>
              <w:spacing w:line="460" w:lineRule="exact"/>
              <w:ind w:firstLineChars="200" w:firstLine="480"/>
              <w:textAlignment w:val="auto"/>
              <w:rPr>
                <w:rFonts w:ascii="Times New Roman" w:eastAsia="宋体" w:cs="Times New Roman" w:hAnsi="Times New Roman" w:hint="eastAsia"/>
                <w:color w:val="auto"/>
                <w:sz w:val="24"/>
                <w:lang w:eastAsia="zh-CN"/>
                <w:highlight w:val="none"/>
              </w:rPr>
            </w:pPr>
          </w:p>
          <w:p>
            <w:pPr>
              <w:keepNext w:val="0"/>
              <w:keepLines w:val="0"/>
              <w:pageBreakBefore w:val="0"/>
              <w:widowControl w:val="0"/>
              <w:kinsoku/>
              <w:wordWrap/>
              <w:overflowPunct/>
              <w:topLinePunct w:val="0"/>
              <w:autoSpaceDE/>
              <w:autoSpaceDN/>
              <w:bidi w:val="0"/>
              <w:adjustRightInd/>
              <w:snapToGrid/>
              <w:spacing w:line="460" w:lineRule="exact"/>
              <w:ind w:firstLineChars="200" w:firstLine="480"/>
              <w:textAlignment w:val="auto"/>
              <w:rPr>
                <w:rFonts w:ascii="Times New Roman" w:eastAsia="宋体" w:cs="Times New Roman" w:hAnsi="Times New Roman" w:hint="eastAsia"/>
                <w:color w:val="auto"/>
                <w:sz w:val="24"/>
                <w:lang w:eastAsia="zh-CN"/>
                <w:highlight w:val="none"/>
              </w:rPr>
            </w:pPr>
          </w:p>
          <w:p>
            <w:pPr>
              <w:keepNext w:val="0"/>
              <w:keepLines w:val="0"/>
              <w:pageBreakBefore w:val="0"/>
              <w:widowControl w:val="0"/>
              <w:kinsoku/>
              <w:wordWrap/>
              <w:overflowPunct/>
              <w:topLinePunct w:val="0"/>
              <w:autoSpaceDE/>
              <w:autoSpaceDN/>
              <w:bidi w:val="0"/>
              <w:adjustRightInd/>
              <w:snapToGrid/>
              <w:spacing w:line="460" w:lineRule="exact"/>
              <w:ind w:firstLineChars="200" w:firstLine="480"/>
              <w:textAlignment w:val="auto"/>
              <w:rPr>
                <w:rFonts w:ascii="Times New Roman" w:eastAsia="宋体" w:cs="Times New Roman" w:hAnsi="Times New Roman" w:hint="eastAsia"/>
                <w:color w:val="auto"/>
                <w:sz w:val="24"/>
                <w:lang w:eastAsia="zh-CN"/>
                <w:highlight w:val="none"/>
              </w:rPr>
            </w:pPr>
          </w:p>
          <w:p>
            <w:pPr>
              <w:keepNext w:val="0"/>
              <w:keepLines w:val="0"/>
              <w:pageBreakBefore w:val="0"/>
              <w:widowControl w:val="0"/>
              <w:kinsoku/>
              <w:wordWrap/>
              <w:overflowPunct/>
              <w:topLinePunct w:val="0"/>
              <w:autoSpaceDE/>
              <w:autoSpaceDN/>
              <w:bidi w:val="0"/>
              <w:adjustRightInd/>
              <w:snapToGrid/>
              <w:spacing w:line="460" w:lineRule="exact"/>
              <w:ind w:firstLineChars="200" w:firstLine="480"/>
              <w:textAlignment w:val="auto"/>
              <w:rPr>
                <w:rFonts w:ascii="Times New Roman" w:eastAsia="宋体" w:cs="Times New Roman" w:hAnsi="Times New Roman" w:hint="eastAsia"/>
                <w:color w:val="auto"/>
                <w:sz w:val="24"/>
                <w:lang w:eastAsia="zh-CN"/>
                <w:highlight w:val="none"/>
              </w:rPr>
            </w:pPr>
          </w:p>
          <w:p>
            <w:pPr>
              <w:keepNext w:val="0"/>
              <w:keepLines w:val="0"/>
              <w:pageBreakBefore w:val="0"/>
              <w:widowControl w:val="0"/>
              <w:kinsoku/>
              <w:wordWrap/>
              <w:overflowPunct/>
              <w:topLinePunct w:val="0"/>
              <w:autoSpaceDE/>
              <w:autoSpaceDN/>
              <w:bidi w:val="0"/>
              <w:adjustRightInd/>
              <w:snapToGrid/>
              <w:spacing w:line="460" w:lineRule="exact"/>
              <w:ind w:firstLineChars="200" w:firstLine="480"/>
              <w:textAlignment w:val="auto"/>
              <w:rPr>
                <w:rFonts w:ascii="Times New Roman" w:eastAsia="宋体" w:cs="Times New Roman" w:hAnsi="Times New Roman" w:hint="eastAsia"/>
                <w:color w:val="auto"/>
                <w:sz w:val="24"/>
                <w:lang w:eastAsia="zh-CN"/>
                <w:highlight w:val="none"/>
              </w:rPr>
            </w:pPr>
          </w:p>
          <w:p>
            <w:pPr>
              <w:keepNext w:val="0"/>
              <w:keepLines w:val="0"/>
              <w:pageBreakBefore w:val="0"/>
              <w:widowControl w:val="0"/>
              <w:kinsoku/>
              <w:wordWrap/>
              <w:overflowPunct/>
              <w:topLinePunct w:val="0"/>
              <w:autoSpaceDE/>
              <w:autoSpaceDN/>
              <w:bidi w:val="0"/>
              <w:adjustRightInd/>
              <w:snapToGrid/>
              <w:spacing w:line="460" w:lineRule="exact"/>
              <w:ind w:firstLineChars="200" w:firstLine="480"/>
              <w:textAlignment w:val="auto"/>
              <w:rPr>
                <w:rFonts w:ascii="Times New Roman" w:eastAsia="宋体" w:cs="Times New Roman" w:hAnsi="Times New Roman" w:hint="eastAsia"/>
                <w:color w:val="auto"/>
                <w:sz w:val="24"/>
                <w:lang w:eastAsia="zh-CN"/>
                <w:highlight w:val="none"/>
              </w:rPr>
            </w:pPr>
          </w:p>
          <w:p>
            <w:pPr>
              <w:keepNext w:val="0"/>
              <w:keepLines w:val="0"/>
              <w:pageBreakBefore w:val="0"/>
              <w:widowControl w:val="0"/>
              <w:kinsoku/>
              <w:wordWrap/>
              <w:overflowPunct/>
              <w:topLinePunct w:val="0"/>
              <w:autoSpaceDE/>
              <w:autoSpaceDN/>
              <w:bidi w:val="0"/>
              <w:adjustRightInd/>
              <w:snapToGrid/>
              <w:spacing w:line="460" w:lineRule="exact"/>
              <w:ind w:firstLineChars="200" w:firstLine="480"/>
              <w:textAlignment w:val="auto"/>
              <w:rPr>
                <w:rFonts w:ascii="Times New Roman" w:eastAsia="宋体" w:cs="Times New Roman" w:hAnsi="Times New Roman" w:hint="eastAsia"/>
                <w:color w:val="auto"/>
                <w:sz w:val="24"/>
                <w:lang w:eastAsia="zh-CN"/>
                <w:highlight w:val="none"/>
              </w:rPr>
            </w:pPr>
          </w:p>
          <w:p>
            <w:pPr>
              <w:keepNext w:val="0"/>
              <w:keepLines w:val="0"/>
              <w:pageBreakBefore w:val="0"/>
              <w:widowControl w:val="0"/>
              <w:kinsoku/>
              <w:wordWrap/>
              <w:overflowPunct/>
              <w:topLinePunct w:val="0"/>
              <w:autoSpaceDE/>
              <w:autoSpaceDN/>
              <w:bidi w:val="0"/>
              <w:adjustRightInd/>
              <w:snapToGrid/>
              <w:spacing w:line="460" w:lineRule="exact"/>
              <w:ind w:firstLineChars="200" w:firstLine="480"/>
              <w:textAlignment w:val="auto"/>
              <w:rPr>
                <w:rFonts w:ascii="Times New Roman" w:eastAsia="宋体" w:cs="Times New Roman" w:hAnsi="Times New Roman" w:hint="eastAsia"/>
                <w:color w:val="auto"/>
                <w:sz w:val="24"/>
                <w:lang w:eastAsia="zh-CN"/>
                <w:highlight w:val="none"/>
              </w:rPr>
            </w:pPr>
          </w:p>
          <w:p>
            <w:pPr>
              <w:keepNext w:val="0"/>
              <w:keepLines w:val="0"/>
              <w:pageBreakBefore w:val="0"/>
              <w:widowControl w:val="0"/>
              <w:kinsoku/>
              <w:wordWrap/>
              <w:overflowPunct/>
              <w:topLinePunct w:val="0"/>
              <w:autoSpaceDE/>
              <w:autoSpaceDN/>
              <w:bidi w:val="0"/>
              <w:adjustRightInd/>
              <w:snapToGrid/>
              <w:spacing w:line="460" w:lineRule="exact"/>
              <w:ind w:firstLineChars="200" w:firstLine="480"/>
              <w:textAlignment w:val="auto"/>
              <w:rPr>
                <w:rFonts w:ascii="Times New Roman" w:eastAsia="宋体" w:cs="Times New Roman" w:hAnsi="Times New Roman" w:hint="eastAsia"/>
                <w:color w:val="auto"/>
                <w:sz w:val="24"/>
                <w:lang w:eastAsia="zh-CN"/>
                <w:highlight w:val="none"/>
              </w:rPr>
            </w:pPr>
          </w:p>
          <w:p>
            <w:pPr>
              <w:pStyle w:val="15"/>
              <w:jc w:val="both"/>
              <w:rPr>
                <w:rFonts w:hint="eastAsia"/>
                <w:color w:val="auto"/>
                <w:lang w:eastAsia="zh-CN"/>
              </w:rPr>
            </w:pPr>
          </w:p>
        </w:tc>
      </w:tr>
    </w:tbl>
    <w:p>
      <w:pPr>
        <w:rPr>
          <w:color w:val="auto"/>
          <w:lang w:val="fr-FR"/>
          <w:highlight w:val="none"/>
        </w:rPr>
        <w:sectPr>
          <w:pgSz w:w="11906" w:h="16838"/>
          <w:pgMar w:top="1247" w:right="1417" w:bottom="1247" w:left="1417" w:header="851" w:footer="851" w:gutter="0"/>
          <w:pgBorders>
            <w:top w:val="none" w:sz="0" w:space="0" w:color="auto"/>
            <w:left w:val="none" w:sz="0" w:space="0" w:color="auto"/>
            <w:bottom w:val="none" w:sz="0" w:space="0" w:color="auto"/>
            <w:right w:val="none" w:sz="0" w:space="0" w:color="auto"/>
          </w:pgBorders>
          <w:pgNumType/>
          <w:cols w:num="1" w:space="720"/>
          <w:docGrid w:linePitch="312" w:charSpace="0"/>
        </w:sectPr>
      </w:pPr>
    </w:p>
    <w:p>
      <w:pPr>
        <w:pStyle w:val="35"/>
        <w:jc w:val="center"/>
        <w:outlineLvl w:val="0"/>
        <w:rPr>
          <w:rFonts w:ascii="黑体" w:eastAsia="黑体" w:hAnsi="黑体" w:hint="eastAsia"/>
          <w:snapToGrid w:val="0"/>
          <w:color w:val="auto"/>
          <w:sz w:val="30"/>
          <w:szCs w:val="30"/>
          <w:highlight w:val="none"/>
        </w:rPr>
      </w:pPr>
      <w:bookmarkStart w:id="45" w:name="_Toc18193"/>
      <w:bookmarkStart w:id="46" w:name="_Toc11956"/>
      <w:bookmarkStart w:id="47" w:name="_Toc22167"/>
      <w:bookmarkStart w:id="48" w:name="_Toc17609"/>
      <w:bookmarkStart w:id="49" w:name="_Toc18464"/>
      <w:r>
        <w:rPr>
          <w:rFonts w:ascii="黑体" w:eastAsia="黑体" w:hAnsi="黑体" w:hint="eastAsia"/>
          <w:snapToGrid w:val="0"/>
          <w:color w:val="auto"/>
          <w:sz w:val="30"/>
          <w:szCs w:val="30"/>
          <w:highlight w:val="none"/>
        </w:rPr>
        <w:t>三、区域环境质量现状、环境保护目标及评价标准</w:t>
      </w:r>
      <w:bookmarkEnd w:id="45"/>
      <w:bookmarkEnd w:id="46"/>
      <w:bookmarkEnd w:id="47"/>
      <w:bookmarkEnd w:id="48"/>
      <w:bookmarkEnd w:id="49"/>
    </w:p>
    <w:tbl>
      <w:tblPr>
        <w:jc w:val="center"/>
        <w:tblW w:w="4998" w:type="pct"/>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top w:w="0" w:type="dxa"/>
          <w:left w:w="108" w:type="dxa"/>
          <w:bottom w:w="0" w:type="dxa"/>
          <w:right w:w="108" w:type="dxa"/>
        </w:tblCellMar>
        <w:tblLook w:val="0600" w:firstRow="0" w:lastRow="0" w:firstColumn="0" w:lastColumn="0" w:noHBand="1" w:noVBand="1"/>
      </w:tblPr>
      <w:tblGrid>
        <w:gridCol w:w="863"/>
        <w:gridCol w:w="8749"/>
      </w:tblGrid>
      <w:tr>
        <w:trPr>
          <w:trHeight w:val="300"/>
        </w:trPr>
        <w:tc>
          <w:tcPr>
            <w:tcW w:w="449" w:type="pct"/>
            <w:vAlign w:val="center"/>
          </w:tcPr>
          <w:p>
            <w:pPr>
              <w:adjustRightInd w:val="0"/>
              <w:snapToGrid w:val="0"/>
              <w:jc w:val="center"/>
              <w:rPr>
                <w:rFonts w:ascii="宋体" w:cs="宋体" w:hAnsi="宋体" w:hint="eastAsia"/>
                <w:color w:val="auto"/>
                <w:kern w:val="0"/>
                <w:sz w:val="24"/>
                <w:highlight w:val="none"/>
              </w:rPr>
            </w:pPr>
            <w:r>
              <w:rPr>
                <w:rFonts w:ascii="宋体" w:cs="宋体" w:hAnsi="宋体" w:hint="eastAsia"/>
                <w:color w:val="auto"/>
                <w:kern w:val="0"/>
                <w:sz w:val="24"/>
                <w:highlight w:val="none"/>
              </w:rPr>
              <w:t>区域</w:t>
            </w:r>
          </w:p>
          <w:p>
            <w:pPr>
              <w:adjustRightInd w:val="0"/>
              <w:snapToGrid w:val="0"/>
              <w:jc w:val="center"/>
              <w:rPr>
                <w:rFonts w:ascii="宋体" w:cs="宋体" w:hAnsi="宋体" w:hint="eastAsia"/>
                <w:color w:val="auto"/>
                <w:kern w:val="0"/>
                <w:sz w:val="24"/>
                <w:highlight w:val="none"/>
              </w:rPr>
            </w:pPr>
            <w:r>
              <w:rPr>
                <w:rFonts w:ascii="宋体" w:cs="宋体" w:hAnsi="宋体" w:hint="eastAsia"/>
                <w:color w:val="auto"/>
                <w:kern w:val="0"/>
                <w:sz w:val="24"/>
                <w:highlight w:val="none"/>
              </w:rPr>
              <w:t>环境</w:t>
            </w:r>
          </w:p>
          <w:p>
            <w:pPr>
              <w:adjustRightInd w:val="0"/>
              <w:snapToGrid w:val="0"/>
              <w:jc w:val="center"/>
              <w:rPr>
                <w:rFonts w:ascii="宋体" w:cs="宋体" w:hAnsi="宋体" w:hint="eastAsia"/>
                <w:color w:val="auto"/>
                <w:kern w:val="0"/>
                <w:sz w:val="24"/>
                <w:highlight w:val="none"/>
              </w:rPr>
            </w:pPr>
            <w:r>
              <w:rPr>
                <w:rFonts w:ascii="宋体" w:cs="宋体" w:hAnsi="宋体" w:hint="eastAsia"/>
                <w:color w:val="auto"/>
                <w:kern w:val="0"/>
                <w:sz w:val="24"/>
                <w:highlight w:val="none"/>
              </w:rPr>
              <w:t>质量</w:t>
            </w:r>
          </w:p>
          <w:p>
            <w:pPr>
              <w:adjustRightInd w:val="0"/>
              <w:snapToGrid w:val="0"/>
              <w:jc w:val="center"/>
              <w:rPr>
                <w:rFonts w:ascii="宋体" w:cs="宋体" w:hAnsi="宋体" w:hint="eastAsia"/>
                <w:color w:val="auto"/>
                <w:kern w:val="0"/>
                <w:sz w:val="24"/>
                <w:highlight w:val="none"/>
              </w:rPr>
            </w:pPr>
            <w:r>
              <w:rPr>
                <w:rFonts w:ascii="宋体" w:cs="宋体" w:hAnsi="宋体" w:hint="eastAsia"/>
                <w:color w:val="auto"/>
                <w:kern w:val="0"/>
                <w:sz w:val="24"/>
                <w:highlight w:val="none"/>
              </w:rPr>
              <w:t>现状</w:t>
            </w:r>
          </w:p>
        </w:tc>
        <w:tc>
          <w:tcPr>
            <w:tcW w:w="4550" w:type="pct"/>
            <w:vAlign w:val="center"/>
          </w:tcPr>
          <w:p>
            <w:pPr>
              <w:snapToGrid w:val="0"/>
              <w:spacing w:line="460" w:lineRule="exact"/>
              <w:ind w:firstLineChars="200" w:firstLine="480"/>
              <w:rPr>
                <w:b/>
                <w:bCs/>
                <w:color w:val="auto"/>
                <w:sz w:val="24"/>
                <w:highlight w:val="none"/>
              </w:rPr>
            </w:pPr>
            <w:r>
              <w:rPr>
                <w:rFonts w:hint="eastAsia"/>
                <w:b/>
                <w:bCs/>
                <w:color w:val="auto"/>
                <w:sz w:val="24"/>
                <w:highlight w:val="none"/>
              </w:rPr>
              <w:t>1、大气环境</w:t>
            </w:r>
          </w:p>
          <w:p>
            <w:pPr>
              <w:spacing w:line="460" w:lineRule="exact"/>
              <w:ind w:firstLineChars="200" w:firstLine="480"/>
              <w:rPr>
                <w:color w:val="auto"/>
                <w:sz w:val="24"/>
                <w:highlight w:val="none"/>
              </w:rPr>
            </w:pPr>
            <w:r>
              <w:rPr>
                <w:rFonts w:hint="eastAsia"/>
                <w:color w:val="auto"/>
                <w:sz w:val="24"/>
                <w:highlight w:val="none"/>
              </w:rPr>
              <w:t>（1）环境空气质量达标区判定</w:t>
            </w:r>
          </w:p>
          <w:p>
            <w:pPr>
              <w:keepNext w:val="0"/>
              <w:keepLines w:val="0"/>
              <w:pageBreakBefore w:val="0"/>
              <w:widowControl w:val="0"/>
              <w:kinsoku/>
              <w:wordWrap/>
              <w:overflowPunct/>
              <w:topLinePunct w:val="0"/>
              <w:autoSpaceDE/>
              <w:autoSpaceDN/>
              <w:bidi w:val="0"/>
              <w:adjustRightInd/>
              <w:spacing w:line="500" w:lineRule="exact"/>
              <w:ind w:firstLineChars="200" w:firstLine="480"/>
              <w:textAlignment w:val="auto"/>
              <w:rPr>
                <w:color w:val="auto"/>
                <w:sz w:val="24"/>
                <w:highlight w:val="none"/>
              </w:rPr>
            </w:pPr>
            <w:r>
              <w:rPr>
                <w:color w:val="auto"/>
                <w:sz w:val="24"/>
                <w:highlight w:val="none"/>
              </w:rPr>
              <w:t>根据石家庄市生态环境局</w:t>
            </w:r>
            <w:r>
              <w:rPr>
                <w:rFonts w:hint="eastAsia"/>
                <w:color w:val="auto"/>
                <w:sz w:val="24"/>
                <w:highlight w:val="none"/>
              </w:rPr>
              <w:t>202</w:t>
            </w:r>
            <w:r>
              <w:rPr>
                <w:rFonts w:hint="eastAsia"/>
                <w:color w:val="auto"/>
                <w:sz w:val="24"/>
                <w:lang w:val="en-US" w:eastAsia="zh-CN"/>
                <w:highlight w:val="none"/>
              </w:rPr>
              <w:t>5</w:t>
            </w:r>
            <w:r>
              <w:rPr>
                <w:rFonts w:hint="eastAsia"/>
                <w:color w:val="auto"/>
                <w:sz w:val="24"/>
                <w:highlight w:val="none"/>
              </w:rPr>
              <w:t>年6月</w:t>
            </w:r>
            <w:r>
              <w:rPr>
                <w:color w:val="auto"/>
                <w:sz w:val="24"/>
                <w:highlight w:val="none"/>
              </w:rPr>
              <w:t>发布的《202</w:t>
            </w:r>
            <w:r>
              <w:rPr>
                <w:rFonts w:hint="eastAsia"/>
                <w:color w:val="auto"/>
                <w:sz w:val="24"/>
                <w:lang w:val="en-US" w:eastAsia="zh-CN"/>
                <w:highlight w:val="none"/>
              </w:rPr>
              <w:t>4</w:t>
            </w:r>
            <w:r>
              <w:rPr>
                <w:color w:val="auto"/>
                <w:sz w:val="24"/>
                <w:highlight w:val="none"/>
              </w:rPr>
              <w:t>年石家庄市生态环境</w:t>
            </w:r>
            <w:r>
              <w:rPr>
                <w:rFonts w:hint="eastAsia"/>
                <w:color w:val="auto"/>
                <w:sz w:val="24"/>
                <w:highlight w:val="none"/>
              </w:rPr>
              <w:t>状况</w:t>
            </w:r>
            <w:r>
              <w:rPr>
                <w:color w:val="auto"/>
                <w:sz w:val="24"/>
                <w:highlight w:val="none"/>
              </w:rPr>
              <w:t>公报》相关数据进行判定。</w:t>
            </w:r>
          </w:p>
          <w:p>
            <w:pPr>
              <w:jc w:val="center"/>
              <w:rPr>
                <w:b/>
                <w:color w:val="auto"/>
                <w:sz w:val="24"/>
                <w:highlight w:val="none"/>
              </w:rPr>
            </w:pPr>
            <w:r>
              <w:rPr>
                <w:b/>
                <w:color w:val="auto"/>
                <w:sz w:val="24"/>
                <w:highlight w:val="none"/>
              </w:rPr>
              <w:t>表3-1  区域环境空气质量现状判定表</w:t>
            </w:r>
          </w:p>
          <w:tbl>
            <w:tblPr>
              <w:jc w:val="center"/>
              <w:tblW w:w="4998" w:type="pct"/>
              <w:tblBorders>
                <w:top w:val="single" w:sz="12" w:space="0" w:color="auto"/>
                <w:left w:val="none" w:sz="0" w:space="0" w:color="auto"/>
                <w:bottom w:val="single" w:sz="12" w:space="0" w:color="auto"/>
                <w:right w:val="none" w:sz="0" w:space="0" w:color="auto"/>
                <w:insideH w:val="single" w:sz="4" w:space="0" w:color="auto"/>
                <w:insideV w:val="single" w:sz="4" w:space="0" w:color="auto"/>
              </w:tblBorders>
              <w:tblCellMar>
                <w:top w:w="0" w:type="dxa"/>
                <w:left w:w="108" w:type="dxa"/>
                <w:bottom w:w="0" w:type="dxa"/>
                <w:right w:w="108" w:type="dxa"/>
              </w:tblCellMar>
              <w:tblLook w:val="0600" w:firstRow="0" w:lastRow="0" w:firstColumn="0" w:lastColumn="0" w:noHBand="1" w:noVBand="1"/>
            </w:tblPr>
            <w:tblGrid>
              <w:gridCol w:w="2765"/>
              <w:gridCol w:w="2885"/>
              <w:gridCol w:w="827"/>
              <w:gridCol w:w="827"/>
              <w:gridCol w:w="794"/>
              <w:gridCol w:w="426"/>
            </w:tblGrid>
            <w:tr>
              <w:trPr>
                <w:trHeight w:val="397"/>
              </w:trPr>
              <w:tc>
                <w:tcPr>
                  <w:tcW w:w="560" w:type="pct"/>
                  <w:tcBorders>
                    <w:tl2br w:val="nil"/>
                    <w:tr2bl w:val="nil"/>
                  </w:tcBorders>
                  <w:vAlign w:val="center"/>
                </w:tcPr>
                <w:p>
                  <w:pPr>
                    <w:widowControl/>
                    <w:adjustRightInd w:val="0"/>
                    <w:snapToGrid w:val="0"/>
                    <w:jc w:val="center"/>
                    <w:rPr>
                      <w:color w:val="auto"/>
                      <w:szCs w:val="21"/>
                      <w:highlight w:val="none"/>
                    </w:rPr>
                  </w:pPr>
                  <w:r>
                    <w:rPr>
                      <w:rFonts w:hint="eastAsia"/>
                      <w:color w:val="auto"/>
                      <w:szCs w:val="21"/>
                      <w:highlight w:val="none"/>
                    </w:rPr>
                    <w:t>污染物</w:t>
                  </w:r>
                </w:p>
              </w:tc>
              <w:tc>
                <w:tcPr>
                  <w:tcW w:w="1851" w:type="pct"/>
                  <w:tcBorders>
                    <w:tl2br w:val="nil"/>
                    <w:tr2bl w:val="nil"/>
                  </w:tcBorders>
                  <w:vAlign w:val="center"/>
                </w:tcPr>
                <w:p>
                  <w:pPr>
                    <w:widowControl/>
                    <w:adjustRightInd w:val="0"/>
                    <w:snapToGrid w:val="0"/>
                    <w:jc w:val="center"/>
                    <w:rPr>
                      <w:color w:val="auto"/>
                      <w:szCs w:val="21"/>
                      <w:highlight w:val="none"/>
                    </w:rPr>
                  </w:pPr>
                  <w:r>
                    <w:rPr>
                      <w:rFonts w:hint="eastAsia"/>
                      <w:color w:val="auto"/>
                      <w:szCs w:val="21"/>
                      <w:highlight w:val="none"/>
                    </w:rPr>
                    <w:t>年评价指标</w:t>
                  </w:r>
                </w:p>
              </w:tc>
              <w:tc>
                <w:tcPr>
                  <w:tcW w:w="752" w:type="pct"/>
                  <w:tcBorders>
                    <w:tl2br w:val="nil"/>
                    <w:tr2bl w:val="nil"/>
                  </w:tcBorders>
                  <w:vAlign w:val="center"/>
                </w:tcPr>
                <w:p>
                  <w:pPr>
                    <w:widowControl/>
                    <w:adjustRightInd w:val="0"/>
                    <w:snapToGrid w:val="0"/>
                    <w:jc w:val="center"/>
                    <w:rPr>
                      <w:color w:val="auto"/>
                      <w:szCs w:val="21"/>
                      <w:highlight w:val="none"/>
                    </w:rPr>
                  </w:pPr>
                  <w:r>
                    <w:rPr>
                      <w:rFonts w:hint="eastAsia"/>
                      <w:color w:val="auto"/>
                      <w:szCs w:val="21"/>
                      <w:highlight w:val="none"/>
                    </w:rPr>
                    <w:t>现状浓度</w:t>
                  </w:r>
                </w:p>
                <w:p>
                  <w:pPr>
                    <w:widowControl/>
                    <w:adjustRightInd w:val="0"/>
                    <w:snapToGrid w:val="0"/>
                    <w:jc w:val="center"/>
                    <w:rPr>
                      <w:color w:val="auto"/>
                      <w:szCs w:val="21"/>
                      <w:highlight w:val="none"/>
                    </w:rPr>
                  </w:pPr>
                  <w:r>
                    <w:rPr>
                      <w:rFonts w:hint="eastAsia"/>
                      <w:color w:val="auto"/>
                      <w:szCs w:val="21"/>
                      <w:highlight w:val="none"/>
                    </w:rPr>
                    <w:t>μg/m</w:t>
                  </w:r>
                  <w:r>
                    <w:rPr>
                      <w:rFonts w:hint="eastAsia"/>
                      <w:color w:val="auto"/>
                      <w:szCs w:val="21"/>
                      <w:vertAlign w:val="superscript"/>
                      <w:highlight w:val="none"/>
                    </w:rPr>
                    <w:t>3</w:t>
                  </w:r>
                </w:p>
              </w:tc>
              <w:tc>
                <w:tcPr>
                  <w:tcW w:w="625" w:type="pct"/>
                  <w:tcBorders>
                    <w:tl2br w:val="nil"/>
                    <w:tr2bl w:val="nil"/>
                  </w:tcBorders>
                  <w:vAlign w:val="center"/>
                </w:tcPr>
                <w:p>
                  <w:pPr>
                    <w:widowControl/>
                    <w:adjustRightInd w:val="0"/>
                    <w:snapToGrid w:val="0"/>
                    <w:jc w:val="center"/>
                    <w:rPr>
                      <w:color w:val="auto"/>
                      <w:szCs w:val="21"/>
                      <w:highlight w:val="none"/>
                    </w:rPr>
                  </w:pPr>
                  <w:r>
                    <w:rPr>
                      <w:rFonts w:hint="eastAsia"/>
                      <w:color w:val="auto"/>
                      <w:szCs w:val="21"/>
                      <w:highlight w:val="none"/>
                    </w:rPr>
                    <w:t>标准值</w:t>
                  </w:r>
                </w:p>
                <w:p>
                  <w:pPr>
                    <w:widowControl/>
                    <w:adjustRightInd w:val="0"/>
                    <w:snapToGrid w:val="0"/>
                    <w:jc w:val="center"/>
                    <w:rPr>
                      <w:color w:val="auto"/>
                      <w:szCs w:val="21"/>
                      <w:highlight w:val="none"/>
                    </w:rPr>
                  </w:pPr>
                  <w:r>
                    <w:rPr>
                      <w:rFonts w:hint="eastAsia"/>
                      <w:color w:val="auto"/>
                      <w:szCs w:val="21"/>
                      <w:highlight w:val="none"/>
                    </w:rPr>
                    <w:t>μg/m</w:t>
                  </w:r>
                  <w:r>
                    <w:rPr>
                      <w:rFonts w:hint="eastAsia"/>
                      <w:color w:val="auto"/>
                      <w:szCs w:val="21"/>
                      <w:vertAlign w:val="superscript"/>
                      <w:highlight w:val="none"/>
                    </w:rPr>
                    <w:t>3</w:t>
                  </w:r>
                </w:p>
              </w:tc>
              <w:tc>
                <w:tcPr>
                  <w:tcW w:w="562" w:type="pct"/>
                  <w:tcBorders>
                    <w:tl2br w:val="nil"/>
                    <w:tr2bl w:val="nil"/>
                  </w:tcBorders>
                  <w:vAlign w:val="center"/>
                </w:tcPr>
                <w:p>
                  <w:pPr>
                    <w:widowControl/>
                    <w:adjustRightInd w:val="0"/>
                    <w:snapToGrid w:val="0"/>
                    <w:jc w:val="center"/>
                    <w:rPr>
                      <w:color w:val="auto"/>
                      <w:szCs w:val="21"/>
                      <w:highlight w:val="none"/>
                    </w:rPr>
                  </w:pPr>
                  <w:r>
                    <w:rPr>
                      <w:rFonts w:hint="eastAsia"/>
                      <w:color w:val="auto"/>
                      <w:szCs w:val="21"/>
                      <w:highlight w:val="none"/>
                    </w:rPr>
                    <w:t>占标率</w:t>
                  </w:r>
                </w:p>
                <w:p>
                  <w:pPr>
                    <w:widowControl/>
                    <w:adjustRightInd w:val="0"/>
                    <w:snapToGrid w:val="0"/>
                    <w:jc w:val="center"/>
                    <w:rPr>
                      <w:color w:val="auto"/>
                      <w:szCs w:val="21"/>
                      <w:highlight w:val="none"/>
                    </w:rPr>
                  </w:pPr>
                  <w:r>
                    <w:rPr>
                      <w:rFonts w:hint="eastAsia"/>
                      <w:color w:val="auto"/>
                      <w:szCs w:val="21"/>
                      <w:highlight w:val="none"/>
                    </w:rPr>
                    <w:t>%</w:t>
                  </w:r>
                </w:p>
              </w:tc>
              <w:tc>
                <w:tcPr>
                  <w:tcW w:w="649" w:type="pct"/>
                  <w:tcBorders>
                    <w:tl2br w:val="nil"/>
                    <w:tr2bl w:val="nil"/>
                  </w:tcBorders>
                  <w:vAlign w:val="center"/>
                </w:tcPr>
                <w:p>
                  <w:pPr>
                    <w:widowControl/>
                    <w:adjustRightInd w:val="0"/>
                    <w:snapToGrid w:val="0"/>
                    <w:jc w:val="center"/>
                    <w:rPr>
                      <w:color w:val="auto"/>
                      <w:szCs w:val="21"/>
                      <w:highlight w:val="none"/>
                    </w:rPr>
                  </w:pPr>
                  <w:r>
                    <w:rPr>
                      <w:rFonts w:hint="eastAsia"/>
                      <w:color w:val="auto"/>
                      <w:szCs w:val="21"/>
                      <w:highlight w:val="none"/>
                    </w:rPr>
                    <w:t>达标情况</w:t>
                  </w:r>
                </w:p>
              </w:tc>
            </w:tr>
            <w:tr>
              <w:trPr>
                <w:trHeight w:val="397"/>
              </w:trPr>
              <w:tc>
                <w:tcPr>
                  <w:tcW w:w="2447" w:type="pct"/>
                  <w:tcBorders>
                    <w:tl2br w:val="nil"/>
                    <w:tr2bl w:val="nil"/>
                  </w:tcBorders>
                  <w:vAlign w:val="center"/>
                </w:tcPr>
                <w:p>
                  <w:pPr>
                    <w:pStyle w:val="85"/>
                    <w:adjustRightInd w:val="0"/>
                    <w:snapToGrid/>
                    <w:spacing w:line="300" w:lineRule="exact"/>
                    <w:jc w:val="center"/>
                    <w:textAlignment w:val="auto"/>
                    <w:rPr>
                      <w:color w:val="auto"/>
                      <w:szCs w:val="21"/>
                      <w:highlight w:val="none"/>
                    </w:rPr>
                  </w:pPr>
                  <w:r>
                    <w:rPr>
                      <w:rFonts w:ascii="Times New Roman" w:eastAsia="宋体" w:cs="Times New Roman" w:hAnsi="Times New Roman"/>
                      <w:color w:val="auto"/>
                      <w:sz w:val="21"/>
                      <w:szCs w:val="21"/>
                      <w:highlight w:val="none"/>
                    </w:rPr>
                    <w:t>PM</w:t>
                  </w:r>
                  <w:r>
                    <w:rPr>
                      <w:rFonts w:ascii="Times New Roman" w:eastAsia="宋体" w:cs="Times New Roman" w:hAnsi="Times New Roman"/>
                      <w:color w:val="auto"/>
                      <w:sz w:val="21"/>
                      <w:szCs w:val="21"/>
                      <w:vertAlign w:val="subscript"/>
                      <w:highlight w:val="none"/>
                    </w:rPr>
                    <w:t>10</w:t>
                  </w:r>
                </w:p>
              </w:tc>
              <w:tc>
                <w:tcPr>
                  <w:tcW w:w="5000" w:type="pct"/>
                  <w:tcBorders>
                    <w:tl2br w:val="nil"/>
                    <w:tr2bl w:val="nil"/>
                  </w:tcBorders>
                  <w:vAlign w:val="center"/>
                </w:tcPr>
                <w:p>
                  <w:pPr>
                    <w:pStyle w:val="85"/>
                    <w:adjustRightInd w:val="0"/>
                    <w:snapToGrid/>
                    <w:spacing w:line="300" w:lineRule="exact"/>
                    <w:jc w:val="center"/>
                    <w:textAlignment w:val="auto"/>
                    <w:rPr>
                      <w:color w:val="auto"/>
                      <w:szCs w:val="21"/>
                      <w:highlight w:val="none"/>
                    </w:rPr>
                  </w:pPr>
                  <w:r>
                    <w:rPr>
                      <w:rFonts w:ascii="Times New Roman" w:eastAsia="宋体" w:cs="Times New Roman" w:hAnsi="Times New Roman"/>
                      <w:color w:val="auto"/>
                      <w:sz w:val="21"/>
                      <w:szCs w:val="21"/>
                      <w:highlight w:val="none"/>
                    </w:rPr>
                    <w:t>年平均质量浓度</w:t>
                  </w:r>
                </w:p>
              </w:tc>
              <w:tc>
                <w:tcPr>
                  <w:tcW w:w="3285" w:type="pct"/>
                  <w:tcBorders>
                    <w:tl2br w:val="nil"/>
                    <w:tr2bl w:val="nil"/>
                  </w:tcBorders>
                  <w:vAlign w:val="center"/>
                </w:tcPr>
                <w:p>
                  <w:pPr>
                    <w:autoSpaceDE w:val="0"/>
                    <w:autoSpaceDN w:val="0"/>
                    <w:spacing w:line="300" w:lineRule="exact"/>
                    <w:jc w:val="center"/>
                    <w:rPr>
                      <w:color w:val="auto"/>
                      <w:szCs w:val="21"/>
                      <w:highlight w:val="none"/>
                    </w:rPr>
                  </w:pPr>
                  <w:r>
                    <w:rPr>
                      <w:rFonts w:hint="eastAsia"/>
                      <w:color w:val="auto"/>
                      <w:spacing w:val="-6"/>
                      <w:szCs w:val="21"/>
                      <w:lang w:val="en-US" w:eastAsia="zh-CN"/>
                      <w:highlight w:val="none"/>
                    </w:rPr>
                    <w:t>78</w:t>
                  </w:r>
                </w:p>
              </w:tc>
              <w:tc>
                <w:tcPr>
                  <w:tcW w:w="2732" w:type="pct"/>
                  <w:tcBorders>
                    <w:tl2br w:val="nil"/>
                    <w:tr2bl w:val="nil"/>
                  </w:tcBorders>
                  <w:vAlign w:val="center"/>
                </w:tcPr>
                <w:p>
                  <w:pPr>
                    <w:autoSpaceDE w:val="0"/>
                    <w:autoSpaceDN w:val="0"/>
                    <w:spacing w:line="300" w:lineRule="exact"/>
                    <w:jc w:val="center"/>
                    <w:rPr>
                      <w:color w:val="auto"/>
                      <w:szCs w:val="21"/>
                      <w:highlight w:val="none"/>
                    </w:rPr>
                  </w:pPr>
                  <w:r>
                    <w:rPr>
                      <w:rFonts w:hint="eastAsia"/>
                      <w:color w:val="auto"/>
                      <w:szCs w:val="21"/>
                      <w:lang w:val="en-US" w:eastAsia="zh-CN"/>
                      <w:highlight w:val="none"/>
                    </w:rPr>
                    <w:t>70</w:t>
                  </w:r>
                </w:p>
              </w:tc>
              <w:tc>
                <w:tcPr>
                  <w:tcW w:w="2455" w:type="pct"/>
                  <w:tcBorders>
                    <w:tl2br w:val="nil"/>
                    <w:tr2bl w:val="nil"/>
                  </w:tcBorders>
                  <w:vAlign w:val="center"/>
                </w:tcPr>
                <w:p>
                  <w:pPr>
                    <w:autoSpaceDE w:val="0"/>
                    <w:autoSpaceDN w:val="0"/>
                    <w:spacing w:line="300" w:lineRule="exact"/>
                    <w:jc w:val="center"/>
                    <w:rPr>
                      <w:color w:val="auto"/>
                      <w:szCs w:val="21"/>
                      <w:highlight w:val="none"/>
                    </w:rPr>
                  </w:pPr>
                  <w:r>
                    <w:rPr>
                      <w:rFonts w:hint="eastAsia"/>
                      <w:color w:val="auto"/>
                      <w:szCs w:val="21"/>
                      <w:lang w:val="en-US" w:eastAsia="zh-CN"/>
                      <w:highlight w:val="none"/>
                    </w:rPr>
                    <w:t>111.43</w:t>
                  </w:r>
                </w:p>
              </w:tc>
              <w:tc>
                <w:tcPr>
                  <w:tcW w:w="2835" w:type="pct"/>
                  <w:tcBorders>
                    <w:tl2br w:val="nil"/>
                    <w:tr2bl w:val="nil"/>
                  </w:tcBorders>
                  <w:vAlign w:val="center"/>
                </w:tcPr>
                <w:p>
                  <w:pPr>
                    <w:autoSpaceDE w:val="0"/>
                    <w:autoSpaceDN w:val="0"/>
                    <w:spacing w:line="300" w:lineRule="exact"/>
                    <w:jc w:val="center"/>
                    <w:rPr>
                      <w:color w:val="auto"/>
                      <w:szCs w:val="21"/>
                      <w:highlight w:val="none"/>
                    </w:rPr>
                  </w:pPr>
                  <w:r>
                    <w:rPr>
                      <w:color w:val="auto"/>
                      <w:spacing w:val="-6"/>
                      <w:szCs w:val="21"/>
                      <w:highlight w:val="none"/>
                    </w:rPr>
                    <w:t>不达标</w:t>
                  </w:r>
                </w:p>
              </w:tc>
            </w:tr>
            <w:tr>
              <w:trPr>
                <w:trHeight w:val="397"/>
              </w:trPr>
              <w:tc>
                <w:tcPr>
                  <w:tcW w:w="2447" w:type="pct"/>
                  <w:tcBorders>
                    <w:tl2br w:val="nil"/>
                    <w:tr2bl w:val="nil"/>
                  </w:tcBorders>
                  <w:vAlign w:val="center"/>
                </w:tcPr>
                <w:p>
                  <w:pPr>
                    <w:pStyle w:val="85"/>
                    <w:adjustRightInd w:val="0"/>
                    <w:snapToGrid/>
                    <w:spacing w:line="300" w:lineRule="exact"/>
                    <w:jc w:val="center"/>
                    <w:textAlignment w:val="auto"/>
                    <w:rPr>
                      <w:color w:val="auto"/>
                      <w:szCs w:val="21"/>
                      <w:highlight w:val="none"/>
                    </w:rPr>
                  </w:pPr>
                  <w:r>
                    <w:rPr>
                      <w:rFonts w:ascii="Times New Roman" w:eastAsia="宋体" w:cs="Times New Roman" w:hAnsi="Times New Roman"/>
                      <w:color w:val="auto"/>
                      <w:sz w:val="21"/>
                      <w:szCs w:val="21"/>
                      <w:highlight w:val="none"/>
                    </w:rPr>
                    <w:t>PM</w:t>
                  </w:r>
                  <w:r>
                    <w:rPr>
                      <w:rFonts w:ascii="Times New Roman" w:eastAsia="宋体" w:cs="Times New Roman" w:hAnsi="Times New Roman"/>
                      <w:color w:val="auto"/>
                      <w:sz w:val="21"/>
                      <w:szCs w:val="21"/>
                      <w:vertAlign w:val="subscript"/>
                      <w:highlight w:val="none"/>
                    </w:rPr>
                    <w:t>2.5</w:t>
                  </w:r>
                </w:p>
              </w:tc>
              <w:tc>
                <w:tcPr>
                  <w:tcW w:w="5000" w:type="pct"/>
                  <w:tcBorders>
                    <w:tl2br w:val="nil"/>
                    <w:tr2bl w:val="nil"/>
                  </w:tcBorders>
                  <w:vAlign w:val="center"/>
                </w:tcPr>
                <w:p>
                  <w:pPr>
                    <w:pStyle w:val="85"/>
                    <w:adjustRightInd w:val="0"/>
                    <w:snapToGrid/>
                    <w:spacing w:line="300" w:lineRule="exact"/>
                    <w:jc w:val="center"/>
                    <w:textAlignment w:val="auto"/>
                    <w:rPr>
                      <w:color w:val="auto"/>
                      <w:szCs w:val="21"/>
                      <w:highlight w:val="none"/>
                    </w:rPr>
                  </w:pPr>
                  <w:r>
                    <w:rPr>
                      <w:rFonts w:ascii="Times New Roman" w:eastAsia="宋体" w:cs="Times New Roman" w:hAnsi="Times New Roman"/>
                      <w:color w:val="auto"/>
                      <w:sz w:val="21"/>
                      <w:szCs w:val="21"/>
                      <w:highlight w:val="none"/>
                    </w:rPr>
                    <w:t>年平均质量浓度</w:t>
                  </w:r>
                </w:p>
              </w:tc>
              <w:tc>
                <w:tcPr>
                  <w:tcW w:w="3285" w:type="pct"/>
                  <w:tcBorders>
                    <w:tl2br w:val="nil"/>
                    <w:tr2bl w:val="nil"/>
                  </w:tcBorders>
                  <w:vAlign w:val="center"/>
                </w:tcPr>
                <w:p>
                  <w:pPr>
                    <w:autoSpaceDE w:val="0"/>
                    <w:autoSpaceDN w:val="0"/>
                    <w:spacing w:line="300" w:lineRule="exact"/>
                    <w:jc w:val="center"/>
                    <w:rPr>
                      <w:color w:val="auto"/>
                      <w:szCs w:val="21"/>
                      <w:highlight w:val="none"/>
                    </w:rPr>
                  </w:pPr>
                  <w:r>
                    <w:rPr>
                      <w:rFonts w:hint="eastAsia"/>
                      <w:color w:val="auto"/>
                      <w:spacing w:val="-6"/>
                      <w:szCs w:val="21"/>
                      <w:lang w:val="en-US" w:eastAsia="zh-CN"/>
                      <w:highlight w:val="none"/>
                    </w:rPr>
                    <w:t>45</w:t>
                  </w:r>
                </w:p>
              </w:tc>
              <w:tc>
                <w:tcPr>
                  <w:tcW w:w="2732" w:type="pct"/>
                  <w:tcBorders>
                    <w:tl2br w:val="nil"/>
                    <w:tr2bl w:val="nil"/>
                  </w:tcBorders>
                  <w:vAlign w:val="center"/>
                </w:tcPr>
                <w:p>
                  <w:pPr>
                    <w:autoSpaceDE w:val="0"/>
                    <w:autoSpaceDN w:val="0"/>
                    <w:spacing w:line="300" w:lineRule="exact"/>
                    <w:jc w:val="center"/>
                    <w:rPr>
                      <w:color w:val="auto"/>
                      <w:szCs w:val="21"/>
                      <w:highlight w:val="none"/>
                    </w:rPr>
                  </w:pPr>
                  <w:r>
                    <w:rPr>
                      <w:rFonts w:hint="eastAsia"/>
                      <w:color w:val="auto"/>
                      <w:szCs w:val="21"/>
                      <w:lang w:val="en-US" w:eastAsia="zh-CN"/>
                      <w:highlight w:val="none"/>
                    </w:rPr>
                    <w:t>35</w:t>
                  </w:r>
                </w:p>
              </w:tc>
              <w:tc>
                <w:tcPr>
                  <w:tcW w:w="2455" w:type="pct"/>
                  <w:tcBorders>
                    <w:tl2br w:val="nil"/>
                    <w:tr2bl w:val="nil"/>
                  </w:tcBorders>
                  <w:vAlign w:val="center"/>
                </w:tcPr>
                <w:p>
                  <w:pPr>
                    <w:autoSpaceDE w:val="0"/>
                    <w:autoSpaceDN w:val="0"/>
                    <w:spacing w:line="300" w:lineRule="exact"/>
                    <w:jc w:val="center"/>
                    <w:rPr>
                      <w:color w:val="auto"/>
                      <w:szCs w:val="21"/>
                      <w:highlight w:val="none"/>
                    </w:rPr>
                  </w:pPr>
                  <w:r>
                    <w:rPr>
                      <w:rFonts w:hint="eastAsia"/>
                      <w:color w:val="auto"/>
                      <w:szCs w:val="21"/>
                      <w:lang w:val="en-US" w:eastAsia="zh-CN"/>
                      <w:highlight w:val="none"/>
                    </w:rPr>
                    <w:t>128.57</w:t>
                  </w:r>
                </w:p>
              </w:tc>
              <w:tc>
                <w:tcPr>
                  <w:tcW w:w="2835" w:type="pct"/>
                  <w:tcBorders>
                    <w:tl2br w:val="nil"/>
                    <w:tr2bl w:val="nil"/>
                  </w:tcBorders>
                  <w:vAlign w:val="center"/>
                </w:tcPr>
                <w:p>
                  <w:pPr>
                    <w:autoSpaceDE w:val="0"/>
                    <w:autoSpaceDN w:val="0"/>
                    <w:spacing w:line="300" w:lineRule="exact"/>
                    <w:jc w:val="center"/>
                    <w:rPr>
                      <w:color w:val="auto"/>
                      <w:szCs w:val="21"/>
                      <w:highlight w:val="none"/>
                    </w:rPr>
                  </w:pPr>
                  <w:r>
                    <w:rPr>
                      <w:color w:val="auto"/>
                      <w:spacing w:val="-6"/>
                      <w:szCs w:val="21"/>
                      <w:highlight w:val="none"/>
                    </w:rPr>
                    <w:t>不达标</w:t>
                  </w:r>
                </w:p>
              </w:tc>
            </w:tr>
            <w:tr>
              <w:trPr>
                <w:trHeight w:val="397"/>
              </w:trPr>
              <w:tc>
                <w:tcPr>
                  <w:tcW w:w="2447" w:type="pct"/>
                  <w:tcBorders>
                    <w:tl2br w:val="nil"/>
                    <w:tr2bl w:val="nil"/>
                  </w:tcBorders>
                  <w:vAlign w:val="center"/>
                </w:tcPr>
                <w:p>
                  <w:pPr>
                    <w:pStyle w:val="85"/>
                    <w:adjustRightInd w:val="0"/>
                    <w:snapToGrid/>
                    <w:spacing w:line="300" w:lineRule="exact"/>
                    <w:jc w:val="center"/>
                    <w:textAlignment w:val="auto"/>
                    <w:rPr>
                      <w:color w:val="auto"/>
                      <w:szCs w:val="21"/>
                      <w:highlight w:val="none"/>
                    </w:rPr>
                  </w:pPr>
                  <w:r>
                    <w:rPr>
                      <w:rFonts w:ascii="Times New Roman" w:eastAsia="宋体" w:cs="Times New Roman" w:hAnsi="Times New Roman"/>
                      <w:color w:val="auto"/>
                      <w:sz w:val="21"/>
                      <w:szCs w:val="21"/>
                      <w:highlight w:val="none"/>
                    </w:rPr>
                    <w:t>SO</w:t>
                  </w:r>
                  <w:r>
                    <w:rPr>
                      <w:rFonts w:ascii="Times New Roman" w:eastAsia="宋体" w:cs="Times New Roman" w:hAnsi="Times New Roman"/>
                      <w:color w:val="auto"/>
                      <w:sz w:val="21"/>
                      <w:szCs w:val="21"/>
                      <w:vertAlign w:val="subscript"/>
                      <w:highlight w:val="none"/>
                    </w:rPr>
                    <w:t>2</w:t>
                  </w:r>
                </w:p>
              </w:tc>
              <w:tc>
                <w:tcPr>
                  <w:tcW w:w="5000" w:type="pct"/>
                  <w:tcBorders>
                    <w:tl2br w:val="nil"/>
                    <w:tr2bl w:val="nil"/>
                  </w:tcBorders>
                  <w:vAlign w:val="center"/>
                </w:tcPr>
                <w:p>
                  <w:pPr>
                    <w:pStyle w:val="85"/>
                    <w:adjustRightInd w:val="0"/>
                    <w:snapToGrid/>
                    <w:spacing w:line="300" w:lineRule="exact"/>
                    <w:jc w:val="center"/>
                    <w:textAlignment w:val="auto"/>
                    <w:rPr>
                      <w:color w:val="auto"/>
                      <w:szCs w:val="21"/>
                      <w:highlight w:val="none"/>
                    </w:rPr>
                  </w:pPr>
                  <w:r>
                    <w:rPr>
                      <w:rFonts w:ascii="Times New Roman" w:eastAsia="宋体" w:cs="Times New Roman" w:hAnsi="Times New Roman"/>
                      <w:color w:val="auto"/>
                      <w:sz w:val="21"/>
                      <w:szCs w:val="21"/>
                      <w:highlight w:val="none"/>
                    </w:rPr>
                    <w:t>年平均质量浓度</w:t>
                  </w:r>
                </w:p>
              </w:tc>
              <w:tc>
                <w:tcPr>
                  <w:tcW w:w="3285" w:type="pct"/>
                  <w:tcBorders>
                    <w:tl2br w:val="nil"/>
                    <w:tr2bl w:val="nil"/>
                  </w:tcBorders>
                  <w:vAlign w:val="center"/>
                </w:tcPr>
                <w:p>
                  <w:pPr>
                    <w:autoSpaceDE w:val="0"/>
                    <w:autoSpaceDN w:val="0"/>
                    <w:spacing w:line="300" w:lineRule="exact"/>
                    <w:jc w:val="center"/>
                    <w:rPr>
                      <w:color w:val="auto"/>
                      <w:szCs w:val="21"/>
                      <w:highlight w:val="none"/>
                    </w:rPr>
                  </w:pPr>
                  <w:r>
                    <w:rPr>
                      <w:rFonts w:hint="eastAsia"/>
                      <w:color w:val="auto"/>
                      <w:spacing w:val="-6"/>
                      <w:szCs w:val="21"/>
                      <w:lang w:val="en-US" w:eastAsia="zh-CN"/>
                      <w:highlight w:val="none"/>
                    </w:rPr>
                    <w:t>5</w:t>
                  </w:r>
                </w:p>
              </w:tc>
              <w:tc>
                <w:tcPr>
                  <w:tcW w:w="2732" w:type="pct"/>
                  <w:tcBorders>
                    <w:tl2br w:val="nil"/>
                    <w:tr2bl w:val="nil"/>
                  </w:tcBorders>
                  <w:vAlign w:val="center"/>
                </w:tcPr>
                <w:p>
                  <w:pPr>
                    <w:autoSpaceDE w:val="0"/>
                    <w:autoSpaceDN w:val="0"/>
                    <w:spacing w:line="300" w:lineRule="exact"/>
                    <w:jc w:val="center"/>
                    <w:rPr>
                      <w:color w:val="auto"/>
                      <w:szCs w:val="21"/>
                      <w:highlight w:val="none"/>
                    </w:rPr>
                  </w:pPr>
                  <w:r>
                    <w:rPr>
                      <w:rFonts w:hint="eastAsia"/>
                      <w:color w:val="auto"/>
                      <w:szCs w:val="21"/>
                      <w:lang w:val="en-US" w:eastAsia="zh-CN"/>
                      <w:highlight w:val="none"/>
                    </w:rPr>
                    <w:t>60</w:t>
                  </w:r>
                </w:p>
              </w:tc>
              <w:tc>
                <w:tcPr>
                  <w:tcW w:w="2455" w:type="pct"/>
                  <w:tcBorders>
                    <w:tl2br w:val="nil"/>
                    <w:tr2bl w:val="nil"/>
                  </w:tcBorders>
                  <w:vAlign w:val="center"/>
                </w:tcPr>
                <w:p>
                  <w:pPr>
                    <w:autoSpaceDE w:val="0"/>
                    <w:autoSpaceDN w:val="0"/>
                    <w:spacing w:line="300" w:lineRule="exact"/>
                    <w:jc w:val="center"/>
                    <w:rPr>
                      <w:color w:val="auto"/>
                      <w:szCs w:val="21"/>
                      <w:highlight w:val="none"/>
                    </w:rPr>
                  </w:pPr>
                  <w:r>
                    <w:rPr>
                      <w:rFonts w:hint="eastAsia"/>
                      <w:color w:val="auto"/>
                      <w:szCs w:val="21"/>
                      <w:lang w:val="en-US" w:eastAsia="zh-CN"/>
                      <w:highlight w:val="none"/>
                    </w:rPr>
                    <w:t>8.33</w:t>
                  </w:r>
                </w:p>
              </w:tc>
              <w:tc>
                <w:tcPr>
                  <w:tcW w:w="2835" w:type="pct"/>
                  <w:tcBorders>
                    <w:tl2br w:val="nil"/>
                    <w:tr2bl w:val="nil"/>
                  </w:tcBorders>
                  <w:vAlign w:val="center"/>
                </w:tcPr>
                <w:p>
                  <w:pPr>
                    <w:autoSpaceDE w:val="0"/>
                    <w:autoSpaceDN w:val="0"/>
                    <w:spacing w:line="300" w:lineRule="exact"/>
                    <w:jc w:val="center"/>
                    <w:rPr>
                      <w:color w:val="auto"/>
                      <w:szCs w:val="21"/>
                      <w:highlight w:val="none"/>
                    </w:rPr>
                  </w:pPr>
                  <w:r>
                    <w:rPr>
                      <w:color w:val="auto"/>
                      <w:spacing w:val="-6"/>
                      <w:szCs w:val="21"/>
                      <w:highlight w:val="none"/>
                    </w:rPr>
                    <w:t>达标</w:t>
                  </w:r>
                </w:p>
              </w:tc>
            </w:tr>
            <w:tr>
              <w:trPr>
                <w:trHeight w:val="397"/>
              </w:trPr>
              <w:tc>
                <w:tcPr>
                  <w:tcW w:w="2447" w:type="pct"/>
                  <w:tcBorders>
                    <w:tl2br w:val="nil"/>
                    <w:tr2bl w:val="nil"/>
                  </w:tcBorders>
                  <w:vAlign w:val="center"/>
                </w:tcPr>
                <w:p>
                  <w:pPr>
                    <w:pStyle w:val="85"/>
                    <w:adjustRightInd w:val="0"/>
                    <w:snapToGrid/>
                    <w:spacing w:line="300" w:lineRule="exact"/>
                    <w:jc w:val="center"/>
                    <w:textAlignment w:val="auto"/>
                    <w:rPr>
                      <w:color w:val="auto"/>
                      <w:szCs w:val="21"/>
                      <w:highlight w:val="none"/>
                    </w:rPr>
                  </w:pPr>
                  <w:r>
                    <w:rPr>
                      <w:rFonts w:ascii="Times New Roman" w:eastAsia="宋体" w:cs="Times New Roman" w:hAnsi="Times New Roman"/>
                      <w:color w:val="auto"/>
                      <w:sz w:val="21"/>
                      <w:szCs w:val="21"/>
                      <w:highlight w:val="none"/>
                    </w:rPr>
                    <w:t>NO</w:t>
                  </w:r>
                  <w:r>
                    <w:rPr>
                      <w:rFonts w:ascii="Times New Roman" w:eastAsia="宋体" w:cs="Times New Roman" w:hAnsi="Times New Roman"/>
                      <w:color w:val="auto"/>
                      <w:sz w:val="21"/>
                      <w:szCs w:val="21"/>
                      <w:vertAlign w:val="subscript"/>
                      <w:highlight w:val="none"/>
                    </w:rPr>
                    <w:t>2</w:t>
                  </w:r>
                </w:p>
              </w:tc>
              <w:tc>
                <w:tcPr>
                  <w:tcW w:w="5000" w:type="pct"/>
                  <w:tcBorders>
                    <w:tl2br w:val="nil"/>
                    <w:tr2bl w:val="nil"/>
                  </w:tcBorders>
                  <w:vAlign w:val="center"/>
                </w:tcPr>
                <w:p>
                  <w:pPr>
                    <w:pStyle w:val="85"/>
                    <w:adjustRightInd w:val="0"/>
                    <w:snapToGrid/>
                    <w:spacing w:line="300" w:lineRule="exact"/>
                    <w:jc w:val="center"/>
                    <w:textAlignment w:val="auto"/>
                    <w:rPr>
                      <w:color w:val="auto"/>
                      <w:szCs w:val="21"/>
                      <w:highlight w:val="none"/>
                    </w:rPr>
                  </w:pPr>
                  <w:r>
                    <w:rPr>
                      <w:rFonts w:ascii="Times New Roman" w:eastAsia="宋体" w:cs="Times New Roman" w:hAnsi="Times New Roman"/>
                      <w:color w:val="auto"/>
                      <w:sz w:val="21"/>
                      <w:szCs w:val="21"/>
                      <w:highlight w:val="none"/>
                    </w:rPr>
                    <w:t>年平均质量浓度</w:t>
                  </w:r>
                </w:p>
              </w:tc>
              <w:tc>
                <w:tcPr>
                  <w:tcW w:w="3285" w:type="pct"/>
                  <w:tcBorders>
                    <w:tl2br w:val="nil"/>
                    <w:tr2bl w:val="nil"/>
                  </w:tcBorders>
                  <w:vAlign w:val="center"/>
                </w:tcPr>
                <w:p>
                  <w:pPr>
                    <w:autoSpaceDE w:val="0"/>
                    <w:autoSpaceDN w:val="0"/>
                    <w:spacing w:line="300" w:lineRule="exact"/>
                    <w:jc w:val="center"/>
                    <w:rPr>
                      <w:color w:val="auto"/>
                      <w:szCs w:val="21"/>
                      <w:highlight w:val="none"/>
                    </w:rPr>
                  </w:pPr>
                  <w:r>
                    <w:rPr>
                      <w:rFonts w:hint="eastAsia"/>
                      <w:color w:val="auto"/>
                      <w:spacing w:val="-6"/>
                      <w:szCs w:val="21"/>
                      <w:lang w:val="en-US" w:eastAsia="zh-CN"/>
                      <w:highlight w:val="none"/>
                    </w:rPr>
                    <w:t>27</w:t>
                  </w:r>
                </w:p>
              </w:tc>
              <w:tc>
                <w:tcPr>
                  <w:tcW w:w="2732" w:type="pct"/>
                  <w:tcBorders>
                    <w:tl2br w:val="nil"/>
                    <w:tr2bl w:val="nil"/>
                  </w:tcBorders>
                  <w:vAlign w:val="center"/>
                </w:tcPr>
                <w:p>
                  <w:pPr>
                    <w:autoSpaceDE w:val="0"/>
                    <w:autoSpaceDN w:val="0"/>
                    <w:spacing w:line="300" w:lineRule="exact"/>
                    <w:jc w:val="center"/>
                    <w:rPr>
                      <w:color w:val="auto"/>
                      <w:szCs w:val="21"/>
                      <w:highlight w:val="none"/>
                    </w:rPr>
                  </w:pPr>
                  <w:r>
                    <w:rPr>
                      <w:rFonts w:hint="eastAsia"/>
                      <w:color w:val="auto"/>
                      <w:szCs w:val="21"/>
                      <w:lang w:val="en-US" w:eastAsia="zh-CN"/>
                      <w:highlight w:val="none"/>
                    </w:rPr>
                    <w:t>40</w:t>
                  </w:r>
                </w:p>
              </w:tc>
              <w:tc>
                <w:tcPr>
                  <w:tcW w:w="2455" w:type="pct"/>
                  <w:tcBorders>
                    <w:tl2br w:val="nil"/>
                    <w:tr2bl w:val="nil"/>
                  </w:tcBorders>
                  <w:vAlign w:val="center"/>
                </w:tcPr>
                <w:p>
                  <w:pPr>
                    <w:autoSpaceDE w:val="0"/>
                    <w:autoSpaceDN w:val="0"/>
                    <w:spacing w:line="300" w:lineRule="exact"/>
                    <w:jc w:val="center"/>
                    <w:rPr>
                      <w:color w:val="auto"/>
                      <w:szCs w:val="21"/>
                      <w:highlight w:val="none"/>
                    </w:rPr>
                  </w:pPr>
                  <w:r>
                    <w:rPr>
                      <w:rFonts w:hint="eastAsia"/>
                      <w:color w:val="auto"/>
                      <w:szCs w:val="21"/>
                      <w:lang w:val="en-US" w:eastAsia="zh-CN"/>
                      <w:highlight w:val="none"/>
                    </w:rPr>
                    <w:t>67.50</w:t>
                  </w:r>
                </w:p>
              </w:tc>
              <w:tc>
                <w:tcPr>
                  <w:tcW w:w="2835" w:type="pct"/>
                  <w:tcBorders>
                    <w:tl2br w:val="nil"/>
                    <w:tr2bl w:val="nil"/>
                  </w:tcBorders>
                  <w:vAlign w:val="center"/>
                </w:tcPr>
                <w:p>
                  <w:pPr>
                    <w:autoSpaceDE w:val="0"/>
                    <w:autoSpaceDN w:val="0"/>
                    <w:spacing w:line="300" w:lineRule="exact"/>
                    <w:jc w:val="center"/>
                    <w:rPr>
                      <w:color w:val="auto"/>
                      <w:szCs w:val="21"/>
                      <w:highlight w:val="none"/>
                    </w:rPr>
                  </w:pPr>
                  <w:r>
                    <w:rPr>
                      <w:color w:val="auto"/>
                      <w:spacing w:val="-6"/>
                      <w:szCs w:val="21"/>
                      <w:highlight w:val="none"/>
                    </w:rPr>
                    <w:t>达标</w:t>
                  </w:r>
                </w:p>
              </w:tc>
            </w:tr>
            <w:tr>
              <w:trPr>
                <w:trHeight w:val="397"/>
              </w:trPr>
              <w:tc>
                <w:tcPr>
                  <w:tcW w:w="2447" w:type="pct"/>
                  <w:tcBorders>
                    <w:tl2br w:val="nil"/>
                    <w:tr2bl w:val="nil"/>
                  </w:tcBorders>
                  <w:vAlign w:val="center"/>
                </w:tcPr>
                <w:p>
                  <w:pPr>
                    <w:pStyle w:val="85"/>
                    <w:adjustRightInd w:val="0"/>
                    <w:snapToGrid/>
                    <w:spacing w:line="300" w:lineRule="exact"/>
                    <w:jc w:val="center"/>
                    <w:textAlignment w:val="auto"/>
                    <w:rPr>
                      <w:color w:val="auto"/>
                      <w:szCs w:val="21"/>
                      <w:highlight w:val="none"/>
                    </w:rPr>
                  </w:pPr>
                  <w:r>
                    <w:rPr>
                      <w:rFonts w:ascii="Times New Roman" w:eastAsia="宋体" w:cs="Times New Roman" w:hAnsi="Times New Roman"/>
                      <w:color w:val="auto"/>
                      <w:sz w:val="21"/>
                      <w:szCs w:val="21"/>
                      <w:highlight w:val="none"/>
                    </w:rPr>
                    <w:t>CO</w:t>
                  </w:r>
                </w:p>
              </w:tc>
              <w:tc>
                <w:tcPr>
                  <w:tcW w:w="5000" w:type="pct"/>
                  <w:tcBorders>
                    <w:tl2br w:val="nil"/>
                    <w:tr2bl w:val="nil"/>
                  </w:tcBorders>
                  <w:vAlign w:val="center"/>
                </w:tcPr>
                <w:p>
                  <w:pPr>
                    <w:pStyle w:val="85"/>
                    <w:adjustRightInd w:val="0"/>
                    <w:snapToGrid/>
                    <w:spacing w:line="300" w:lineRule="exact"/>
                    <w:jc w:val="center"/>
                    <w:textAlignment w:val="auto"/>
                    <w:rPr>
                      <w:color w:val="auto"/>
                      <w:szCs w:val="21"/>
                      <w:highlight w:val="none"/>
                    </w:rPr>
                  </w:pPr>
                  <w:r>
                    <w:rPr>
                      <w:rFonts w:ascii="Times New Roman" w:eastAsia="宋体" w:cs="Times New Roman" w:hAnsi="Times New Roman"/>
                      <w:color w:val="auto"/>
                      <w:sz w:val="21"/>
                      <w:szCs w:val="21"/>
                      <w:highlight w:val="none"/>
                    </w:rPr>
                    <w:t>24小时平均第95位百分位数</w:t>
                  </w:r>
                </w:p>
              </w:tc>
              <w:tc>
                <w:tcPr>
                  <w:tcW w:w="3285" w:type="pct"/>
                  <w:tcBorders>
                    <w:tl2br w:val="nil"/>
                    <w:tr2bl w:val="nil"/>
                  </w:tcBorders>
                  <w:vAlign w:val="center"/>
                </w:tcPr>
                <w:p>
                  <w:pPr>
                    <w:autoSpaceDE w:val="0"/>
                    <w:autoSpaceDN w:val="0"/>
                    <w:spacing w:line="300" w:lineRule="exact"/>
                    <w:jc w:val="center"/>
                    <w:rPr>
                      <w:color w:val="auto"/>
                      <w:szCs w:val="21"/>
                      <w:highlight w:val="none"/>
                    </w:rPr>
                  </w:pPr>
                  <w:r>
                    <w:rPr>
                      <w:rFonts w:hint="eastAsia"/>
                      <w:color w:val="auto"/>
                      <w:spacing w:val="-6"/>
                      <w:szCs w:val="21"/>
                      <w:lang w:val="en-US" w:eastAsia="zh-CN"/>
                      <w:highlight w:val="none"/>
                    </w:rPr>
                    <w:t>1200</w:t>
                  </w:r>
                </w:p>
              </w:tc>
              <w:tc>
                <w:tcPr>
                  <w:tcW w:w="2732" w:type="pct"/>
                  <w:tcBorders>
                    <w:tl2br w:val="nil"/>
                    <w:tr2bl w:val="nil"/>
                  </w:tcBorders>
                  <w:vAlign w:val="center"/>
                </w:tcPr>
                <w:p>
                  <w:pPr>
                    <w:autoSpaceDE w:val="0"/>
                    <w:autoSpaceDN w:val="0"/>
                    <w:spacing w:line="300" w:lineRule="exact"/>
                    <w:jc w:val="center"/>
                    <w:rPr>
                      <w:color w:val="auto"/>
                      <w:szCs w:val="21"/>
                      <w:highlight w:val="none"/>
                    </w:rPr>
                  </w:pPr>
                  <w:r>
                    <w:rPr>
                      <w:rFonts w:hint="eastAsia"/>
                      <w:color w:val="auto"/>
                      <w:szCs w:val="21"/>
                      <w:lang w:val="en-US" w:eastAsia="zh-CN"/>
                      <w:highlight w:val="none"/>
                    </w:rPr>
                    <w:t>4000</w:t>
                  </w:r>
                </w:p>
              </w:tc>
              <w:tc>
                <w:tcPr>
                  <w:tcW w:w="2455" w:type="pct"/>
                  <w:tcBorders>
                    <w:tl2br w:val="nil"/>
                    <w:tr2bl w:val="nil"/>
                  </w:tcBorders>
                  <w:vAlign w:val="center"/>
                </w:tcPr>
                <w:p>
                  <w:pPr>
                    <w:autoSpaceDE w:val="0"/>
                    <w:autoSpaceDN w:val="0"/>
                    <w:spacing w:line="300" w:lineRule="exact"/>
                    <w:jc w:val="center"/>
                    <w:rPr>
                      <w:color w:val="auto"/>
                      <w:szCs w:val="21"/>
                      <w:highlight w:val="none"/>
                    </w:rPr>
                  </w:pPr>
                  <w:r>
                    <w:rPr>
                      <w:rFonts w:hint="eastAsia"/>
                      <w:color w:val="auto"/>
                      <w:szCs w:val="21"/>
                      <w:lang w:val="en-US" w:eastAsia="zh-CN"/>
                      <w:highlight w:val="none"/>
                    </w:rPr>
                    <w:t>30.00</w:t>
                  </w:r>
                </w:p>
              </w:tc>
              <w:tc>
                <w:tcPr>
                  <w:tcW w:w="2835" w:type="pct"/>
                  <w:tcBorders>
                    <w:tl2br w:val="nil"/>
                    <w:tr2bl w:val="nil"/>
                  </w:tcBorders>
                  <w:vAlign w:val="center"/>
                </w:tcPr>
                <w:p>
                  <w:pPr>
                    <w:autoSpaceDE w:val="0"/>
                    <w:autoSpaceDN w:val="0"/>
                    <w:spacing w:line="300" w:lineRule="exact"/>
                    <w:jc w:val="center"/>
                    <w:rPr>
                      <w:color w:val="auto"/>
                      <w:szCs w:val="21"/>
                      <w:highlight w:val="none"/>
                    </w:rPr>
                  </w:pPr>
                  <w:r>
                    <w:rPr>
                      <w:color w:val="auto"/>
                      <w:spacing w:val="-6"/>
                      <w:szCs w:val="21"/>
                      <w:highlight w:val="none"/>
                    </w:rPr>
                    <w:t>达标</w:t>
                  </w:r>
                </w:p>
              </w:tc>
            </w:tr>
            <w:tr>
              <w:trPr>
                <w:trHeight w:val="397"/>
              </w:trPr>
              <w:tc>
                <w:tcPr>
                  <w:tcW w:w="2447" w:type="pct"/>
                  <w:tcBorders>
                    <w:tl2br w:val="nil"/>
                    <w:tr2bl w:val="nil"/>
                  </w:tcBorders>
                  <w:vAlign w:val="center"/>
                </w:tcPr>
                <w:p>
                  <w:pPr>
                    <w:pStyle w:val="85"/>
                    <w:adjustRightInd w:val="0"/>
                    <w:snapToGrid/>
                    <w:spacing w:line="300" w:lineRule="exact"/>
                    <w:jc w:val="center"/>
                    <w:textAlignment w:val="auto"/>
                    <w:rPr>
                      <w:color w:val="auto"/>
                      <w:szCs w:val="21"/>
                      <w:highlight w:val="none"/>
                    </w:rPr>
                  </w:pPr>
                  <w:r>
                    <w:rPr>
                      <w:rFonts w:ascii="Times New Roman" w:eastAsia="宋体" w:cs="Times New Roman" w:hAnsi="Times New Roman"/>
                      <w:color w:val="auto"/>
                      <w:sz w:val="21"/>
                      <w:szCs w:val="21"/>
                      <w:highlight w:val="none"/>
                    </w:rPr>
                    <w:t>O</w:t>
                  </w:r>
                  <w:r>
                    <w:rPr>
                      <w:rFonts w:ascii="Times New Roman" w:eastAsia="宋体" w:cs="Times New Roman" w:hAnsi="Times New Roman"/>
                      <w:color w:val="auto"/>
                      <w:sz w:val="21"/>
                      <w:szCs w:val="21"/>
                      <w:vertAlign w:val="subscript"/>
                      <w:highlight w:val="none"/>
                    </w:rPr>
                    <w:t>3</w:t>
                  </w:r>
                </w:p>
              </w:tc>
              <w:tc>
                <w:tcPr>
                  <w:tcW w:w="5000" w:type="pct"/>
                  <w:tcBorders>
                    <w:tl2br w:val="nil"/>
                    <w:tr2bl w:val="nil"/>
                  </w:tcBorders>
                  <w:vAlign w:val="center"/>
                </w:tcPr>
                <w:p>
                  <w:pPr>
                    <w:pStyle w:val="85"/>
                    <w:adjustRightInd w:val="0"/>
                    <w:snapToGrid/>
                    <w:spacing w:line="300" w:lineRule="exact"/>
                    <w:jc w:val="center"/>
                    <w:textAlignment w:val="auto"/>
                    <w:rPr>
                      <w:color w:val="auto"/>
                      <w:szCs w:val="21"/>
                      <w:highlight w:val="none"/>
                    </w:rPr>
                  </w:pPr>
                  <w:r>
                    <w:rPr>
                      <w:rFonts w:ascii="Times New Roman" w:eastAsia="宋体" w:cs="Times New Roman" w:hAnsi="Times New Roman"/>
                      <w:color w:val="auto"/>
                      <w:sz w:val="21"/>
                      <w:szCs w:val="21"/>
                      <w:highlight w:val="none"/>
                    </w:rPr>
                    <w:t>8小时平均第90位百分位数</w:t>
                  </w:r>
                </w:p>
              </w:tc>
              <w:tc>
                <w:tcPr>
                  <w:tcW w:w="3285" w:type="pct"/>
                  <w:tcBorders>
                    <w:tl2br w:val="nil"/>
                    <w:tr2bl w:val="nil"/>
                  </w:tcBorders>
                  <w:vAlign w:val="center"/>
                </w:tcPr>
                <w:p>
                  <w:pPr>
                    <w:autoSpaceDE w:val="0"/>
                    <w:autoSpaceDN w:val="0"/>
                    <w:spacing w:line="300" w:lineRule="exact"/>
                    <w:jc w:val="center"/>
                    <w:rPr>
                      <w:color w:val="auto"/>
                      <w:szCs w:val="21"/>
                      <w:highlight w:val="none"/>
                    </w:rPr>
                  </w:pPr>
                  <w:r>
                    <w:rPr>
                      <w:rFonts w:hint="eastAsia"/>
                      <w:color w:val="auto"/>
                      <w:spacing w:val="-6"/>
                      <w:szCs w:val="21"/>
                      <w:lang w:val="en-US" w:eastAsia="zh-CN"/>
                      <w:highlight w:val="none"/>
                    </w:rPr>
                    <w:t>182</w:t>
                  </w:r>
                </w:p>
              </w:tc>
              <w:tc>
                <w:tcPr>
                  <w:tcW w:w="2732" w:type="pct"/>
                  <w:tcBorders>
                    <w:tl2br w:val="nil"/>
                    <w:tr2bl w:val="nil"/>
                  </w:tcBorders>
                  <w:vAlign w:val="center"/>
                </w:tcPr>
                <w:p>
                  <w:pPr>
                    <w:autoSpaceDE w:val="0"/>
                    <w:autoSpaceDN w:val="0"/>
                    <w:spacing w:line="300" w:lineRule="exact"/>
                    <w:jc w:val="center"/>
                    <w:rPr>
                      <w:color w:val="auto"/>
                      <w:szCs w:val="21"/>
                      <w:highlight w:val="none"/>
                    </w:rPr>
                  </w:pPr>
                  <w:r>
                    <w:rPr>
                      <w:rFonts w:hint="eastAsia"/>
                      <w:color w:val="auto"/>
                      <w:szCs w:val="21"/>
                      <w:lang w:val="en-US" w:eastAsia="zh-CN"/>
                      <w:highlight w:val="none"/>
                    </w:rPr>
                    <w:t>160</w:t>
                  </w:r>
                </w:p>
              </w:tc>
              <w:tc>
                <w:tcPr>
                  <w:tcW w:w="2455" w:type="pct"/>
                  <w:tcBorders>
                    <w:tl2br w:val="nil"/>
                    <w:tr2bl w:val="nil"/>
                  </w:tcBorders>
                  <w:vAlign w:val="center"/>
                </w:tcPr>
                <w:p>
                  <w:pPr>
                    <w:autoSpaceDE w:val="0"/>
                    <w:autoSpaceDN w:val="0"/>
                    <w:spacing w:line="300" w:lineRule="exact"/>
                    <w:jc w:val="center"/>
                    <w:rPr>
                      <w:color w:val="auto"/>
                      <w:szCs w:val="21"/>
                      <w:highlight w:val="none"/>
                    </w:rPr>
                  </w:pPr>
                  <w:r>
                    <w:rPr>
                      <w:rFonts w:hint="eastAsia"/>
                      <w:color w:val="auto"/>
                      <w:szCs w:val="21"/>
                      <w:lang w:val="en-US" w:eastAsia="zh-CN"/>
                      <w:highlight w:val="none"/>
                    </w:rPr>
                    <w:t>113.75</w:t>
                  </w:r>
                </w:p>
              </w:tc>
              <w:tc>
                <w:tcPr>
                  <w:tcW w:w="2835" w:type="pct"/>
                  <w:tcBorders>
                    <w:tl2br w:val="nil"/>
                    <w:tr2bl w:val="nil"/>
                  </w:tcBorders>
                  <w:vAlign w:val="center"/>
                </w:tcPr>
                <w:p>
                  <w:pPr>
                    <w:autoSpaceDE w:val="0"/>
                    <w:autoSpaceDN w:val="0"/>
                    <w:spacing w:line="300" w:lineRule="exact"/>
                    <w:jc w:val="center"/>
                    <w:rPr>
                      <w:color w:val="auto"/>
                      <w:szCs w:val="21"/>
                      <w:highlight w:val="none"/>
                    </w:rPr>
                  </w:pPr>
                  <w:r>
                    <w:rPr>
                      <w:color w:val="auto"/>
                      <w:spacing w:val="-6"/>
                      <w:szCs w:val="21"/>
                      <w:highlight w:val="none"/>
                    </w:rPr>
                    <w:t>不达标</w:t>
                  </w:r>
                </w:p>
              </w:tc>
            </w:tr>
          </w:tbl>
          <w:p>
            <w:pPr>
              <w:keepNext w:val="0"/>
              <w:keepLines w:val="0"/>
              <w:pageBreakBefore w:val="0"/>
              <w:widowControl w:val="0"/>
              <w:kinsoku/>
              <w:wordWrap/>
              <w:overflowPunct/>
              <w:topLinePunct w:val="0"/>
              <w:autoSpaceDE/>
              <w:autoSpaceDN/>
              <w:bidi w:val="0"/>
              <w:adjustRightInd/>
              <w:snapToGrid/>
              <w:spacing w:line="460" w:lineRule="exact"/>
              <w:ind w:firstLineChars="200" w:firstLine="480"/>
              <w:textAlignment w:val="auto"/>
              <w:rPr>
                <w:rFonts w:ascii="Times New Roman" w:eastAsia="宋体" w:cs="Times New Roman" w:hAnsi="Times New Roman"/>
                <w:color w:val="auto"/>
                <w:sz w:val="24"/>
                <w:highlight w:val="none"/>
              </w:rPr>
            </w:pPr>
            <w:r>
              <w:rPr>
                <w:snapToGrid w:val="0"/>
                <w:color w:val="auto"/>
                <w:kern w:val="0"/>
                <w:sz w:val="24"/>
                <w:highlight w:val="none"/>
              </w:rPr>
              <w:t>根据环境公报的结果，项目所在区域中</w:t>
            </w:r>
            <w:r>
              <w:rPr>
                <w:color w:val="auto"/>
                <w:sz w:val="24"/>
                <w:highlight w:val="none"/>
              </w:rPr>
              <w:t>PM</w:t>
            </w:r>
            <w:r>
              <w:rPr>
                <w:color w:val="auto"/>
                <w:sz w:val="24"/>
                <w:vertAlign w:val="subscript"/>
                <w:highlight w:val="none"/>
              </w:rPr>
              <w:t>10</w:t>
            </w:r>
            <w:r>
              <w:rPr>
                <w:color w:val="auto"/>
                <w:sz w:val="24"/>
                <w:highlight w:val="none"/>
              </w:rPr>
              <w:t>，PM</w:t>
            </w:r>
            <w:r>
              <w:rPr>
                <w:color w:val="auto"/>
                <w:sz w:val="24"/>
                <w:vertAlign w:val="subscript"/>
                <w:highlight w:val="none"/>
              </w:rPr>
              <w:t>2.5</w:t>
            </w:r>
            <w:r>
              <w:rPr>
                <w:color w:val="auto"/>
                <w:sz w:val="24"/>
                <w:highlight w:val="none"/>
              </w:rPr>
              <w:t>，O</w:t>
            </w:r>
            <w:r>
              <w:rPr>
                <w:color w:val="auto"/>
                <w:sz w:val="24"/>
                <w:vertAlign w:val="subscript"/>
                <w:highlight w:val="none"/>
              </w:rPr>
              <w:t>3</w:t>
            </w:r>
            <w:r>
              <w:rPr>
                <w:color w:val="auto"/>
                <w:sz w:val="24"/>
                <w:highlight w:val="none"/>
              </w:rPr>
              <w:t>不达标，SO</w:t>
            </w:r>
            <w:r>
              <w:rPr>
                <w:color w:val="auto"/>
                <w:sz w:val="24"/>
                <w:vertAlign w:val="subscript"/>
                <w:highlight w:val="none"/>
              </w:rPr>
              <w:t>2</w:t>
            </w:r>
            <w:r>
              <w:rPr>
                <w:snapToGrid w:val="0"/>
                <w:color w:val="auto"/>
                <w:kern w:val="0"/>
                <w:sz w:val="24"/>
                <w:highlight w:val="none"/>
              </w:rPr>
              <w:t>、</w:t>
            </w:r>
            <w:r>
              <w:rPr>
                <w:color w:val="auto"/>
                <w:sz w:val="24"/>
                <w:highlight w:val="none"/>
              </w:rPr>
              <w:t>NO</w:t>
            </w:r>
            <w:r>
              <w:rPr>
                <w:color w:val="auto"/>
                <w:sz w:val="24"/>
                <w:vertAlign w:val="subscript"/>
                <w:highlight w:val="none"/>
              </w:rPr>
              <w:t>2</w:t>
            </w:r>
            <w:r>
              <w:rPr>
                <w:color w:val="auto"/>
                <w:sz w:val="24"/>
                <w:highlight w:val="none"/>
              </w:rPr>
              <w:t>、</w:t>
            </w:r>
            <w:r>
              <w:rPr>
                <w:snapToGrid w:val="0"/>
                <w:color w:val="auto"/>
                <w:kern w:val="0"/>
                <w:sz w:val="24"/>
                <w:highlight w:val="none"/>
              </w:rPr>
              <w:t>CO达标且满足</w:t>
            </w:r>
            <w:r>
              <w:rPr>
                <w:rFonts w:hint="eastAsia"/>
                <w:snapToGrid w:val="0"/>
                <w:color w:val="auto"/>
                <w:kern w:val="0"/>
                <w:sz w:val="24"/>
                <w:highlight w:val="none"/>
              </w:rPr>
              <w:t>《环境空气质量标准》（GB 3095-2026）中过渡阶段二级标准浓度限值要求</w:t>
            </w:r>
            <w:r>
              <w:rPr>
                <w:rFonts w:ascii="Times New Roman" w:eastAsia="宋体" w:cs="Times New Roman" w:hAnsi="Times New Roman"/>
                <w:color w:val="auto"/>
                <w:sz w:val="24"/>
                <w:highlight w:val="none"/>
              </w:rPr>
              <w:t>。因此本项目所在区</w:t>
            </w:r>
            <w:r>
              <w:rPr>
                <w:rFonts w:ascii="Times New Roman" w:eastAsia="宋体" w:cs="Times New Roman" w:hAnsi="Times New Roman" w:hint="eastAsia"/>
                <w:color w:val="auto"/>
                <w:sz w:val="24"/>
                <w:highlight w:val="none"/>
              </w:rPr>
              <w:t>域</w:t>
            </w:r>
            <w:r>
              <w:rPr>
                <w:rFonts w:ascii="Times New Roman" w:eastAsia="宋体" w:cs="Times New Roman" w:hAnsi="Times New Roman"/>
                <w:color w:val="auto"/>
                <w:sz w:val="24"/>
                <w:highlight w:val="none"/>
              </w:rPr>
              <w:t>为不达标区。</w:t>
            </w:r>
          </w:p>
          <w:p>
            <w:pPr>
              <w:keepNext w:val="0"/>
              <w:keepLines w:val="0"/>
              <w:pageBreakBefore w:val="0"/>
              <w:widowControl w:val="0"/>
              <w:kinsoku/>
              <w:wordWrap/>
              <w:overflowPunct/>
              <w:topLinePunct w:val="0"/>
              <w:autoSpaceDE/>
              <w:autoSpaceDN/>
              <w:bidi w:val="0"/>
              <w:spacing w:line="460" w:lineRule="exact"/>
              <w:ind w:firstLineChars="200" w:firstLine="480"/>
              <w:jc w:val="both"/>
              <w:textAlignment w:val="auto"/>
              <w:rPr>
                <w:rStyle w:val="51"/>
                <w:color w:val="auto"/>
                <w:sz w:val="24"/>
                <w:highlight w:val="none"/>
              </w:rPr>
            </w:pPr>
            <w:r>
              <w:rPr>
                <w:rFonts w:hint="eastAsia"/>
                <w:b/>
                <w:bCs/>
                <w:color w:val="auto"/>
                <w:sz w:val="24"/>
                <w:highlight w:val="none"/>
              </w:rPr>
              <w:t>2、地表水</w:t>
            </w:r>
          </w:p>
          <w:p>
            <w:pPr>
              <w:keepNext w:val="0"/>
              <w:keepLines w:val="0"/>
              <w:pageBreakBefore w:val="0"/>
              <w:widowControl w:val="0"/>
              <w:kinsoku/>
              <w:wordWrap/>
              <w:overflowPunct/>
              <w:topLinePunct w:val="0"/>
              <w:autoSpaceDE/>
              <w:autoSpaceDN/>
              <w:bidi w:val="0"/>
              <w:adjustRightInd/>
              <w:snapToGrid/>
              <w:spacing w:line="500" w:lineRule="exact"/>
              <w:ind w:firstLineChars="200" w:firstLine="480"/>
              <w:textAlignment w:val="auto"/>
              <w:rPr>
                <w:rFonts w:ascii="Times New Roman" w:eastAsia="宋体" w:cs="Times New Roman" w:hAnsi="Times New Roman" w:hint="eastAsia"/>
                <w:color w:val="auto"/>
                <w:kern w:val="0"/>
                <w:sz w:val="24"/>
                <w:highlight w:val="none"/>
              </w:rPr>
            </w:pPr>
            <w:r>
              <w:rPr>
                <w:rFonts w:ascii="Times New Roman" w:eastAsia="宋体" w:cs="Times New Roman" w:hAnsi="Times New Roman" w:hint="eastAsia"/>
                <w:color w:val="auto"/>
                <w:kern w:val="0"/>
                <w:sz w:val="24"/>
                <w:highlight w:val="none"/>
              </w:rPr>
              <w:t>项目所在区域附近无地表水体，距离项目最近的水体为东侧</w:t>
            </w:r>
            <w:r>
              <w:rPr>
                <w:rFonts w:cs="Times New Roman" w:hint="eastAsia"/>
                <w:color w:val="auto"/>
                <w:kern w:val="0"/>
                <w:sz w:val="24"/>
                <w:lang w:eastAsia="zh-CN"/>
                <w:highlight w:val="none"/>
              </w:rPr>
              <w:t>370m</w:t>
            </w:r>
            <w:r>
              <w:rPr>
                <w:rFonts w:ascii="Times New Roman" w:eastAsia="宋体" w:cs="Times New Roman" w:hAnsi="Times New Roman" w:hint="eastAsia"/>
                <w:color w:val="auto"/>
                <w:kern w:val="0"/>
                <w:sz w:val="24"/>
                <w:highlight w:val="none"/>
              </w:rPr>
              <w:t>的总退水渠及西南侧</w:t>
            </w:r>
            <w:r>
              <w:rPr>
                <w:rFonts w:cs="Times New Roman" w:hint="eastAsia"/>
                <w:color w:val="auto"/>
                <w:kern w:val="0"/>
                <w:sz w:val="24"/>
                <w:lang w:eastAsia="zh-CN"/>
                <w:highlight w:val="none"/>
              </w:rPr>
              <w:t>350m</w:t>
            </w:r>
            <w:r>
              <w:rPr>
                <w:rFonts w:ascii="Times New Roman" w:eastAsia="宋体" w:cs="Times New Roman" w:hAnsi="Times New Roman" w:hint="eastAsia"/>
                <w:color w:val="auto"/>
                <w:kern w:val="0"/>
                <w:sz w:val="24"/>
                <w:highlight w:val="none"/>
              </w:rPr>
              <w:t>的洨</w:t>
            </w:r>
            <w:r>
              <w:rPr>
                <w:rFonts w:cs="Times New Roman" w:hint="eastAsia"/>
                <w:color w:val="auto"/>
                <w:kern w:val="0"/>
                <w:sz w:val="24"/>
                <w:lang w:eastAsia="zh-CN"/>
                <w:highlight w:val="none"/>
              </w:rPr>
              <w:t>河</w:t>
            </w:r>
            <w:r>
              <w:rPr>
                <w:rFonts w:ascii="Times New Roman" w:eastAsia="宋体" w:cs="Times New Roman" w:hAnsi="Times New Roman" w:hint="eastAsia"/>
                <w:color w:val="auto"/>
                <w:kern w:val="0"/>
                <w:sz w:val="24"/>
                <w:highlight w:val="none"/>
              </w:rPr>
              <w:t>，根据石家庄市生态环境局202</w:t>
            </w:r>
            <w:r>
              <w:rPr>
                <w:rFonts w:ascii="Times New Roman" w:eastAsia="宋体" w:cs="Times New Roman" w:hAnsi="Times New Roman" w:hint="eastAsia"/>
                <w:color w:val="auto"/>
                <w:kern w:val="0"/>
                <w:sz w:val="24"/>
                <w:lang w:val="en-US" w:eastAsia="zh-CN"/>
                <w:highlight w:val="none"/>
              </w:rPr>
              <w:t>5</w:t>
            </w:r>
            <w:r>
              <w:rPr>
                <w:rFonts w:ascii="Times New Roman" w:eastAsia="宋体" w:cs="Times New Roman" w:hAnsi="Times New Roman" w:hint="eastAsia"/>
                <w:color w:val="auto"/>
                <w:kern w:val="0"/>
                <w:sz w:val="24"/>
                <w:highlight w:val="none"/>
              </w:rPr>
              <w:t>年6月发布的《202</w:t>
            </w:r>
            <w:r>
              <w:rPr>
                <w:rFonts w:ascii="Times New Roman" w:eastAsia="宋体" w:cs="Times New Roman" w:hAnsi="Times New Roman" w:hint="eastAsia"/>
                <w:color w:val="auto"/>
                <w:kern w:val="0"/>
                <w:sz w:val="24"/>
                <w:lang w:val="en-US" w:eastAsia="zh-CN"/>
                <w:highlight w:val="none"/>
              </w:rPr>
              <w:t>4</w:t>
            </w:r>
            <w:r>
              <w:rPr>
                <w:rFonts w:ascii="Times New Roman" w:eastAsia="宋体" w:cs="Times New Roman" w:hAnsi="Times New Roman" w:hint="eastAsia"/>
                <w:color w:val="auto"/>
                <w:kern w:val="0"/>
                <w:sz w:val="24"/>
                <w:highlight w:val="none"/>
              </w:rPr>
              <w:t>年石家庄市生态环境状况公报》洨河水质状况轻度污染。</w:t>
            </w:r>
          </w:p>
          <w:p>
            <w:pPr>
              <w:keepNext w:val="0"/>
              <w:keepLines w:val="0"/>
              <w:pageBreakBefore w:val="0"/>
              <w:widowControl w:val="0"/>
              <w:kinsoku/>
              <w:wordWrap/>
              <w:overflowPunct/>
              <w:topLinePunct w:val="0"/>
              <w:autoSpaceDE/>
              <w:autoSpaceDN/>
              <w:bidi w:val="0"/>
              <w:adjustRightInd/>
              <w:snapToGrid/>
              <w:spacing w:line="500" w:lineRule="exact"/>
              <w:ind w:firstLineChars="200" w:firstLine="480"/>
              <w:textAlignment w:val="auto"/>
              <w:rPr>
                <w:rFonts w:ascii="Times New Roman" w:eastAsia="宋体" w:cs="Times New Roman" w:hAnsi="Times New Roman" w:hint="eastAsia"/>
                <w:color w:val="auto"/>
                <w:kern w:val="0"/>
                <w:sz w:val="24"/>
                <w:lang w:eastAsia="zh-CN"/>
                <w:highlight w:val="none"/>
              </w:rPr>
            </w:pPr>
            <w:r>
              <w:rPr>
                <w:rFonts w:cs="Times New Roman" w:hint="eastAsia"/>
                <w:color w:val="auto"/>
                <w:kern w:val="0"/>
                <w:sz w:val="24"/>
                <w:lang w:eastAsia="zh-CN"/>
                <w:highlight w:val="none"/>
              </w:rPr>
              <w:t>本项目碱液喷淋装置碱液循环使用，定期更换，更换后交由有资质单位处置；生活污水依托河北泽豪环保新材料科技有限公司化粪池处理后，定期清掏，不外排，不会对地表水产生影响。</w:t>
            </w:r>
          </w:p>
          <w:p>
            <w:pPr>
              <w:keepNext w:val="0"/>
              <w:keepLines w:val="0"/>
              <w:pageBreakBefore w:val="0"/>
              <w:widowControl w:val="0"/>
              <w:kinsoku/>
              <w:wordWrap/>
              <w:overflowPunct/>
              <w:topLinePunct w:val="0"/>
              <w:autoSpaceDE/>
              <w:autoSpaceDN/>
              <w:bidi w:val="0"/>
              <w:snapToGrid w:val="0"/>
              <w:spacing w:line="460" w:lineRule="exact"/>
              <w:ind w:firstLineChars="200" w:firstLine="480"/>
              <w:jc w:val="both"/>
              <w:textAlignment w:val="auto"/>
              <w:rPr>
                <w:b/>
                <w:bCs/>
                <w:color w:val="auto"/>
                <w:sz w:val="24"/>
                <w:highlight w:val="none"/>
              </w:rPr>
            </w:pPr>
            <w:r>
              <w:rPr>
                <w:rFonts w:hint="eastAsia"/>
                <w:b/>
                <w:bCs/>
                <w:color w:val="auto"/>
                <w:sz w:val="24"/>
                <w:highlight w:val="none"/>
              </w:rPr>
              <w:t>3、声环境</w:t>
            </w:r>
          </w:p>
          <w:p>
            <w:pPr>
              <w:keepNext w:val="0"/>
              <w:keepLines w:val="0"/>
              <w:pageBreakBefore w:val="0"/>
              <w:widowControl w:val="0"/>
              <w:kinsoku/>
              <w:wordWrap/>
              <w:overflowPunct/>
              <w:topLinePunct w:val="0"/>
              <w:autoSpaceDE/>
              <w:autoSpaceDN/>
              <w:bidi w:val="0"/>
              <w:adjustRightInd w:val="0"/>
              <w:snapToGrid w:val="0"/>
              <w:spacing w:line="460" w:lineRule="exact"/>
              <w:ind w:firstLineChars="200" w:firstLine="480"/>
              <w:jc w:val="both"/>
              <w:textAlignment w:val="auto"/>
              <w:rPr>
                <w:color w:val="auto"/>
                <w:kern w:val="0"/>
                <w:sz w:val="24"/>
                <w:highlight w:val="none"/>
              </w:rPr>
            </w:pPr>
            <w:r>
              <w:rPr>
                <w:rFonts w:hint="eastAsia"/>
                <w:color w:val="auto"/>
                <w:kern w:val="0"/>
                <w:sz w:val="24"/>
                <w:highlight w:val="none"/>
              </w:rPr>
              <w:t>项目厂界外周边50米范围内不存在声环境保护目标。</w:t>
            </w:r>
          </w:p>
          <w:p>
            <w:pPr>
              <w:keepNext w:val="0"/>
              <w:keepLines w:val="0"/>
              <w:pageBreakBefore w:val="0"/>
              <w:widowControl w:val="0"/>
              <w:kinsoku/>
              <w:wordWrap/>
              <w:overflowPunct/>
              <w:topLinePunct w:val="0"/>
              <w:autoSpaceDE/>
              <w:autoSpaceDN/>
              <w:bidi w:val="0"/>
              <w:spacing w:line="460" w:lineRule="exact"/>
              <w:ind w:firstLineChars="200" w:firstLine="480"/>
              <w:textAlignment w:val="auto"/>
              <w:rPr>
                <w:b/>
                <w:bCs/>
                <w:color w:val="auto"/>
                <w:sz w:val="24"/>
                <w:highlight w:val="none"/>
              </w:rPr>
            </w:pPr>
            <w:r>
              <w:rPr>
                <w:rFonts w:hint="eastAsia"/>
                <w:b/>
                <w:bCs/>
                <w:color w:val="auto"/>
                <w:sz w:val="24"/>
                <w:lang w:val="en-US" w:eastAsia="zh-CN"/>
                <w:highlight w:val="none"/>
              </w:rPr>
              <w:t>4</w:t>
            </w:r>
            <w:r>
              <w:rPr>
                <w:rFonts w:hint="eastAsia"/>
                <w:b/>
                <w:bCs/>
                <w:color w:val="auto"/>
                <w:sz w:val="24"/>
                <w:highlight w:val="none"/>
              </w:rPr>
              <w:t>、地下水、土壤环境</w:t>
            </w:r>
          </w:p>
          <w:p>
            <w:pPr>
              <w:keepNext w:val="0"/>
              <w:keepLines w:val="0"/>
              <w:pageBreakBefore w:val="0"/>
              <w:widowControl w:val="0"/>
              <w:kinsoku/>
              <w:wordWrap/>
              <w:overflowPunct/>
              <w:topLinePunct w:val="0"/>
              <w:autoSpaceDE/>
              <w:autoSpaceDN/>
              <w:bidi w:val="0"/>
              <w:snapToGrid w:val="0"/>
              <w:spacing w:line="460" w:lineRule="exact"/>
              <w:ind w:firstLineChars="200" w:firstLine="480"/>
              <w:textAlignment w:val="auto"/>
              <w:rPr>
                <w:rFonts w:hint="eastAsia"/>
                <w:color w:val="auto"/>
                <w:sz w:val="24"/>
                <w:highlight w:val="none"/>
              </w:rPr>
            </w:pPr>
            <w:r>
              <w:rPr>
                <w:rFonts w:ascii="Times New Roman" w:cs="Times New Roman" w:hAnsi="Times New Roman"/>
                <w:color w:val="auto"/>
                <w:sz w:val="24"/>
                <w:szCs w:val="24"/>
                <w:lang w:eastAsia="zh-CN"/>
                <w:highlight w:val="none"/>
              </w:rPr>
              <w:t>根据《建设项目环境影响报告表编制技术指南》（污染影响类）中</w:t>
            </w:r>
            <w:r>
              <w:rPr>
                <w:rFonts w:ascii="Times New Roman" w:cs="Times New Roman" w:hAnsi="Times New Roman"/>
                <w:color w:val="auto"/>
                <w:sz w:val="24"/>
                <w:szCs w:val="24"/>
                <w:highlight w:val="none"/>
              </w:rPr>
              <w:t>有关规定，</w:t>
            </w:r>
            <w:r>
              <w:rPr>
                <w:rFonts w:ascii="Times New Roman" w:cs="Times New Roman" w:hAnsi="Times New Roman"/>
                <w:color w:val="auto"/>
                <w:sz w:val="24"/>
                <w:szCs w:val="24"/>
                <w:lang w:eastAsia="zh-CN"/>
                <w:highlight w:val="none"/>
              </w:rPr>
              <w:t>地下水、土壤环境原则上不开展环境质量现状监测</w:t>
            </w:r>
            <w:r>
              <w:rPr>
                <w:rFonts w:ascii="Times New Roman" w:eastAsia="宋体" w:cs="Times New Roman" w:hAnsi="Times New Roman"/>
                <w:color w:val="auto"/>
                <w:sz w:val="24"/>
                <w:szCs w:val="24"/>
                <w:highlight w:val="none"/>
              </w:rPr>
              <w:t>。</w:t>
            </w:r>
            <w:r>
              <w:rPr>
                <w:rFonts w:ascii="Times New Roman" w:eastAsia="宋体" w:cs="Times New Roman" w:hAnsi="Times New Roman"/>
                <w:color w:val="auto"/>
                <w:sz w:val="24"/>
                <w:szCs w:val="24"/>
                <w:lang w:eastAsia="zh-CN"/>
                <w:highlight w:val="none"/>
              </w:rPr>
              <w:t>本</w:t>
            </w:r>
            <w:r>
              <w:rPr>
                <w:rFonts w:ascii="Times New Roman" w:eastAsia="宋体" w:cs="Times New Roman" w:hAnsi="Times New Roman" w:hint="eastAsia"/>
                <w:color w:val="auto"/>
                <w:sz w:val="24"/>
                <w:szCs w:val="24"/>
                <w:lang w:val="en-US" w:eastAsia="zh-CN"/>
                <w:highlight w:val="none"/>
              </w:rPr>
              <w:t>项目采取分区防渗</w:t>
            </w:r>
            <w:r>
              <w:rPr>
                <w:rFonts w:ascii="Times New Roman" w:eastAsia="宋体" w:cs="Times New Roman" w:hAnsi="Times New Roman"/>
                <w:color w:val="auto"/>
                <w:sz w:val="24"/>
                <w:szCs w:val="24"/>
                <w:lang w:val="en-US" w:eastAsia="zh-CN"/>
                <w:highlight w:val="none"/>
              </w:rPr>
              <w:t>，</w:t>
            </w:r>
            <w:r>
              <w:rPr>
                <w:rFonts w:cs="Times New Roman" w:hint="eastAsia"/>
                <w:color w:val="auto"/>
                <w:sz w:val="24"/>
                <w:szCs w:val="24"/>
                <w:lang w:val="en-US" w:eastAsia="zh-CN"/>
                <w:highlight w:val="none"/>
              </w:rPr>
              <w:t>地面全部按重点防渗进行改造，铺设防轧实心橡胶地垫，不存在土壤、地下水环境污染途径，</w:t>
            </w:r>
            <w:r>
              <w:rPr>
                <w:rFonts w:ascii="Times New Roman" w:eastAsia="宋体" w:cs="Times New Roman" w:hAnsi="Times New Roman" w:hint="eastAsia"/>
                <w:color w:val="auto"/>
                <w:sz w:val="24"/>
                <w:szCs w:val="24"/>
                <w:lang w:val="en-US" w:eastAsia="zh-CN"/>
                <w:highlight w:val="none"/>
              </w:rPr>
              <w:t>不会对</w:t>
            </w:r>
            <w:r>
              <w:rPr>
                <w:rFonts w:ascii="Times New Roman" w:eastAsia="宋体" w:cs="Times New Roman" w:hAnsi="Times New Roman"/>
                <w:color w:val="auto"/>
                <w:sz w:val="24"/>
                <w:szCs w:val="24"/>
                <w:lang w:val="en-US" w:eastAsia="zh-CN"/>
                <w:highlight w:val="none"/>
              </w:rPr>
              <w:t>地下水、土壤</w:t>
            </w:r>
            <w:r>
              <w:rPr>
                <w:rFonts w:ascii="Times New Roman" w:eastAsia="宋体" w:cs="Times New Roman" w:hAnsi="Times New Roman" w:hint="eastAsia"/>
                <w:color w:val="auto"/>
                <w:sz w:val="24"/>
                <w:szCs w:val="24"/>
                <w:lang w:val="en-US" w:eastAsia="zh-CN"/>
                <w:highlight w:val="none"/>
              </w:rPr>
              <w:t>造成</w:t>
            </w:r>
            <w:r>
              <w:rPr>
                <w:rFonts w:ascii="Times New Roman" w:eastAsia="宋体" w:cs="Times New Roman" w:hAnsi="Times New Roman"/>
                <w:color w:val="auto"/>
                <w:sz w:val="24"/>
                <w:szCs w:val="24"/>
                <w:lang w:val="en-US" w:eastAsia="zh-CN"/>
                <w:highlight w:val="none"/>
              </w:rPr>
              <w:t>污染，故未进行地下水、土壤环境监测</w:t>
            </w:r>
            <w:r>
              <w:rPr>
                <w:rFonts w:hint="eastAsia"/>
                <w:color w:val="auto"/>
                <w:sz w:val="24"/>
                <w:highlight w:val="none"/>
              </w:rPr>
              <w:t>。</w:t>
            </w:r>
          </w:p>
          <w:p>
            <w:pPr>
              <w:keepNext w:val="0"/>
              <w:keepLines w:val="0"/>
              <w:pageBreakBefore w:val="0"/>
              <w:widowControl w:val="0"/>
              <w:kinsoku/>
              <w:wordWrap/>
              <w:overflowPunct/>
              <w:topLinePunct w:val="0"/>
              <w:autoSpaceDE/>
              <w:autoSpaceDN/>
              <w:bidi w:val="0"/>
              <w:snapToGrid w:val="0"/>
              <w:spacing w:line="460" w:lineRule="exact"/>
              <w:ind w:firstLineChars="200" w:firstLine="480"/>
              <w:textAlignment w:val="auto"/>
              <w:rPr>
                <w:b/>
                <w:bCs/>
                <w:color w:val="auto"/>
                <w:sz w:val="24"/>
                <w:highlight w:val="none"/>
              </w:rPr>
            </w:pPr>
            <w:r>
              <w:rPr>
                <w:rFonts w:hint="eastAsia"/>
                <w:b/>
                <w:bCs/>
                <w:color w:val="auto"/>
                <w:sz w:val="24"/>
                <w:lang w:val="en-US" w:eastAsia="zh-CN"/>
                <w:highlight w:val="none"/>
              </w:rPr>
              <w:t>5</w:t>
            </w:r>
            <w:r>
              <w:rPr>
                <w:rFonts w:hint="eastAsia"/>
                <w:b/>
                <w:bCs/>
                <w:color w:val="auto"/>
                <w:sz w:val="24"/>
                <w:highlight w:val="none"/>
              </w:rPr>
              <w:t>、生态环境</w:t>
            </w:r>
          </w:p>
          <w:p>
            <w:pPr>
              <w:keepNext w:val="0"/>
              <w:keepLines w:val="0"/>
              <w:pageBreakBefore w:val="0"/>
              <w:widowControl w:val="0"/>
              <w:kinsoku/>
              <w:wordWrap/>
              <w:overflowPunct/>
              <w:topLinePunct w:val="0"/>
              <w:autoSpaceDE/>
              <w:autoSpaceDN/>
              <w:bidi w:val="0"/>
              <w:spacing w:line="460" w:lineRule="exact"/>
              <w:ind w:firstLineChars="200" w:firstLine="480"/>
              <w:textAlignment w:val="auto"/>
              <w:rPr>
                <w:color w:val="auto"/>
                <w:sz w:val="24"/>
                <w:highlight w:val="none"/>
              </w:rPr>
            </w:pPr>
            <w:r>
              <w:rPr>
                <w:rFonts w:hint="eastAsia"/>
                <w:color w:val="auto"/>
                <w:sz w:val="24"/>
                <w:highlight w:val="none"/>
              </w:rPr>
              <w:t>经调查，项目附近无珍稀动植物等生态环境保护目标分布，不涉及生态现状调查。</w:t>
            </w:r>
          </w:p>
          <w:p>
            <w:pPr>
              <w:keepNext w:val="0"/>
              <w:keepLines w:val="0"/>
              <w:pageBreakBefore w:val="0"/>
              <w:widowControl w:val="0"/>
              <w:kinsoku/>
              <w:wordWrap/>
              <w:overflowPunct/>
              <w:topLinePunct w:val="0"/>
              <w:autoSpaceDE/>
              <w:autoSpaceDN/>
              <w:bidi w:val="0"/>
              <w:spacing w:line="460" w:lineRule="exact"/>
              <w:ind w:firstLineChars="200" w:firstLine="480"/>
              <w:textAlignment w:val="auto"/>
              <w:rPr>
                <w:b/>
                <w:bCs/>
                <w:color w:val="auto"/>
                <w:sz w:val="24"/>
                <w:highlight w:val="none"/>
              </w:rPr>
            </w:pPr>
            <w:r>
              <w:rPr>
                <w:rFonts w:hint="eastAsia"/>
                <w:b/>
                <w:bCs/>
                <w:color w:val="auto"/>
                <w:sz w:val="24"/>
                <w:lang w:val="en-US" w:eastAsia="zh-CN"/>
                <w:highlight w:val="none"/>
              </w:rPr>
              <w:t>6</w:t>
            </w:r>
            <w:r>
              <w:rPr>
                <w:rFonts w:hint="eastAsia"/>
                <w:b/>
                <w:bCs/>
                <w:color w:val="auto"/>
                <w:sz w:val="24"/>
                <w:highlight w:val="none"/>
              </w:rPr>
              <w:t>、电磁辐射</w:t>
            </w:r>
          </w:p>
          <w:p>
            <w:pPr>
              <w:keepNext w:val="0"/>
              <w:keepLines w:val="0"/>
              <w:pageBreakBefore w:val="0"/>
              <w:widowControl w:val="0"/>
              <w:kinsoku/>
              <w:wordWrap/>
              <w:overflowPunct/>
              <w:topLinePunct w:val="0"/>
              <w:autoSpaceDE/>
              <w:autoSpaceDN/>
              <w:bidi w:val="0"/>
              <w:spacing w:line="460" w:lineRule="exact"/>
              <w:ind w:firstLineChars="200" w:firstLine="480"/>
              <w:textAlignment w:val="auto"/>
              <w:rPr>
                <w:rFonts w:ascii="宋体" w:cs="宋体" w:hAnsi="宋体" w:hint="eastAsia"/>
                <w:color w:val="auto"/>
                <w:kern w:val="0"/>
                <w:sz w:val="24"/>
                <w:highlight w:val="none"/>
              </w:rPr>
            </w:pPr>
            <w:r>
              <w:rPr>
                <w:rFonts w:hint="eastAsia"/>
                <w:color w:val="auto"/>
                <w:sz w:val="24"/>
                <w:highlight w:val="none"/>
              </w:rPr>
              <w:t>项目不属于新建或技改、技改广播电台、差转台、电视塔台、卫星地球上行站、雷达等电磁辐射类项目，不涉及项目电磁辐射现状监测。</w:t>
            </w:r>
          </w:p>
        </w:tc>
      </w:tr>
      <w:tr>
        <w:trPr>
          <w:trHeight w:val="237"/>
        </w:trPr>
        <w:tc>
          <w:tcPr>
            <w:tcW w:w="449" w:type="pct"/>
            <w:vAlign w:val="center"/>
          </w:tcPr>
          <w:p>
            <w:pPr>
              <w:adjustRightInd w:val="0"/>
              <w:snapToGrid w:val="0"/>
              <w:jc w:val="center"/>
              <w:rPr>
                <w:rFonts w:ascii="宋体" w:cs="宋体" w:hAnsi="宋体" w:hint="eastAsia"/>
                <w:color w:val="auto"/>
                <w:kern w:val="0"/>
                <w:sz w:val="24"/>
                <w:highlight w:val="none"/>
              </w:rPr>
            </w:pPr>
            <w:r>
              <w:rPr>
                <w:rFonts w:ascii="宋体" w:cs="宋体" w:hAnsi="宋体" w:hint="eastAsia"/>
                <w:color w:val="auto"/>
                <w:kern w:val="0"/>
                <w:sz w:val="24"/>
                <w:highlight w:val="none"/>
              </w:rPr>
              <w:t>环境</w:t>
            </w:r>
          </w:p>
          <w:p>
            <w:pPr>
              <w:adjustRightInd w:val="0"/>
              <w:snapToGrid w:val="0"/>
              <w:jc w:val="center"/>
              <w:rPr>
                <w:rFonts w:ascii="宋体" w:cs="宋体" w:hAnsi="宋体" w:hint="eastAsia"/>
                <w:color w:val="auto"/>
                <w:kern w:val="0"/>
                <w:sz w:val="24"/>
                <w:highlight w:val="none"/>
              </w:rPr>
            </w:pPr>
            <w:r>
              <w:rPr>
                <w:rFonts w:ascii="宋体" w:cs="宋体" w:hAnsi="宋体" w:hint="eastAsia"/>
                <w:color w:val="auto"/>
                <w:kern w:val="0"/>
                <w:sz w:val="24"/>
                <w:highlight w:val="none"/>
              </w:rPr>
              <w:t>保护</w:t>
            </w:r>
          </w:p>
          <w:p>
            <w:pPr>
              <w:adjustRightInd w:val="0"/>
              <w:snapToGrid w:val="0"/>
              <w:jc w:val="center"/>
              <w:rPr>
                <w:rFonts w:ascii="宋体" w:cs="宋体" w:hAnsi="宋体" w:hint="eastAsia"/>
                <w:color w:val="auto"/>
                <w:kern w:val="0"/>
                <w:sz w:val="24"/>
                <w:highlight w:val="none"/>
              </w:rPr>
            </w:pPr>
            <w:r>
              <w:rPr>
                <w:rFonts w:ascii="宋体" w:cs="宋体" w:hAnsi="宋体" w:hint="eastAsia"/>
                <w:color w:val="auto"/>
                <w:kern w:val="0"/>
                <w:sz w:val="24"/>
                <w:highlight w:val="none"/>
              </w:rPr>
              <w:t>目标</w:t>
            </w:r>
          </w:p>
        </w:tc>
        <w:tc>
          <w:tcPr>
            <w:tcW w:w="4550" w:type="pct"/>
            <w:tcBorders>
              <w:left w:val="single" w:sz="4" w:space="0" w:color="auto"/>
            </w:tcBorders>
            <w:vAlign w:val="center"/>
          </w:tcPr>
          <w:p>
            <w:pPr>
              <w:pStyle w:val="55"/>
              <w:keepNext w:val="0"/>
              <w:keepLines w:val="0"/>
              <w:pageBreakBefore w:val="0"/>
              <w:widowControl w:val="0"/>
              <w:kinsoku/>
              <w:wordWrap/>
              <w:overflowPunct/>
              <w:topLinePunct w:val="0"/>
              <w:autoSpaceDE/>
              <w:autoSpaceDN/>
              <w:bidi w:val="0"/>
              <w:adjustRightInd/>
              <w:snapToGrid w:val="0"/>
              <w:spacing w:beforeLines="0" w:before="10" w:afterLines="0" w:after="0" w:line="460" w:lineRule="exact"/>
              <w:jc w:val="both"/>
              <w:textAlignment w:val="auto"/>
              <w:rPr>
                <w:rFonts w:ascii="Times New Roman" w:hAnsi="Times New Roman"/>
                <w:b/>
                <w:bCs/>
                <w:color w:val="auto"/>
                <w:kern w:val="2"/>
                <w:sz w:val="24"/>
                <w:szCs w:val="24"/>
                <w:highlight w:val="none"/>
              </w:rPr>
            </w:pPr>
            <w:r>
              <w:rPr>
                <w:rFonts w:ascii="Times New Roman" w:hAnsi="Times New Roman" w:hint="eastAsia"/>
                <w:b/>
                <w:bCs/>
                <w:color w:val="auto"/>
                <w:kern w:val="2"/>
                <w:sz w:val="24"/>
                <w:szCs w:val="24"/>
                <w:highlight w:val="none"/>
              </w:rPr>
              <w:t>1、大气环境</w:t>
            </w:r>
          </w:p>
          <w:p>
            <w:pPr>
              <w:pStyle w:val="55"/>
              <w:keepNext w:val="0"/>
              <w:keepLines w:val="0"/>
              <w:pageBreakBefore w:val="0"/>
              <w:widowControl w:val="0"/>
              <w:kinsoku/>
              <w:wordWrap/>
              <w:overflowPunct/>
              <w:topLinePunct w:val="0"/>
              <w:autoSpaceDE/>
              <w:autoSpaceDN/>
              <w:bidi w:val="0"/>
              <w:adjustRightInd/>
              <w:snapToGrid w:val="0"/>
              <w:spacing w:beforeLines="0" w:before="10" w:afterLines="0" w:after="0" w:line="460" w:lineRule="exact"/>
              <w:jc w:val="both"/>
              <w:textAlignment w:val="auto"/>
              <w:rPr>
                <w:rFonts w:ascii="Times New Roman" w:hAnsi="Times New Roman" w:hint="eastAsia"/>
                <w:color w:val="auto"/>
                <w:kern w:val="2"/>
                <w:sz w:val="24"/>
                <w:szCs w:val="24"/>
                <w:lang w:val="en-US" w:eastAsia="zh-CN"/>
                <w:highlight w:val="none"/>
              </w:rPr>
            </w:pPr>
            <w:r>
              <w:rPr>
                <w:rFonts w:ascii="Times New Roman" w:hAnsi="Times New Roman" w:hint="eastAsia"/>
                <w:color w:val="auto"/>
                <w:kern w:val="2"/>
                <w:sz w:val="24"/>
                <w:szCs w:val="24"/>
                <w:highlight w:val="none"/>
              </w:rPr>
              <w:t>厂界外500米范围内</w:t>
            </w:r>
            <w:r>
              <w:rPr>
                <w:rFonts w:ascii="Times New Roman" w:hAnsi="Times New Roman" w:hint="eastAsia"/>
                <w:color w:val="auto"/>
                <w:kern w:val="2"/>
                <w:sz w:val="24"/>
                <w:szCs w:val="24"/>
                <w:lang w:eastAsia="zh-CN"/>
                <w:highlight w:val="none"/>
              </w:rPr>
              <w:t>不涉及</w:t>
            </w:r>
            <w:r>
              <w:rPr>
                <w:rFonts w:ascii="Times New Roman" w:hAnsi="Times New Roman" w:hint="eastAsia"/>
                <w:color w:val="auto"/>
                <w:kern w:val="2"/>
                <w:sz w:val="24"/>
                <w:szCs w:val="24"/>
                <w:highlight w:val="none"/>
              </w:rPr>
              <w:t>大气环境保护目标</w:t>
            </w:r>
            <w:r>
              <w:rPr>
                <w:rFonts w:ascii="Times New Roman" w:hAnsi="Times New Roman" w:hint="eastAsia"/>
                <w:color w:val="auto"/>
                <w:kern w:val="2"/>
                <w:sz w:val="24"/>
                <w:szCs w:val="24"/>
                <w:lang w:val="en-US" w:eastAsia="zh-CN"/>
                <w:highlight w:val="none"/>
              </w:rPr>
              <w:t>。</w:t>
            </w:r>
          </w:p>
          <w:p>
            <w:pPr>
              <w:keepNext w:val="0"/>
              <w:keepLines w:val="0"/>
              <w:pageBreakBefore w:val="0"/>
              <w:widowControl w:val="0"/>
              <w:kinsoku/>
              <w:wordWrap/>
              <w:overflowPunct/>
              <w:topLinePunct w:val="0"/>
              <w:autoSpaceDE/>
              <w:autoSpaceDN/>
              <w:bidi w:val="0"/>
              <w:adjustRightInd w:val="0"/>
              <w:spacing w:line="460" w:lineRule="exact"/>
              <w:ind w:firstLineChars="200" w:firstLine="480"/>
              <w:textAlignment w:val="auto"/>
              <w:rPr>
                <w:b/>
                <w:bCs/>
                <w:color w:val="auto"/>
                <w:sz w:val="24"/>
                <w:highlight w:val="none"/>
              </w:rPr>
            </w:pPr>
            <w:r>
              <w:rPr>
                <w:rFonts w:hint="eastAsia"/>
                <w:b/>
                <w:bCs/>
                <w:color w:val="auto"/>
                <w:sz w:val="24"/>
                <w:highlight w:val="none"/>
              </w:rPr>
              <w:t>2、声环境</w:t>
            </w:r>
          </w:p>
          <w:p>
            <w:pPr>
              <w:pStyle w:val="55"/>
              <w:keepNext w:val="0"/>
              <w:keepLines w:val="0"/>
              <w:pageBreakBefore w:val="0"/>
              <w:widowControl w:val="0"/>
              <w:kinsoku/>
              <w:wordWrap/>
              <w:overflowPunct/>
              <w:topLinePunct w:val="0"/>
              <w:autoSpaceDE/>
              <w:autoSpaceDN/>
              <w:bidi w:val="0"/>
              <w:adjustRightInd/>
              <w:snapToGrid w:val="0"/>
              <w:spacing w:beforeLines="0" w:before="10" w:afterLines="0" w:after="0" w:line="460" w:lineRule="exact"/>
              <w:jc w:val="both"/>
              <w:textAlignment w:val="auto"/>
              <w:rPr>
                <w:rFonts w:ascii="Times New Roman" w:eastAsia="黑体" w:hAnsi="Times New Roman"/>
                <w:bCs/>
                <w:color w:val="auto"/>
                <w:kern w:val="2"/>
                <w:sz w:val="24"/>
                <w:szCs w:val="24"/>
                <w:highlight w:val="none"/>
              </w:rPr>
            </w:pPr>
            <w:r>
              <w:rPr>
                <w:rFonts w:ascii="Times New Roman" w:hAnsi="Times New Roman" w:hint="eastAsia"/>
                <w:color w:val="auto"/>
                <w:sz w:val="24"/>
                <w:highlight w:val="none"/>
              </w:rPr>
              <w:t>厂界外50米范围内无声环境保护目标</w:t>
            </w:r>
            <w:r>
              <w:rPr>
                <w:rFonts w:ascii="Times New Roman" w:hAnsi="Times New Roman" w:hint="eastAsia"/>
                <w:color w:val="auto"/>
                <w:kern w:val="2"/>
                <w:sz w:val="24"/>
                <w:szCs w:val="24"/>
                <w:highlight w:val="none"/>
              </w:rPr>
              <w:t>。</w:t>
            </w:r>
          </w:p>
          <w:p>
            <w:pPr>
              <w:keepNext w:val="0"/>
              <w:keepLines w:val="0"/>
              <w:pageBreakBefore w:val="0"/>
              <w:widowControl w:val="0"/>
              <w:kinsoku/>
              <w:wordWrap/>
              <w:overflowPunct/>
              <w:topLinePunct w:val="0"/>
              <w:autoSpaceDE/>
              <w:autoSpaceDN/>
              <w:bidi w:val="0"/>
              <w:adjustRightInd w:val="0"/>
              <w:spacing w:line="460" w:lineRule="exact"/>
              <w:ind w:firstLineChars="200" w:firstLine="480"/>
              <w:textAlignment w:val="auto"/>
              <w:rPr>
                <w:b/>
                <w:bCs/>
                <w:color w:val="auto"/>
                <w:sz w:val="24"/>
                <w:highlight w:val="none"/>
              </w:rPr>
            </w:pPr>
            <w:r>
              <w:rPr>
                <w:rFonts w:hint="eastAsia"/>
                <w:b/>
                <w:bCs/>
                <w:color w:val="auto"/>
                <w:sz w:val="24"/>
                <w:highlight w:val="none"/>
              </w:rPr>
              <w:t>3、地下水环境</w:t>
            </w:r>
          </w:p>
          <w:p>
            <w:pPr>
              <w:keepNext w:val="0"/>
              <w:keepLines w:val="0"/>
              <w:pageBreakBefore w:val="0"/>
              <w:widowControl w:val="0"/>
              <w:kinsoku/>
              <w:wordWrap/>
              <w:overflowPunct/>
              <w:topLinePunct w:val="0"/>
              <w:autoSpaceDE/>
              <w:autoSpaceDN/>
              <w:bidi w:val="0"/>
              <w:snapToGrid w:val="0"/>
              <w:spacing w:line="460" w:lineRule="exact"/>
              <w:ind w:firstLineChars="200" w:firstLine="480"/>
              <w:textAlignment w:val="auto"/>
              <w:rPr>
                <w:color w:val="auto"/>
                <w:sz w:val="24"/>
                <w:highlight w:val="none"/>
              </w:rPr>
            </w:pPr>
            <w:r>
              <w:rPr>
                <w:rFonts w:hint="eastAsia"/>
                <w:color w:val="auto"/>
                <w:sz w:val="24"/>
                <w:lang w:eastAsia="zh-CN"/>
                <w:highlight w:val="none"/>
              </w:rPr>
              <w:t>根据《</w:t>
            </w:r>
            <w:r>
              <w:rPr>
                <w:rFonts w:hint="eastAsia"/>
                <w:color w:val="auto"/>
                <w:sz w:val="24"/>
                <w:highlight w:val="none"/>
              </w:rPr>
              <w:t>河北石家庄装备制造产业园总体规划（202 2-203 0年）环境影响评价报告书</w:t>
            </w:r>
            <w:r>
              <w:rPr>
                <w:rFonts w:hint="eastAsia"/>
                <w:color w:val="auto"/>
                <w:sz w:val="24"/>
                <w:lang w:eastAsia="zh-CN"/>
                <w:highlight w:val="none"/>
              </w:rPr>
              <w:t>》，</w:t>
            </w:r>
            <w:r>
              <w:rPr>
                <w:rFonts w:hint="eastAsia"/>
                <w:color w:val="auto"/>
                <w:sz w:val="24"/>
                <w:highlight w:val="none"/>
              </w:rPr>
              <w:t>河北石家庄装备制造产业园内涉及“千吨万人”集中式饮用水水源保护区共有1个，为石家庄市栾城区水利局第一供水厂水源地</w:t>
            </w:r>
            <w:r>
              <w:rPr>
                <w:rFonts w:hint="eastAsia"/>
                <w:color w:val="auto"/>
                <w:sz w:val="24"/>
                <w:lang w:eastAsia="zh-CN"/>
                <w:highlight w:val="none"/>
              </w:rPr>
              <w:t>，</w:t>
            </w:r>
            <w:r>
              <w:rPr>
                <w:rFonts w:hint="eastAsia"/>
                <w:color w:val="auto"/>
                <w:sz w:val="24"/>
                <w:highlight w:val="none"/>
              </w:rPr>
              <w:t>保护区面积0.01（km</w:t>
            </w:r>
            <w:r>
              <w:rPr>
                <w:rFonts w:hint="eastAsia"/>
                <w:color w:val="auto"/>
                <w:sz w:val="24"/>
                <w:vertAlign w:val="superscript"/>
                <w:highlight w:val="none"/>
              </w:rPr>
              <w:t>2</w:t>
            </w:r>
            <w:r>
              <w:rPr>
                <w:rFonts w:hint="eastAsia"/>
                <w:color w:val="auto"/>
                <w:sz w:val="24"/>
                <w:highlight w:val="none"/>
              </w:rPr>
              <w:t>）。</w:t>
            </w:r>
            <w:r>
              <w:rPr>
                <w:rFonts w:hint="eastAsia"/>
                <w:color w:val="auto"/>
                <w:sz w:val="24"/>
                <w:lang w:eastAsia="zh-CN"/>
                <w:highlight w:val="none"/>
              </w:rPr>
              <w:t>本项目距离保护区约</w:t>
            </w:r>
            <w:r>
              <w:rPr>
                <w:rFonts w:hint="eastAsia"/>
                <w:color w:val="auto"/>
                <w:sz w:val="24"/>
                <w:lang w:val="en-US" w:eastAsia="zh-CN"/>
                <w:highlight w:val="none"/>
              </w:rPr>
              <w:t>3.5km</w:t>
            </w:r>
            <w:r>
              <w:rPr>
                <w:rFonts w:hint="eastAsia"/>
                <w:color w:val="auto"/>
                <w:sz w:val="24"/>
                <w:lang w:eastAsia="zh-CN"/>
                <w:highlight w:val="none"/>
              </w:rPr>
              <w:t>，位置关系详见附图</w:t>
            </w:r>
            <w:r>
              <w:rPr>
                <w:rFonts w:hint="eastAsia"/>
                <w:color w:val="auto"/>
                <w:sz w:val="24"/>
                <w:lang w:val="en-US" w:eastAsia="zh-CN"/>
                <w:highlight w:val="none"/>
              </w:rPr>
              <w:t>7</w:t>
            </w:r>
            <w:r>
              <w:rPr>
                <w:rFonts w:hint="eastAsia"/>
                <w:color w:val="auto"/>
                <w:sz w:val="24"/>
                <w:lang w:eastAsia="zh-CN"/>
                <w:highlight w:val="none"/>
              </w:rPr>
              <w:t>。</w:t>
            </w:r>
            <w:r>
              <w:rPr>
                <w:rFonts w:hint="eastAsia"/>
                <w:color w:val="auto"/>
                <w:sz w:val="24"/>
                <w:highlight w:val="none"/>
              </w:rPr>
              <w:t>厂界外500米范围内无地下水集中式饮用水水源和热水、矿泉水、温泉等特殊地下水资源。</w:t>
            </w:r>
          </w:p>
          <w:p>
            <w:pPr>
              <w:pStyle w:val="33"/>
              <w:keepNext w:val="0"/>
              <w:keepLines w:val="0"/>
              <w:pageBreakBefore w:val="0"/>
              <w:widowControl w:val="0"/>
              <w:kinsoku/>
              <w:wordWrap/>
              <w:overflowPunct/>
              <w:topLinePunct w:val="0"/>
              <w:autoSpaceDE/>
              <w:autoSpaceDN/>
              <w:bidi w:val="0"/>
              <w:spacing w:line="460" w:lineRule="exact"/>
              <w:textAlignment w:val="auto"/>
              <w:rPr>
                <w:b/>
                <w:bCs/>
                <w:color w:val="auto"/>
                <w:sz w:val="24"/>
                <w:highlight w:val="none"/>
              </w:rPr>
            </w:pPr>
            <w:r>
              <w:rPr>
                <w:rFonts w:hint="eastAsia"/>
                <w:b/>
                <w:bCs/>
                <w:color w:val="auto"/>
                <w:sz w:val="24"/>
                <w:highlight w:val="none"/>
              </w:rPr>
              <w:t>4、生态环境</w:t>
            </w:r>
          </w:p>
          <w:p>
            <w:pPr>
              <w:pStyle w:val="55"/>
              <w:keepNext w:val="0"/>
              <w:keepLines w:val="0"/>
              <w:pageBreakBefore w:val="0"/>
              <w:widowControl w:val="0"/>
              <w:kinsoku/>
              <w:wordWrap/>
              <w:overflowPunct/>
              <w:topLinePunct w:val="0"/>
              <w:autoSpaceDE/>
              <w:autoSpaceDN/>
              <w:bidi w:val="0"/>
              <w:adjustRightInd/>
              <w:snapToGrid w:val="0"/>
              <w:spacing w:beforeLines="0" w:before="10" w:afterLines="0" w:after="0" w:line="460" w:lineRule="exact"/>
              <w:jc w:val="both"/>
              <w:textAlignment w:val="auto"/>
              <w:rPr>
                <w:rFonts w:cs="宋体" w:hAnsi="宋体" w:hint="eastAsia"/>
                <w:color w:val="auto"/>
                <w:sz w:val="24"/>
                <w:highlight w:val="none"/>
              </w:rPr>
            </w:pPr>
            <w:r>
              <w:rPr>
                <w:color w:val="auto"/>
                <w:sz w:val="24"/>
                <w:szCs w:val="24"/>
                <w:lang w:val="en-US" w:eastAsia="zh-CN"/>
                <w:highlight w:val="none"/>
              </w:rPr>
              <w:t>本项目</w:t>
            </w:r>
            <w:r>
              <w:rPr>
                <w:rFonts w:hint="eastAsia"/>
                <w:color w:val="auto"/>
                <w:sz w:val="24"/>
                <w:szCs w:val="24"/>
                <w:lang w:val="en-US" w:eastAsia="zh-CN"/>
                <w:highlight w:val="none"/>
              </w:rPr>
              <w:t>位于河北石家庄装备制造产业园</w:t>
            </w:r>
            <w:r>
              <w:rPr>
                <w:rFonts w:hint="eastAsia"/>
                <w:color w:val="auto"/>
                <w:sz w:val="24"/>
                <w:szCs w:val="24"/>
                <w:vertAlign w:val="baseline"/>
                <w:lang w:val="en-US" w:eastAsia="zh-CN"/>
                <w:highlight w:val="none"/>
              </w:rPr>
              <w:t>，租用闲置库房，</w:t>
            </w:r>
            <w:r>
              <w:rPr>
                <w:rFonts w:ascii="Times New Roman" w:eastAsia="宋体" w:cs="Times New Roman" w:hAnsi="Times New Roman"/>
                <w:color w:val="auto"/>
                <w:sz w:val="24"/>
                <w:szCs w:val="24"/>
                <w:lang w:val="en-US" w:eastAsia="zh-CN"/>
                <w:highlight w:val="none"/>
              </w:rPr>
              <w:t>占地性质为工业用地</w:t>
            </w:r>
            <w:r>
              <w:rPr>
                <w:rFonts w:ascii="Times New Roman" w:eastAsia="宋体" w:cs="Times New Roman" w:hAnsi="Times New Roman" w:hint="eastAsia"/>
                <w:color w:val="auto"/>
                <w:sz w:val="24"/>
                <w:szCs w:val="24"/>
                <w:lang w:val="en-US" w:eastAsia="zh-CN"/>
                <w:highlight w:val="none"/>
              </w:rPr>
              <w:t>，</w:t>
            </w:r>
            <w:r>
              <w:rPr>
                <w:rFonts w:ascii="Times New Roman" w:hAnsi="Times New Roman" w:hint="eastAsia"/>
                <w:color w:val="auto"/>
                <w:sz w:val="24"/>
                <w:highlight w:val="none"/>
              </w:rPr>
              <w:t>项目用地范围内无生态环境保护目标。</w:t>
            </w:r>
          </w:p>
        </w:tc>
      </w:tr>
      <w:tr>
        <w:trPr>
          <w:trHeight w:val="399"/>
        </w:trPr>
        <w:tc>
          <w:tcPr>
            <w:tcW w:w="449" w:type="pct"/>
            <w:tcMar>
              <w:left w:w="28" w:type="dxa"/>
              <w:right w:w="28" w:type="dxa"/>
            </w:tcMar>
            <w:vAlign w:val="center"/>
          </w:tcPr>
          <w:p>
            <w:pPr>
              <w:adjustRightInd w:val="0"/>
              <w:snapToGrid w:val="0"/>
              <w:jc w:val="center"/>
              <w:rPr>
                <w:rFonts w:ascii="宋体" w:cs="宋体" w:hAnsi="宋体" w:hint="eastAsia"/>
                <w:color w:val="auto"/>
                <w:kern w:val="0"/>
                <w:sz w:val="24"/>
                <w:highlight w:val="none"/>
              </w:rPr>
            </w:pPr>
            <w:r>
              <w:rPr>
                <w:rFonts w:ascii="宋体" w:cs="宋体" w:hAnsi="宋体" w:hint="eastAsia"/>
                <w:color w:val="auto"/>
                <w:kern w:val="0"/>
                <w:sz w:val="24"/>
                <w:highlight w:val="none"/>
              </w:rPr>
              <w:t>污染</w:t>
            </w:r>
          </w:p>
          <w:p>
            <w:pPr>
              <w:adjustRightInd w:val="0"/>
              <w:snapToGrid w:val="0"/>
              <w:jc w:val="center"/>
              <w:rPr>
                <w:rFonts w:ascii="宋体" w:cs="宋体" w:hAnsi="宋体" w:hint="eastAsia"/>
                <w:color w:val="auto"/>
                <w:kern w:val="0"/>
                <w:sz w:val="24"/>
                <w:highlight w:val="none"/>
              </w:rPr>
            </w:pPr>
            <w:r>
              <w:rPr>
                <w:rFonts w:ascii="宋体" w:cs="宋体" w:hAnsi="宋体" w:hint="eastAsia"/>
                <w:color w:val="auto"/>
                <w:kern w:val="0"/>
                <w:sz w:val="24"/>
                <w:highlight w:val="none"/>
              </w:rPr>
              <w:t>物排</w:t>
            </w:r>
          </w:p>
          <w:p>
            <w:pPr>
              <w:adjustRightInd w:val="0"/>
              <w:snapToGrid w:val="0"/>
              <w:jc w:val="center"/>
              <w:rPr>
                <w:rFonts w:ascii="宋体" w:cs="宋体" w:hAnsi="宋体" w:hint="eastAsia"/>
                <w:color w:val="auto"/>
                <w:kern w:val="0"/>
                <w:sz w:val="24"/>
                <w:highlight w:val="none"/>
              </w:rPr>
            </w:pPr>
            <w:r>
              <w:rPr>
                <w:rFonts w:ascii="宋体" w:cs="宋体" w:hAnsi="宋体" w:hint="eastAsia"/>
                <w:color w:val="auto"/>
                <w:kern w:val="0"/>
                <w:sz w:val="24"/>
                <w:highlight w:val="none"/>
              </w:rPr>
              <w:t>放控</w:t>
            </w:r>
          </w:p>
          <w:p>
            <w:pPr>
              <w:adjustRightInd w:val="0"/>
              <w:snapToGrid w:val="0"/>
              <w:jc w:val="center"/>
              <w:rPr>
                <w:rFonts w:ascii="宋体" w:cs="宋体" w:hAnsi="宋体" w:hint="eastAsia"/>
                <w:color w:val="auto"/>
                <w:kern w:val="0"/>
                <w:sz w:val="24"/>
                <w:highlight w:val="none"/>
              </w:rPr>
            </w:pPr>
            <w:r>
              <w:rPr>
                <w:rFonts w:ascii="宋体" w:cs="宋体" w:hAnsi="宋体" w:hint="eastAsia"/>
                <w:color w:val="auto"/>
                <w:kern w:val="0"/>
                <w:sz w:val="24"/>
                <w:highlight w:val="none"/>
              </w:rPr>
              <w:t>制标</w:t>
            </w:r>
          </w:p>
          <w:p>
            <w:pPr>
              <w:adjustRightInd w:val="0"/>
              <w:snapToGrid w:val="0"/>
              <w:jc w:val="center"/>
              <w:rPr>
                <w:rFonts w:ascii="宋体" w:cs="宋体" w:hAnsi="宋体" w:hint="eastAsia"/>
                <w:color w:val="auto"/>
                <w:kern w:val="0"/>
                <w:sz w:val="24"/>
                <w:highlight w:val="none"/>
              </w:rPr>
            </w:pPr>
            <w:r>
              <w:rPr>
                <w:rFonts w:ascii="宋体" w:cs="宋体" w:hAnsi="宋体" w:hint="eastAsia"/>
                <w:color w:val="auto"/>
                <w:kern w:val="0"/>
                <w:sz w:val="24"/>
                <w:highlight w:val="none"/>
              </w:rPr>
              <w:t>准</w:t>
            </w:r>
          </w:p>
        </w:tc>
        <w:tc>
          <w:tcPr>
            <w:tcW w:w="4550" w:type="pct"/>
            <w:tcBorders>
              <w:left w:val="single" w:sz="4" w:space="0" w:color="auto"/>
            </w:tcBorders>
            <w:vAlign w:val="center"/>
          </w:tcPr>
          <w:p>
            <w:pPr>
              <w:keepNext w:val="0"/>
              <w:keepLines w:val="0"/>
              <w:pageBreakBefore w:val="0"/>
              <w:widowControl/>
              <w:kinsoku/>
              <w:wordWrap/>
              <w:overflowPunct/>
              <w:topLinePunct w:val="0"/>
              <w:autoSpaceDE/>
              <w:autoSpaceDN/>
              <w:bidi w:val="0"/>
              <w:adjustRightInd w:val="0"/>
              <w:snapToGrid/>
              <w:spacing w:line="460" w:lineRule="exact"/>
              <w:ind w:firstLineChars="200" w:firstLine="480"/>
              <w:jc w:val="both"/>
              <w:textAlignment w:val="auto"/>
              <w:rPr>
                <w:b/>
                <w:bCs/>
                <w:color w:val="auto"/>
                <w:sz w:val="24"/>
                <w:highlight w:val="none"/>
              </w:rPr>
            </w:pPr>
            <w:r>
              <w:rPr>
                <w:rFonts w:hint="eastAsia"/>
                <w:b/>
                <w:bCs/>
                <w:color w:val="auto"/>
                <w:sz w:val="24"/>
                <w:highlight w:val="none"/>
              </w:rPr>
              <w:t>1、</w:t>
            </w:r>
            <w:r>
              <w:rPr>
                <w:b/>
                <w:bCs/>
                <w:color w:val="auto"/>
                <w:sz w:val="24"/>
                <w:highlight w:val="none"/>
              </w:rPr>
              <w:t>废气</w:t>
            </w:r>
          </w:p>
          <w:p>
            <w:pPr>
              <w:adjustRightInd w:val="0"/>
              <w:spacing w:line="460" w:lineRule="exact"/>
              <w:ind w:firstLineChars="200" w:firstLine="480"/>
              <w:rPr>
                <w:rFonts w:eastAsia="宋体" w:hint="eastAsia"/>
                <w:color w:val="auto"/>
                <w:sz w:val="24"/>
                <w:lang w:eastAsia="zh-CN"/>
                <w:highlight w:val="none"/>
              </w:rPr>
            </w:pPr>
            <w:r>
              <w:rPr>
                <w:rFonts w:ascii="Times New Roman" w:cs="Times New Roman" w:hAnsi="Times New Roman"/>
                <w:color w:val="auto"/>
                <w:sz w:val="24"/>
                <w:highlight w:val="none"/>
              </w:rPr>
              <w:t>施工期：</w:t>
            </w:r>
            <w:r>
              <w:rPr>
                <w:rFonts w:hint="eastAsia"/>
                <w:color w:val="auto"/>
                <w:sz w:val="24"/>
                <w:highlight w:val="none"/>
              </w:rPr>
              <w:t>施工场地扬尘排放执行《施工场地扬尘排放标准》（DB13/2934-2019）表1扬尘排放浓度限值；</w:t>
            </w:r>
          </w:p>
          <w:p>
            <w:pPr>
              <w:keepNext w:val="0"/>
              <w:keepLines w:val="0"/>
              <w:pageBreakBefore w:val="0"/>
              <w:widowControl/>
              <w:kinsoku/>
              <w:wordWrap/>
              <w:overflowPunct/>
              <w:topLinePunct w:val="0"/>
              <w:autoSpaceDE/>
              <w:autoSpaceDN/>
              <w:bidi w:val="0"/>
              <w:adjustRightInd w:val="0"/>
              <w:snapToGrid/>
              <w:spacing w:line="460" w:lineRule="exact"/>
              <w:ind w:firstLineChars="200" w:firstLine="480"/>
              <w:jc w:val="both"/>
              <w:textAlignment w:val="auto"/>
              <w:rPr>
                <w:rFonts w:ascii="Times New Roman" w:eastAsia="宋体" w:cs="Times New Roman" w:hAnsi="Times New Roman"/>
                <w:color w:val="auto"/>
                <w:sz w:val="24"/>
                <w:highlight w:val="none"/>
              </w:rPr>
            </w:pPr>
            <w:r>
              <w:rPr>
                <w:rFonts w:ascii="Times New Roman" w:cs="Times New Roman" w:hAnsi="Times New Roman"/>
                <w:color w:val="auto"/>
                <w:sz w:val="24"/>
                <w:highlight w:val="none"/>
              </w:rPr>
              <w:t>运营期：</w:t>
            </w:r>
            <w:r>
              <w:rPr>
                <w:rFonts w:cs="Times New Roman" w:hint="eastAsia"/>
                <w:color w:val="auto"/>
                <w:sz w:val="24"/>
                <w:lang w:val="en-US" w:eastAsia="zh-CN"/>
                <w:highlight w:val="none"/>
              </w:rPr>
              <w:t>硫酸雾</w:t>
            </w:r>
            <w:r>
              <w:rPr>
                <w:rFonts w:ascii="Times New Roman" w:eastAsia="宋体" w:cs="Times New Roman" w:hAnsi="Times New Roman" w:hint="eastAsia"/>
                <w:color w:val="auto"/>
                <w:sz w:val="24"/>
                <w:lang w:val="en-US" w:eastAsia="zh-CN"/>
                <w:highlight w:val="none"/>
              </w:rPr>
              <w:t>执行《大气污染物综合排放标准》（GB 16297-1996）表2二级标准</w:t>
            </w:r>
            <w:r>
              <w:rPr>
                <w:rFonts w:cs="Times New Roman" w:hint="eastAsia"/>
                <w:color w:val="auto"/>
                <w:sz w:val="24"/>
                <w:lang w:val="en-US" w:eastAsia="zh-CN"/>
                <w:highlight w:val="none"/>
              </w:rPr>
              <w:t>，考虑到电池工业排放标准更加严格，因此仅</w:t>
            </w:r>
            <w:r>
              <w:rPr>
                <w:rFonts w:cs="Times New Roman" w:hint="eastAsia"/>
                <w:color w:val="auto"/>
                <w:sz w:val="24"/>
                <w:lang w:val="en-US"/>
                <w:highlight w:val="none"/>
              </w:rPr>
              <w:t>硫酸雾</w:t>
            </w:r>
            <w:r>
              <w:rPr>
                <w:rFonts w:cs="Times New Roman" w:hint="eastAsia"/>
                <w:color w:val="auto"/>
                <w:sz w:val="24"/>
                <w:lang w:val="en-US" w:eastAsia="zh-CN"/>
                <w:highlight w:val="none"/>
              </w:rPr>
              <w:t>排放浓度</w:t>
            </w:r>
            <w:r>
              <w:rPr>
                <w:rFonts w:cs="Times New Roman" w:hint="eastAsia"/>
                <w:color w:val="auto"/>
                <w:sz w:val="24"/>
                <w:lang w:val="en-US"/>
                <w:highlight w:val="none"/>
              </w:rPr>
              <w:t>参照《电池工业污染物排放标准》（GB 30484-2013）中表</w:t>
            </w:r>
            <w:r>
              <w:rPr>
                <w:rFonts w:cs="Times New Roman"/>
                <w:color w:val="auto"/>
                <w:sz w:val="24"/>
                <w:highlight w:val="none"/>
              </w:rPr>
              <w:t>5、</w:t>
            </w:r>
            <w:r>
              <w:rPr>
                <w:rFonts w:cs="Times New Roman" w:hint="eastAsia"/>
                <w:color w:val="auto"/>
                <w:sz w:val="24"/>
                <w:lang w:val="en-US"/>
                <w:highlight w:val="none"/>
              </w:rPr>
              <w:t>表</w:t>
            </w:r>
            <w:r>
              <w:rPr>
                <w:rFonts w:cs="Times New Roman"/>
                <w:color w:val="auto"/>
                <w:sz w:val="24"/>
                <w:highlight w:val="none"/>
              </w:rPr>
              <w:t>6</w:t>
            </w:r>
            <w:r>
              <w:rPr>
                <w:rFonts w:cs="Times New Roman" w:hint="eastAsia"/>
                <w:color w:val="auto"/>
                <w:sz w:val="24"/>
                <w:lang w:val="en-US"/>
                <w:highlight w:val="none"/>
              </w:rPr>
              <w:t>排放限制要求</w:t>
            </w:r>
            <w:r>
              <w:rPr>
                <w:rFonts w:cs="Times New Roman"/>
                <w:color w:val="auto"/>
                <w:sz w:val="24"/>
                <w:highlight w:val="none"/>
              </w:rPr>
              <w:t>。</w:t>
            </w:r>
          </w:p>
          <w:p>
            <w:pPr>
              <w:keepNext w:val="0"/>
              <w:keepLines w:val="0"/>
              <w:pageBreakBefore w:val="0"/>
              <w:widowControl/>
              <w:kinsoku/>
              <w:wordWrap/>
              <w:overflowPunct/>
              <w:topLinePunct w:val="0"/>
              <w:autoSpaceDE/>
              <w:autoSpaceDN/>
              <w:bidi w:val="0"/>
              <w:adjustRightInd w:val="0"/>
              <w:snapToGrid/>
              <w:spacing w:line="460" w:lineRule="exact"/>
              <w:ind w:firstLineChars="200" w:firstLine="480"/>
              <w:jc w:val="both"/>
              <w:textAlignment w:val="auto"/>
              <w:rPr>
                <w:rFonts w:ascii="Times New Roman" w:cs="Times New Roman" w:hAnsi="Times New Roman"/>
                <w:color w:val="auto"/>
                <w:sz w:val="24"/>
                <w:lang w:val="zh-CN"/>
                <w:highlight w:val="none"/>
              </w:rPr>
            </w:pPr>
            <w:r>
              <w:rPr>
                <w:rFonts w:ascii="Times New Roman" w:cs="Times New Roman" w:hAnsi="Times New Roman"/>
                <w:color w:val="auto"/>
                <w:sz w:val="24"/>
                <w:lang w:val="zh-CN"/>
                <w:highlight w:val="none"/>
              </w:rPr>
              <w:t>排放标准一览表见表</w:t>
            </w:r>
            <w:r>
              <w:rPr>
                <w:rFonts w:ascii="Times New Roman" w:cs="Times New Roman" w:hAnsi="Times New Roman"/>
                <w:color w:val="auto"/>
                <w:sz w:val="24"/>
                <w:lang w:val="en-US" w:eastAsia="zh-CN"/>
                <w:highlight w:val="none"/>
              </w:rPr>
              <w:t>3-</w:t>
            </w:r>
            <w:r>
              <w:rPr>
                <w:rFonts w:cs="Times New Roman" w:hint="eastAsia"/>
                <w:color w:val="auto"/>
                <w:sz w:val="24"/>
                <w:lang w:val="en-US" w:eastAsia="zh-CN"/>
                <w:highlight w:val="none"/>
              </w:rPr>
              <w:t>2</w:t>
            </w:r>
            <w:r>
              <w:rPr>
                <w:rFonts w:ascii="Times New Roman" w:cs="Times New Roman" w:hAnsi="Times New Roman"/>
                <w:color w:val="auto"/>
                <w:sz w:val="24"/>
                <w:highlight w:val="none"/>
              </w:rPr>
              <w:t>。</w:t>
            </w:r>
          </w:p>
          <w:p>
            <w:pPr>
              <w:adjustRightInd w:val="0"/>
              <w:snapToGrid w:val="0"/>
              <w:jc w:val="center"/>
              <w:rPr>
                <w:b/>
                <w:color w:val="auto"/>
                <w:sz w:val="24"/>
                <w:highlight w:val="none"/>
              </w:rPr>
            </w:pPr>
            <w:r>
              <w:rPr>
                <w:b/>
                <w:color w:val="auto"/>
                <w:sz w:val="24"/>
                <w:highlight w:val="none"/>
              </w:rPr>
              <w:t>表</w:t>
            </w:r>
            <w:r>
              <w:rPr>
                <w:rFonts w:hint="eastAsia"/>
                <w:b/>
                <w:color w:val="auto"/>
                <w:sz w:val="24"/>
                <w:highlight w:val="none"/>
              </w:rPr>
              <w:t>3-</w:t>
            </w:r>
            <w:r>
              <w:rPr>
                <w:rFonts w:hint="eastAsia"/>
                <w:b/>
                <w:color w:val="auto"/>
                <w:sz w:val="24"/>
                <w:lang w:val="en-US" w:eastAsia="zh-CN"/>
                <w:highlight w:val="none"/>
              </w:rPr>
              <w:t>2</w:t>
            </w:r>
            <w:r>
              <w:rPr>
                <w:b/>
                <w:color w:val="auto"/>
                <w:sz w:val="24"/>
                <w:highlight w:val="none"/>
              </w:rPr>
              <w:t xml:space="preserve">  废气排放标准一览表</w:t>
            </w:r>
          </w:p>
          <w:tbl>
            <w:tblPr>
              <w:jc w:val="center"/>
              <w:tblW w:w="4997" w:type="pct"/>
              <w:tblBorders>
                <w:top w:val="single" w:sz="12" w:space="0" w:color="auto"/>
                <w:left w:val="none" w:sz="0" w:space="0" w:color="auto"/>
                <w:bottom w:val="single" w:sz="12" w:space="0" w:color="auto"/>
                <w:right w:val="none" w:sz="0" w:space="0" w:color="auto"/>
                <w:insideH w:val="single" w:sz="4" w:space="0" w:color="auto"/>
                <w:insideV w:val="single" w:sz="4" w:space="0" w:color="auto"/>
              </w:tblBorders>
              <w:tblCellMar>
                <w:top w:w="0" w:type="dxa"/>
                <w:left w:w="0" w:type="dxa"/>
                <w:bottom w:w="0" w:type="dxa"/>
                <w:right w:w="0" w:type="dxa"/>
              </w:tblCellMar>
              <w:tblLook w:val="0600" w:firstRow="0" w:lastRow="0" w:firstColumn="0" w:lastColumn="0" w:noHBand="1" w:noVBand="1"/>
            </w:tblPr>
            <w:tblGrid>
              <w:gridCol w:w="898"/>
              <w:gridCol w:w="927"/>
              <w:gridCol w:w="893"/>
              <w:gridCol w:w="2715"/>
              <w:gridCol w:w="3084"/>
            </w:tblGrid>
            <w:tr>
              <w:trPr>
                <w:trHeight w:val="397"/>
              </w:trPr>
              <w:tc>
                <w:tcPr>
                  <w:tcW w:w="527" w:type="pct"/>
                  <w:tcBorders>
                    <w:tl2br w:val="nil"/>
                    <w:tr2bl w:val="nil"/>
                  </w:tcBorders>
                  <w:vAlign w:val="center"/>
                </w:tcPr>
                <w:p>
                  <w:pPr>
                    <w:jc w:val="center"/>
                    <w:rPr>
                      <w:rFonts w:eastAsia="宋体" w:hint="eastAsia"/>
                      <w:color w:val="auto"/>
                      <w:sz w:val="21"/>
                      <w:szCs w:val="21"/>
                      <w:lang w:val="en-US" w:eastAsia="zh-CN"/>
                      <w:highlight w:val="none"/>
                    </w:rPr>
                  </w:pPr>
                  <w:r>
                    <w:rPr>
                      <w:rFonts w:hint="eastAsia"/>
                      <w:color w:val="auto"/>
                      <w:sz w:val="21"/>
                      <w:szCs w:val="21"/>
                      <w:lang w:val="en-US" w:eastAsia="zh-CN"/>
                      <w:highlight w:val="none"/>
                    </w:rPr>
                    <w:t>时期</w:t>
                  </w:r>
                </w:p>
              </w:tc>
              <w:tc>
                <w:tcPr>
                  <w:tcW w:w="544" w:type="pct"/>
                  <w:tcBorders>
                    <w:tl2br w:val="nil"/>
                    <w:tr2bl w:val="nil"/>
                  </w:tcBorders>
                  <w:vAlign w:val="center"/>
                </w:tcPr>
                <w:p>
                  <w:pPr>
                    <w:jc w:val="center"/>
                    <w:rPr>
                      <w:color w:val="auto"/>
                      <w:sz w:val="21"/>
                      <w:szCs w:val="21"/>
                      <w:highlight w:val="none"/>
                    </w:rPr>
                  </w:pPr>
                  <w:r>
                    <w:rPr>
                      <w:color w:val="auto"/>
                      <w:sz w:val="21"/>
                      <w:szCs w:val="21"/>
                      <w:highlight w:val="none"/>
                    </w:rPr>
                    <w:t>产生工序</w:t>
                  </w:r>
                </w:p>
              </w:tc>
              <w:tc>
                <w:tcPr>
                  <w:tcW w:w="524" w:type="pct"/>
                  <w:tcBorders>
                    <w:tl2br w:val="nil"/>
                    <w:tr2bl w:val="nil"/>
                  </w:tcBorders>
                  <w:vAlign w:val="center"/>
                </w:tcPr>
                <w:p>
                  <w:pPr>
                    <w:jc w:val="center"/>
                    <w:rPr>
                      <w:color w:val="auto"/>
                      <w:sz w:val="21"/>
                      <w:szCs w:val="21"/>
                      <w:highlight w:val="none"/>
                    </w:rPr>
                  </w:pPr>
                  <w:r>
                    <w:rPr>
                      <w:color w:val="auto"/>
                      <w:sz w:val="21"/>
                      <w:szCs w:val="21"/>
                      <w:highlight w:val="none"/>
                    </w:rPr>
                    <w:t>污染物</w:t>
                  </w:r>
                </w:p>
              </w:tc>
              <w:tc>
                <w:tcPr>
                  <w:tcW w:w="1593" w:type="pct"/>
                  <w:tcBorders>
                    <w:tl2br w:val="nil"/>
                    <w:tr2bl w:val="nil"/>
                  </w:tcBorders>
                  <w:vAlign w:val="center"/>
                </w:tcPr>
                <w:p>
                  <w:pPr>
                    <w:jc w:val="center"/>
                    <w:rPr>
                      <w:color w:val="auto"/>
                      <w:sz w:val="21"/>
                      <w:szCs w:val="21"/>
                      <w:highlight w:val="none"/>
                    </w:rPr>
                  </w:pPr>
                  <w:r>
                    <w:rPr>
                      <w:color w:val="auto"/>
                      <w:sz w:val="21"/>
                      <w:szCs w:val="21"/>
                      <w:highlight w:val="none"/>
                    </w:rPr>
                    <w:t>标准限值</w:t>
                  </w:r>
                </w:p>
              </w:tc>
              <w:tc>
                <w:tcPr>
                  <w:tcW w:w="1809" w:type="pct"/>
                  <w:tcBorders>
                    <w:tl2br w:val="nil"/>
                    <w:tr2bl w:val="nil"/>
                  </w:tcBorders>
                  <w:vAlign w:val="center"/>
                </w:tcPr>
                <w:p>
                  <w:pPr>
                    <w:jc w:val="center"/>
                    <w:rPr>
                      <w:color w:val="auto"/>
                      <w:sz w:val="21"/>
                      <w:szCs w:val="21"/>
                      <w:highlight w:val="none"/>
                    </w:rPr>
                  </w:pPr>
                  <w:r>
                    <w:rPr>
                      <w:color w:val="auto"/>
                      <w:sz w:val="21"/>
                      <w:szCs w:val="21"/>
                      <w:highlight w:val="none"/>
                    </w:rPr>
                    <w:t>执行标准</w:t>
                  </w:r>
                </w:p>
              </w:tc>
            </w:tr>
            <w:tr>
              <w:trPr>
                <w:trHeight w:val="397"/>
              </w:trPr>
              <w:tc>
                <w:tcPr>
                  <w:tcW w:w="527" w:type="pct"/>
                  <w:tcBorders>
                    <w:tl2br w:val="nil"/>
                    <w:tr2bl w:val="nil"/>
                  </w:tcBorders>
                  <w:vAlign w:val="center"/>
                </w:tcPr>
                <w:p>
                  <w:pPr>
                    <w:spacing w:line="240" w:lineRule="auto"/>
                    <w:ind w:firstLine="0"/>
                    <w:jc w:val="center"/>
                    <w:rPr>
                      <w:rFonts w:ascii="Times New Roman" w:eastAsia="宋体" w:cs="Times New Roman" w:hAnsi="Times New Roman" w:hint="eastAsia"/>
                      <w:color w:val="auto"/>
                      <w:spacing w:val="0"/>
                      <w:kern w:val="2"/>
                      <w:sz w:val="21"/>
                      <w:szCs w:val="21"/>
                      <w:lang w:val="en-US" w:eastAsia="zh-CN" w:bidi="ar-SA"/>
                      <w:highlight w:val="none"/>
                    </w:rPr>
                  </w:pPr>
                  <w:r>
                    <w:rPr>
                      <w:rFonts w:ascii="Times New Roman" w:eastAsia="宋体" w:cs="Times New Roman" w:hAnsi="Times New Roman"/>
                      <w:color w:val="auto"/>
                      <w:spacing w:val="0"/>
                      <w:szCs w:val="21"/>
                      <w:lang w:val="en-US" w:eastAsia="zh-CN"/>
                      <w:highlight w:val="none"/>
                    </w:rPr>
                    <w:t>施工期</w:t>
                  </w:r>
                </w:p>
              </w:tc>
              <w:tc>
                <w:tcPr>
                  <w:tcW w:w="544" w:type="pct"/>
                  <w:tcBorders>
                    <w:tl2br w:val="nil"/>
                    <w:tr2bl w:val="nil"/>
                  </w:tcBorders>
                  <w:vAlign w:val="center"/>
                </w:tcPr>
                <w:p>
                  <w:pPr>
                    <w:spacing w:line="240" w:lineRule="auto"/>
                    <w:ind w:firstLine="0"/>
                    <w:jc w:val="center"/>
                    <w:rPr>
                      <w:rFonts w:ascii="Times New Roman" w:eastAsia="宋体" w:cs="Times New Roman" w:hAnsi="Times New Roman" w:hint="eastAsia"/>
                      <w:color w:val="auto"/>
                      <w:spacing w:val="0"/>
                      <w:kern w:val="2"/>
                      <w:sz w:val="21"/>
                      <w:szCs w:val="21"/>
                      <w:lang w:val="en-US" w:eastAsia="zh-CN" w:bidi="ar-SA"/>
                      <w:highlight w:val="none"/>
                    </w:rPr>
                  </w:pPr>
                  <w:r>
                    <w:rPr>
                      <w:rFonts w:ascii="Times New Roman" w:eastAsia="宋体" w:cs="Times New Roman" w:hAnsi="Times New Roman"/>
                      <w:color w:val="auto"/>
                      <w:spacing w:val="0"/>
                      <w:szCs w:val="21"/>
                      <w:lang w:val="en-US" w:eastAsia="zh-CN"/>
                      <w:highlight w:val="none"/>
                    </w:rPr>
                    <w:t>施工</w:t>
                  </w:r>
                </w:p>
              </w:tc>
              <w:tc>
                <w:tcPr>
                  <w:tcW w:w="524" w:type="pct"/>
                  <w:tcBorders>
                    <w:tl2br w:val="nil"/>
                    <w:tr2bl w:val="nil"/>
                  </w:tcBorders>
                  <w:vAlign w:val="center"/>
                </w:tcPr>
                <w:p>
                  <w:pPr>
                    <w:spacing w:line="240" w:lineRule="auto"/>
                    <w:ind w:firstLine="0"/>
                    <w:jc w:val="center"/>
                    <w:rPr>
                      <w:rFonts w:ascii="Times New Roman" w:eastAsia="宋体" w:cs="Times New Roman" w:hAnsi="Times New Roman"/>
                      <w:color w:val="auto"/>
                      <w:spacing w:val="0"/>
                      <w:kern w:val="2"/>
                      <w:sz w:val="21"/>
                      <w:szCs w:val="21"/>
                      <w:lang w:val="en-US" w:eastAsia="zh-CN" w:bidi="ar-SA"/>
                      <w:highlight w:val="none"/>
                    </w:rPr>
                  </w:pPr>
                  <w:r>
                    <w:rPr>
                      <w:rFonts w:ascii="Times New Roman" w:eastAsia="宋体" w:cs="Times New Roman" w:hAnsi="Times New Roman"/>
                      <w:color w:val="auto"/>
                      <w:spacing w:val="0"/>
                      <w:szCs w:val="21"/>
                      <w:lang w:val="en-US" w:eastAsia="zh-CN"/>
                      <w:highlight w:val="none"/>
                    </w:rPr>
                    <w:t>颗粒物</w:t>
                  </w:r>
                </w:p>
              </w:tc>
              <w:tc>
                <w:tcPr>
                  <w:tcW w:w="1593" w:type="pct"/>
                  <w:tcBorders>
                    <w:tl2br w:val="nil"/>
                    <w:tr2bl w:val="nil"/>
                  </w:tcBorders>
                  <w:vAlign w:val="center"/>
                </w:tcPr>
                <w:p>
                  <w:pPr>
                    <w:autoSpaceDE/>
                    <w:autoSpaceDN/>
                    <w:adjustRightInd/>
                    <w:spacing w:line="240" w:lineRule="auto"/>
                    <w:ind w:firstLine="0"/>
                    <w:jc w:val="center"/>
                    <w:rPr>
                      <w:rFonts w:ascii="Times New Roman" w:eastAsia="宋体" w:cs="Times New Roman" w:hAnsi="Times New Roman"/>
                      <w:color w:val="auto"/>
                      <w:szCs w:val="21"/>
                      <w:vertAlign w:val="superscript"/>
                      <w:highlight w:val="none"/>
                    </w:rPr>
                  </w:pPr>
                  <w:r>
                    <w:rPr>
                      <w:rFonts w:ascii="Times New Roman" w:eastAsia="宋体" w:cs="Times New Roman" w:hAnsi="Times New Roman"/>
                      <w:color w:val="auto"/>
                      <w:szCs w:val="21"/>
                      <w:highlight w:val="none"/>
                    </w:rPr>
                    <w:t>排放浓度</w:t>
                  </w:r>
                  <w:r>
                    <w:rPr>
                      <w:rFonts w:ascii="Times New Roman" w:eastAsia="宋体" w:cs="Times New Roman" w:hAnsi="Times New Roman"/>
                      <w:color w:val="auto"/>
                      <w:szCs w:val="21"/>
                      <w:vertAlign w:val="superscript"/>
                      <w:highlight w:val="none"/>
                    </w:rPr>
                    <w:t>a</w:t>
                  </w:r>
                  <w:r>
                    <w:rPr>
                      <w:rFonts w:ascii="Times New Roman" w:eastAsia="宋体" w:cs="Times New Roman" w:hAnsi="Times New Roman"/>
                      <w:color w:val="auto"/>
                      <w:szCs w:val="21"/>
                      <w:highlight w:val="none"/>
                    </w:rPr>
                    <w:t>≤80µg/m</w:t>
                  </w:r>
                  <w:r>
                    <w:rPr>
                      <w:rFonts w:ascii="Times New Roman" w:eastAsia="宋体" w:cs="Times New Roman" w:hAnsi="Times New Roman"/>
                      <w:color w:val="auto"/>
                      <w:szCs w:val="21"/>
                      <w:vertAlign w:val="superscript"/>
                      <w:highlight w:val="none"/>
                    </w:rPr>
                    <w:t>3</w:t>
                  </w:r>
                </w:p>
                <w:p>
                  <w:pPr>
                    <w:spacing w:line="240" w:lineRule="auto"/>
                    <w:ind w:firstLine="0"/>
                    <w:jc w:val="center"/>
                    <w:rPr>
                      <w:rFonts w:ascii="Times New Roman" w:eastAsia="宋体" w:cs="Times New Roman" w:hAnsi="Times New Roman"/>
                      <w:color w:val="auto"/>
                      <w:spacing w:val="0"/>
                      <w:kern w:val="2"/>
                      <w:sz w:val="21"/>
                      <w:szCs w:val="21"/>
                      <w:lang w:val="en-US" w:eastAsia="zh-CN" w:bidi="ar-SA"/>
                      <w:highlight w:val="none"/>
                    </w:rPr>
                  </w:pPr>
                  <w:r>
                    <w:rPr>
                      <w:rFonts w:ascii="Times New Roman" w:eastAsia="宋体" w:cs="Times New Roman" w:hAnsi="Times New Roman"/>
                      <w:color w:val="auto"/>
                      <w:spacing w:val="0"/>
                      <w:szCs w:val="21"/>
                      <w:highlight w:val="none"/>
                    </w:rPr>
                    <w:t>达标判定依据≤2次/天</w:t>
                  </w:r>
                </w:p>
              </w:tc>
              <w:tc>
                <w:tcPr>
                  <w:tcW w:w="1809" w:type="pct"/>
                  <w:tcBorders>
                    <w:tl2br w:val="nil"/>
                    <w:tr2bl w:val="nil"/>
                  </w:tcBorders>
                  <w:vAlign w:val="center"/>
                </w:tcPr>
                <w:p>
                  <w:pPr>
                    <w:jc w:val="center"/>
                    <w:rPr>
                      <w:rFonts w:ascii="Times New Roman" w:eastAsia="宋体" w:cs="Times New Roman" w:hAnsi="Times New Roman" w:hint="eastAsia"/>
                      <w:color w:val="auto"/>
                      <w:spacing w:val="0"/>
                      <w:szCs w:val="21"/>
                      <w:lang w:val="zh-CN"/>
                      <w:highlight w:val="none"/>
                    </w:rPr>
                  </w:pPr>
                  <w:r>
                    <w:rPr>
                      <w:rFonts w:ascii="Times New Roman" w:eastAsia="宋体" w:cs="Times New Roman" w:hAnsi="Times New Roman"/>
                      <w:color w:val="auto"/>
                      <w:spacing w:val="0"/>
                      <w:szCs w:val="21"/>
                      <w:highlight w:val="none"/>
                    </w:rPr>
                    <w:t>《施工场地扬尘排放标准》（DB13/2934-2019）表1中扬尘排放浓度限值</w:t>
                  </w:r>
                </w:p>
              </w:tc>
            </w:tr>
            <w:tr>
              <w:trPr>
                <w:trHeight w:val="397"/>
              </w:trPr>
              <w:tc>
                <w:tcPr>
                  <w:tcW w:w="527" w:type="pct"/>
                  <w:vMerge w:val="restart"/>
                  <w:tcBorders>
                    <w:tl2br w:val="nil"/>
                    <w:tr2bl w:val="nil"/>
                  </w:tcBorders>
                  <w:vAlign w:val="center"/>
                </w:tcPr>
                <w:p>
                  <w:pPr>
                    <w:spacing w:line="240" w:lineRule="auto"/>
                    <w:ind w:firstLine="0"/>
                    <w:jc w:val="center"/>
                    <w:rPr>
                      <w:rFonts w:ascii="Times New Roman" w:eastAsia="宋体" w:cs="Times New Roman" w:hAnsi="Times New Roman"/>
                      <w:color w:val="auto"/>
                      <w:spacing w:val="0"/>
                      <w:szCs w:val="21"/>
                      <w:lang w:val="en-US" w:eastAsia="zh-CN"/>
                      <w:highlight w:val="none"/>
                    </w:rPr>
                  </w:pPr>
                  <w:r>
                    <w:rPr>
                      <w:color w:val="auto"/>
                      <w:sz w:val="21"/>
                      <w:szCs w:val="21"/>
                      <w:lang w:val="zh-CN"/>
                      <w:highlight w:val="none"/>
                    </w:rPr>
                    <w:t>运营期</w:t>
                  </w:r>
                </w:p>
              </w:tc>
              <w:tc>
                <w:tcPr>
                  <w:tcW w:w="544" w:type="pct"/>
                  <w:tcBorders>
                    <w:tl2br w:val="nil"/>
                    <w:tr2bl w:val="nil"/>
                  </w:tcBorders>
                  <w:vAlign w:val="center"/>
                </w:tcPr>
                <w:p>
                  <w:pPr>
                    <w:spacing w:line="240" w:lineRule="auto"/>
                    <w:ind w:firstLine="0"/>
                    <w:jc w:val="center"/>
                    <w:rPr>
                      <w:rFonts w:ascii="Times New Roman" w:eastAsia="宋体" w:cs="Times New Roman" w:hAnsi="Times New Roman"/>
                      <w:color w:val="auto"/>
                      <w:spacing w:val="0"/>
                      <w:szCs w:val="21"/>
                      <w:lang w:val="en-US" w:eastAsia="zh-CN"/>
                      <w:highlight w:val="none"/>
                    </w:rPr>
                  </w:pPr>
                  <w:r>
                    <w:rPr>
                      <w:rFonts w:cs="Times New Roman" w:hint="eastAsia"/>
                      <w:color w:val="auto"/>
                      <w:spacing w:val="0"/>
                      <w:szCs w:val="21"/>
                      <w:lang w:val="en-US" w:eastAsia="zh-CN"/>
                      <w:highlight w:val="none"/>
                    </w:rPr>
                    <w:t>破损电池贮存</w:t>
                  </w:r>
                </w:p>
              </w:tc>
              <w:tc>
                <w:tcPr>
                  <w:tcW w:w="524" w:type="pct"/>
                  <w:tcBorders>
                    <w:tl2br w:val="nil"/>
                    <w:tr2bl w:val="nil"/>
                  </w:tcBorders>
                  <w:vAlign w:val="center"/>
                </w:tcPr>
                <w:p>
                  <w:pPr>
                    <w:spacing w:line="240" w:lineRule="auto"/>
                    <w:ind w:firstLine="0"/>
                    <w:jc w:val="center"/>
                    <w:rPr>
                      <w:rFonts w:ascii="Times New Roman" w:eastAsia="宋体" w:cs="Times New Roman" w:hAnsi="Times New Roman"/>
                      <w:color w:val="auto"/>
                      <w:sz w:val="21"/>
                      <w:szCs w:val="21"/>
                      <w:lang w:val="en-US" w:eastAsia="zh-CN"/>
                      <w:highlight w:val="none"/>
                    </w:rPr>
                  </w:pPr>
                  <w:r>
                    <w:rPr>
                      <w:rFonts w:cs="Times New Roman" w:hint="eastAsia"/>
                      <w:color w:val="auto"/>
                      <w:sz w:val="21"/>
                      <w:szCs w:val="21"/>
                      <w:lang w:val="en-US" w:eastAsia="zh-CN"/>
                      <w:highlight w:val="none"/>
                    </w:rPr>
                    <w:t>硫酸雾</w:t>
                  </w:r>
                </w:p>
              </w:tc>
              <w:tc>
                <w:tcPr>
                  <w:tcW w:w="1593" w:type="pct"/>
                  <w:tcBorders>
                    <w:tl2br w:val="nil"/>
                    <w:tr2bl w:val="nil"/>
                  </w:tcBorders>
                  <w:vAlign w:val="center"/>
                </w:tcPr>
                <w:p>
                  <w:pPr>
                    <w:spacing w:line="240" w:lineRule="auto"/>
                    <w:ind w:firstLine="0"/>
                    <w:jc w:val="center"/>
                    <w:rPr>
                      <w:rFonts w:cs="Times New Roman" w:hint="eastAsia"/>
                      <w:color w:val="auto"/>
                      <w:sz w:val="21"/>
                      <w:szCs w:val="21"/>
                      <w:lang w:val="en-US" w:eastAsia="zh-CN"/>
                      <w:highlight w:val="none"/>
                    </w:rPr>
                  </w:pPr>
                  <w:r>
                    <w:rPr>
                      <w:rFonts w:ascii="Times New Roman" w:eastAsia="宋体" w:cs="Times New Roman" w:hAnsi="Times New Roman"/>
                      <w:color w:val="auto"/>
                      <w:sz w:val="21"/>
                      <w:szCs w:val="21"/>
                      <w:lang w:val="en-US" w:eastAsia="zh-CN"/>
                      <w:highlight w:val="none"/>
                    </w:rPr>
                    <w:t>最高允许排放浓度</w:t>
                  </w:r>
                  <w:r>
                    <w:rPr>
                      <w:rFonts w:cs="Times New Roman" w:hint="eastAsia"/>
                      <w:color w:val="auto"/>
                      <w:sz w:val="21"/>
                      <w:szCs w:val="21"/>
                      <w:lang w:val="en-US" w:eastAsia="zh-CN"/>
                      <w:highlight w:val="none"/>
                    </w:rPr>
                    <w:t>：45</w:t>
                  </w:r>
                  <w:r>
                    <w:rPr>
                      <w:rFonts w:ascii="Times New Roman" w:eastAsia="宋体" w:cs="Times New Roman" w:hAnsi="Times New Roman"/>
                      <w:color w:val="auto"/>
                      <w:sz w:val="21"/>
                      <w:szCs w:val="21"/>
                      <w:lang w:val="en-US" w:eastAsia="zh-CN"/>
                      <w:highlight w:val="none"/>
                    </w:rPr>
                    <w:t>mg/m</w:t>
                  </w:r>
                  <w:r>
                    <w:rPr>
                      <w:rFonts w:ascii="Times New Roman" w:eastAsia="宋体" w:cs="Times New Roman" w:hAnsi="Times New Roman" w:hint="eastAsia"/>
                      <w:color w:val="auto"/>
                      <w:sz w:val="21"/>
                      <w:szCs w:val="21"/>
                      <w:vertAlign w:val="superscript"/>
                      <w:lang w:val="en-US" w:eastAsia="zh-CN"/>
                      <w:highlight w:val="none"/>
                    </w:rPr>
                    <w:t>3</w:t>
                  </w:r>
                  <w:r>
                    <w:rPr>
                      <w:rFonts w:cs="Times New Roman" w:hint="eastAsia"/>
                      <w:color w:val="auto"/>
                      <w:sz w:val="21"/>
                      <w:szCs w:val="21"/>
                      <w:lang w:val="en-US" w:eastAsia="zh-CN"/>
                      <w:highlight w:val="none"/>
                    </w:rPr>
                    <w:t>；</w:t>
                  </w:r>
                </w:p>
                <w:p>
                  <w:pPr>
                    <w:spacing w:line="240" w:lineRule="auto"/>
                    <w:ind w:firstLine="0"/>
                    <w:jc w:val="center"/>
                    <w:rPr>
                      <w:rFonts w:cs="Times New Roman"/>
                      <w:color w:val="auto"/>
                      <w:sz w:val="21"/>
                      <w:szCs w:val="21"/>
                      <w:lang w:val="en-US" w:eastAsia="zh-CN"/>
                      <w:highlight w:val="none"/>
                    </w:rPr>
                  </w:pPr>
                  <w:r>
                    <w:rPr>
                      <w:rFonts w:cs="Times New Roman" w:hint="eastAsia"/>
                      <w:color w:val="auto"/>
                      <w:sz w:val="21"/>
                      <w:szCs w:val="21"/>
                      <w:lang w:val="en-US" w:eastAsia="zh-CN"/>
                      <w:highlight w:val="none"/>
                    </w:rPr>
                    <w:t>最高允许排放速率 0.75kg/h</w:t>
                  </w:r>
                </w:p>
              </w:tc>
              <w:tc>
                <w:tcPr>
                  <w:tcW w:w="1809" w:type="pct"/>
                  <w:vMerge w:val="restart"/>
                  <w:tcBorders>
                    <w:tl2br w:val="nil"/>
                    <w:tr2bl w:val="nil"/>
                  </w:tcBorders>
                  <w:vAlign w:val="center"/>
                </w:tcPr>
                <w:p>
                  <w:pPr>
                    <w:spacing w:line="240" w:lineRule="auto"/>
                    <w:ind w:firstLine="0"/>
                    <w:jc w:val="center"/>
                    <w:rPr>
                      <w:rFonts w:ascii="Times New Roman" w:eastAsia="宋体" w:cs="Times New Roman" w:hAnsi="Times New Roman"/>
                      <w:color w:val="auto"/>
                      <w:sz w:val="21"/>
                      <w:szCs w:val="21"/>
                      <w:lang w:val="en-US" w:eastAsia="zh-CN"/>
                      <w:highlight w:val="none"/>
                    </w:rPr>
                  </w:pPr>
                  <w:r>
                    <w:rPr>
                      <w:color w:val="auto"/>
                    </w:rPr>
                    <w:t>《大气污染物综合排放标准》（GB16297-1996</w:t>
                  </w:r>
                  <w:r>
                    <w:rPr>
                      <w:rFonts w:hint="eastAsia"/>
                      <w:color w:val="auto"/>
                    </w:rPr>
                    <w:t>）</w:t>
                  </w:r>
                </w:p>
              </w:tc>
            </w:tr>
            <w:tr>
              <w:trPr>
                <w:trHeight w:val="560"/>
              </w:trPr>
              <w:tc>
                <w:tcPr>
                  <w:tcW w:w="527" w:type="pct"/>
                  <w:vMerge/>
                  <w:tcBorders>
                    <w:tl2br w:val="nil"/>
                    <w:tr2bl w:val="nil"/>
                  </w:tcBorders>
                  <w:vAlign w:val="center"/>
                </w:tcPr>
                <w:p/>
              </w:tc>
              <w:tc>
                <w:tcPr>
                  <w:tcW w:w="544" w:type="pct"/>
                  <w:tcBorders>
                    <w:tl2br w:val="nil"/>
                    <w:tr2bl w:val="nil"/>
                  </w:tcBorders>
                  <w:vAlign w:val="center"/>
                </w:tcPr>
                <w:p>
                  <w:pPr>
                    <w:spacing w:line="240" w:lineRule="auto"/>
                    <w:ind w:firstLine="0"/>
                    <w:jc w:val="center"/>
                    <w:rPr>
                      <w:rFonts w:cs="Times New Roman" w:hint="eastAsia"/>
                      <w:color w:val="auto"/>
                      <w:spacing w:val="0"/>
                      <w:szCs w:val="21"/>
                      <w:lang w:val="en-US" w:eastAsia="zh-CN"/>
                      <w:highlight w:val="none"/>
                    </w:rPr>
                  </w:pPr>
                  <w:r>
                    <w:rPr>
                      <w:rFonts w:cs="Times New Roman" w:hint="eastAsia"/>
                      <w:color w:val="auto"/>
                      <w:spacing w:val="0"/>
                      <w:szCs w:val="21"/>
                      <w:lang w:val="en-US" w:eastAsia="zh-CN"/>
                      <w:highlight w:val="none"/>
                    </w:rPr>
                    <w:t>厂界</w:t>
                  </w:r>
                </w:p>
              </w:tc>
              <w:tc>
                <w:tcPr>
                  <w:tcW w:w="524" w:type="pct"/>
                  <w:tcBorders>
                    <w:tl2br w:val="nil"/>
                    <w:tr2bl w:val="nil"/>
                  </w:tcBorders>
                  <w:vAlign w:val="center"/>
                </w:tcPr>
                <w:p>
                  <w:pPr>
                    <w:spacing w:line="240" w:lineRule="auto"/>
                    <w:ind w:firstLine="0"/>
                    <w:jc w:val="center"/>
                    <w:rPr>
                      <w:rFonts w:cs="Times New Roman" w:hint="eastAsia"/>
                      <w:color w:val="auto"/>
                      <w:sz w:val="21"/>
                      <w:szCs w:val="21"/>
                      <w:lang w:val="en-US" w:eastAsia="zh-CN"/>
                      <w:highlight w:val="none"/>
                    </w:rPr>
                  </w:pPr>
                  <w:r>
                    <w:rPr>
                      <w:rFonts w:cs="Times New Roman" w:hint="eastAsia"/>
                      <w:color w:val="auto"/>
                      <w:sz w:val="21"/>
                      <w:szCs w:val="21"/>
                      <w:lang w:val="en-US" w:eastAsia="zh-CN"/>
                      <w:highlight w:val="none"/>
                    </w:rPr>
                    <w:t>硫酸雾</w:t>
                  </w:r>
                </w:p>
              </w:tc>
              <w:tc>
                <w:tcPr>
                  <w:tcW w:w="1593" w:type="pct"/>
                  <w:tcBorders>
                    <w:tl2br w:val="nil"/>
                    <w:tr2bl w:val="nil"/>
                  </w:tcBorders>
                  <w:vAlign w:val="center"/>
                </w:tcPr>
                <w:p>
                  <w:pPr>
                    <w:spacing w:line="240" w:lineRule="auto"/>
                    <w:ind w:firstLine="0"/>
                    <w:jc w:val="center"/>
                    <w:rPr>
                      <w:rFonts w:cs="Times New Roman" w:hint="eastAsia"/>
                      <w:color w:val="auto"/>
                      <w:sz w:val="21"/>
                      <w:szCs w:val="21"/>
                      <w:lang w:val="en-US" w:eastAsia="zh-CN"/>
                      <w:highlight w:val="none"/>
                    </w:rPr>
                  </w:pPr>
                  <w:r>
                    <w:rPr>
                      <w:rFonts w:cs="Times New Roman" w:hint="eastAsia"/>
                      <w:color w:val="auto"/>
                      <w:sz w:val="21"/>
                      <w:szCs w:val="21"/>
                      <w:lang w:val="en-US" w:eastAsia="zh-CN"/>
                      <w:highlight w:val="none"/>
                    </w:rPr>
                    <w:t>周界外浓度最高点 1.2</w:t>
                  </w:r>
                  <w:r>
                    <w:rPr>
                      <w:rFonts w:ascii="Times New Roman" w:eastAsia="宋体" w:cs="Times New Roman" w:hAnsi="Times New Roman"/>
                      <w:color w:val="auto"/>
                      <w:sz w:val="21"/>
                      <w:szCs w:val="21"/>
                      <w:lang w:val="en-US" w:eastAsia="zh-CN"/>
                      <w:highlight w:val="none"/>
                    </w:rPr>
                    <w:t>mg/m</w:t>
                  </w:r>
                  <w:r>
                    <w:rPr>
                      <w:rFonts w:ascii="Times New Roman" w:eastAsia="宋体" w:cs="Times New Roman" w:hAnsi="Times New Roman" w:hint="eastAsia"/>
                      <w:color w:val="auto"/>
                      <w:sz w:val="21"/>
                      <w:szCs w:val="21"/>
                      <w:vertAlign w:val="superscript"/>
                      <w:lang w:val="en-US" w:eastAsia="zh-CN"/>
                      <w:highlight w:val="none"/>
                    </w:rPr>
                    <w:t>3</w:t>
                  </w:r>
                </w:p>
              </w:tc>
              <w:tc>
                <w:tcPr>
                  <w:tcW w:w="1809" w:type="pct"/>
                  <w:vMerge/>
                  <w:tcBorders>
                    <w:tl2br w:val="nil"/>
                    <w:tr2bl w:val="nil"/>
                  </w:tcBorders>
                  <w:vAlign w:val="center"/>
                </w:tcPr>
                <w:p/>
              </w:tc>
            </w:tr>
            <w:tr>
              <w:trPr>
                <w:trHeight w:val="590"/>
              </w:trPr>
              <w:tc>
                <w:tcPr>
                  <w:tcW w:w="527" w:type="pct"/>
                  <w:vMerge w:val="restart"/>
                  <w:tcBorders>
                    <w:tl2br w:val="nil"/>
                    <w:tr2bl w:val="nil"/>
                  </w:tcBorders>
                  <w:vAlign w:val="center"/>
                </w:tcPr>
                <w:p>
                  <w:pPr>
                    <w:spacing w:line="240" w:lineRule="auto"/>
                    <w:ind w:firstLine="0"/>
                    <w:jc w:val="center"/>
                    <w:rPr>
                      <w:color w:val="auto"/>
                      <w:sz w:val="21"/>
                      <w:szCs w:val="21"/>
                      <w:lang w:val="zh-CN"/>
                      <w:highlight w:val="none"/>
                    </w:rPr>
                  </w:pPr>
                  <w:r>
                    <w:rPr>
                      <w:color w:val="auto"/>
                      <w:sz w:val="21"/>
                      <w:szCs w:val="21"/>
                      <w:lang w:val="zh-CN"/>
                      <w:highlight w:val="none"/>
                    </w:rPr>
                    <w:t>运营期</w:t>
                  </w:r>
                  <w:r>
                    <w:rPr>
                      <w:rFonts w:hint="eastAsia"/>
                      <w:color w:val="auto"/>
                      <w:sz w:val="21"/>
                      <w:szCs w:val="21"/>
                      <w:lang w:val="zh-CN"/>
                      <w:highlight w:val="none"/>
                    </w:rPr>
                    <w:t>（参照执行）</w:t>
                  </w:r>
                </w:p>
              </w:tc>
              <w:tc>
                <w:tcPr>
                  <w:tcW w:w="544" w:type="pct"/>
                  <w:tcBorders>
                    <w:tl2br w:val="nil"/>
                    <w:tr2bl w:val="nil"/>
                  </w:tcBorders>
                  <w:vAlign w:val="center"/>
                </w:tcPr>
                <w:p>
                  <w:pPr>
                    <w:spacing w:line="240" w:lineRule="auto"/>
                    <w:ind w:firstLine="0"/>
                    <w:jc w:val="center"/>
                    <w:rPr>
                      <w:rFonts w:cs="Times New Roman" w:hint="eastAsia"/>
                      <w:color w:val="auto"/>
                      <w:spacing w:val="0"/>
                      <w:szCs w:val="21"/>
                      <w:lang w:val="en-US" w:eastAsia="zh-CN"/>
                      <w:highlight w:val="none"/>
                    </w:rPr>
                  </w:pPr>
                  <w:r>
                    <w:rPr>
                      <w:rFonts w:cs="Times New Roman" w:hint="eastAsia"/>
                      <w:color w:val="auto"/>
                      <w:spacing w:val="0"/>
                      <w:szCs w:val="21"/>
                      <w:lang w:val="en-US" w:eastAsia="zh-CN"/>
                      <w:highlight w:val="none"/>
                    </w:rPr>
                    <w:t>破损电池贮存</w:t>
                  </w:r>
                </w:p>
              </w:tc>
              <w:tc>
                <w:tcPr>
                  <w:tcW w:w="524" w:type="pct"/>
                  <w:tcBorders>
                    <w:tl2br w:val="nil"/>
                    <w:tr2bl w:val="nil"/>
                  </w:tcBorders>
                  <w:vAlign w:val="center"/>
                </w:tcPr>
                <w:p>
                  <w:pPr>
                    <w:spacing w:line="240" w:lineRule="auto"/>
                    <w:ind w:firstLine="0"/>
                    <w:jc w:val="center"/>
                    <w:rPr>
                      <w:rFonts w:cs="Times New Roman" w:hint="eastAsia"/>
                      <w:color w:val="auto"/>
                      <w:sz w:val="21"/>
                      <w:szCs w:val="21"/>
                      <w:lang w:val="en-US" w:eastAsia="zh-CN"/>
                      <w:highlight w:val="none"/>
                    </w:rPr>
                  </w:pPr>
                  <w:r>
                    <w:rPr>
                      <w:rFonts w:cs="Times New Roman" w:hint="eastAsia"/>
                      <w:color w:val="auto"/>
                      <w:sz w:val="21"/>
                      <w:szCs w:val="21"/>
                      <w:lang w:val="en-US" w:eastAsia="zh-CN"/>
                      <w:highlight w:val="none"/>
                    </w:rPr>
                    <w:t>硫酸雾</w:t>
                  </w:r>
                </w:p>
              </w:tc>
              <w:tc>
                <w:tcPr>
                  <w:tcW w:w="1593" w:type="pct"/>
                  <w:tcBorders>
                    <w:tl2br w:val="nil"/>
                    <w:tr2bl w:val="nil"/>
                  </w:tcBorders>
                  <w:vAlign w:val="center"/>
                </w:tcPr>
                <w:p>
                  <w:pPr>
                    <w:spacing w:line="240" w:lineRule="auto"/>
                    <w:ind w:firstLine="0"/>
                    <w:jc w:val="center"/>
                    <w:rPr>
                      <w:rFonts w:cs="Times New Roman" w:hint="eastAsia"/>
                      <w:color w:val="auto"/>
                      <w:sz w:val="21"/>
                      <w:szCs w:val="21"/>
                      <w:lang w:val="en-US" w:eastAsia="zh-CN"/>
                      <w:highlight w:val="none"/>
                    </w:rPr>
                  </w:pPr>
                  <w:r>
                    <w:rPr>
                      <w:rFonts w:cs="Times New Roman" w:hint="eastAsia"/>
                      <w:color w:val="auto"/>
                      <w:sz w:val="21"/>
                      <w:szCs w:val="21"/>
                      <w:lang w:val="en-US"/>
                      <w:highlight w:val="none"/>
                    </w:rPr>
                    <w:t>排放限制</w:t>
                  </w:r>
                  <w:r>
                    <w:rPr>
                      <w:rFonts w:cs="Times New Roman"/>
                      <w:color w:val="auto"/>
                      <w:sz w:val="21"/>
                      <w:szCs w:val="21"/>
                      <w:highlight w:val="none"/>
                    </w:rPr>
                    <w:t xml:space="preserve"> </w:t>
                  </w:r>
                  <w:r>
                    <w:rPr>
                      <w:rFonts w:cs="Times New Roman" w:hint="eastAsia"/>
                      <w:color w:val="auto"/>
                      <w:sz w:val="21"/>
                      <w:szCs w:val="21"/>
                      <w:lang w:val="en-US" w:eastAsia="zh-CN"/>
                      <w:highlight w:val="none"/>
                    </w:rPr>
                    <w:t>5</w:t>
                  </w:r>
                  <w:r>
                    <w:rPr>
                      <w:rFonts w:ascii="Times New Roman" w:eastAsia="宋体" w:cs="Times New Roman" w:hAnsi="Times New Roman"/>
                      <w:color w:val="auto"/>
                      <w:sz w:val="21"/>
                      <w:szCs w:val="21"/>
                      <w:lang w:val="en-US" w:eastAsia="zh-CN"/>
                      <w:highlight w:val="none"/>
                    </w:rPr>
                    <w:t>mg/m</w:t>
                  </w:r>
                  <w:r>
                    <w:rPr>
                      <w:rFonts w:ascii="Times New Roman" w:eastAsia="宋体" w:cs="Times New Roman" w:hAnsi="Times New Roman" w:hint="eastAsia"/>
                      <w:color w:val="auto"/>
                      <w:sz w:val="21"/>
                      <w:szCs w:val="21"/>
                      <w:vertAlign w:val="superscript"/>
                      <w:lang w:val="en-US" w:eastAsia="zh-CN"/>
                      <w:highlight w:val="none"/>
                    </w:rPr>
                    <w:t>3</w:t>
                  </w:r>
                  <w:r>
                    <w:rPr>
                      <w:rFonts w:cs="Times New Roman" w:hint="eastAsia"/>
                      <w:color w:val="auto"/>
                      <w:sz w:val="21"/>
                      <w:szCs w:val="21"/>
                      <w:lang w:val="en-US" w:eastAsia="zh-CN"/>
                      <w:highlight w:val="none"/>
                    </w:rPr>
                    <w:t>；</w:t>
                  </w:r>
                </w:p>
              </w:tc>
              <w:tc>
                <w:tcPr>
                  <w:tcW w:w="1809" w:type="pct"/>
                  <w:vMerge w:val="restart"/>
                  <w:tcBorders>
                    <w:tl2br w:val="nil"/>
                    <w:tr2bl w:val="nil"/>
                  </w:tcBorders>
                  <w:vAlign w:val="center"/>
                </w:tcPr>
                <w:p>
                  <w:pPr>
                    <w:spacing w:line="240" w:lineRule="auto"/>
                    <w:ind w:firstLine="0"/>
                    <w:jc w:val="center"/>
                    <w:rPr>
                      <w:color w:val="auto"/>
                    </w:rPr>
                  </w:pPr>
                  <w:r>
                    <w:rPr>
                      <w:rFonts w:hint="eastAsia"/>
                      <w:color w:val="auto"/>
                    </w:rPr>
                    <w:t>《电池工业污染物排放标准》（GB 30484-2013）</w:t>
                  </w:r>
                </w:p>
              </w:tc>
            </w:tr>
            <w:tr>
              <w:trPr>
                <w:trHeight w:val="536"/>
              </w:trPr>
              <w:tc>
                <w:tcPr>
                  <w:tcW w:w="527" w:type="pct"/>
                  <w:vMerge/>
                  <w:tcBorders>
                    <w:tl2br w:val="nil"/>
                    <w:tr2bl w:val="nil"/>
                  </w:tcBorders>
                  <w:vAlign w:val="center"/>
                </w:tcPr>
                <w:p/>
              </w:tc>
              <w:tc>
                <w:tcPr>
                  <w:tcW w:w="544" w:type="pct"/>
                  <w:tcBorders>
                    <w:tl2br w:val="nil"/>
                    <w:tr2bl w:val="nil"/>
                  </w:tcBorders>
                  <w:vAlign w:val="center"/>
                </w:tcPr>
                <w:p>
                  <w:pPr>
                    <w:spacing w:line="240" w:lineRule="auto"/>
                    <w:ind w:firstLine="0"/>
                    <w:jc w:val="center"/>
                    <w:rPr>
                      <w:rFonts w:cs="Times New Roman" w:hint="eastAsia"/>
                      <w:color w:val="auto"/>
                      <w:spacing w:val="0"/>
                      <w:szCs w:val="21"/>
                      <w:lang w:val="en-US" w:eastAsia="zh-CN"/>
                      <w:highlight w:val="none"/>
                    </w:rPr>
                  </w:pPr>
                  <w:r>
                    <w:rPr>
                      <w:rFonts w:cs="Times New Roman" w:hint="eastAsia"/>
                      <w:color w:val="auto"/>
                      <w:spacing w:val="0"/>
                      <w:szCs w:val="21"/>
                      <w:lang w:val="en-US" w:eastAsia="zh-CN"/>
                      <w:highlight w:val="none"/>
                    </w:rPr>
                    <w:t>厂界</w:t>
                  </w:r>
                </w:p>
              </w:tc>
              <w:tc>
                <w:tcPr>
                  <w:tcW w:w="524" w:type="pct"/>
                  <w:tcBorders>
                    <w:tl2br w:val="nil"/>
                    <w:tr2bl w:val="nil"/>
                  </w:tcBorders>
                  <w:vAlign w:val="center"/>
                </w:tcPr>
                <w:p>
                  <w:pPr>
                    <w:spacing w:line="240" w:lineRule="auto"/>
                    <w:ind w:firstLine="0"/>
                    <w:jc w:val="center"/>
                    <w:rPr>
                      <w:rFonts w:cs="Times New Roman" w:hint="eastAsia"/>
                      <w:color w:val="auto"/>
                      <w:sz w:val="21"/>
                      <w:szCs w:val="21"/>
                      <w:lang w:val="en-US" w:eastAsia="zh-CN"/>
                      <w:highlight w:val="none"/>
                    </w:rPr>
                  </w:pPr>
                  <w:r>
                    <w:rPr>
                      <w:rFonts w:cs="Times New Roman" w:hint="eastAsia"/>
                      <w:color w:val="auto"/>
                      <w:sz w:val="21"/>
                      <w:szCs w:val="21"/>
                      <w:lang w:val="en-US" w:eastAsia="zh-CN"/>
                      <w:highlight w:val="none"/>
                    </w:rPr>
                    <w:t>硫酸雾</w:t>
                  </w:r>
                </w:p>
              </w:tc>
              <w:tc>
                <w:tcPr>
                  <w:tcW w:w="1593" w:type="pct"/>
                  <w:tcBorders>
                    <w:tl2br w:val="nil"/>
                    <w:tr2bl w:val="nil"/>
                  </w:tcBorders>
                  <w:vAlign w:val="center"/>
                </w:tcPr>
                <w:p>
                  <w:pPr>
                    <w:spacing w:line="240" w:lineRule="auto"/>
                    <w:ind w:firstLine="0"/>
                    <w:jc w:val="center"/>
                    <w:rPr>
                      <w:rFonts w:cs="Times New Roman" w:hint="eastAsia"/>
                      <w:color w:val="auto"/>
                      <w:sz w:val="21"/>
                      <w:szCs w:val="21"/>
                      <w:lang w:val="en-US" w:eastAsia="zh-CN"/>
                      <w:highlight w:val="none"/>
                    </w:rPr>
                  </w:pPr>
                  <w:r>
                    <w:rPr>
                      <w:rFonts w:cs="Times New Roman"/>
                      <w:color w:val="auto"/>
                      <w:sz w:val="21"/>
                      <w:szCs w:val="21"/>
                      <w:lang w:eastAsia="zh-CN"/>
                      <w:highlight w:val="none"/>
                    </w:rPr>
                    <w:t>企业边界0</w:t>
                  </w:r>
                  <w:r>
                    <w:rPr>
                      <w:rFonts w:cs="Times New Roman" w:hint="eastAsia"/>
                      <w:color w:val="auto"/>
                      <w:sz w:val="21"/>
                      <w:szCs w:val="21"/>
                      <w:lang w:val="en-US"/>
                      <w:highlight w:val="none"/>
                    </w:rPr>
                    <w:t>.</w:t>
                  </w:r>
                  <w:r>
                    <w:rPr>
                      <w:rFonts w:cs="Times New Roman"/>
                      <w:color w:val="auto"/>
                      <w:sz w:val="21"/>
                      <w:szCs w:val="21"/>
                      <w:highlight w:val="none"/>
                    </w:rPr>
                    <w:t>3</w:t>
                  </w:r>
                  <w:r>
                    <w:rPr>
                      <w:rFonts w:ascii="Times New Roman" w:eastAsia="宋体" w:cs="Times New Roman" w:hAnsi="Times New Roman"/>
                      <w:color w:val="auto"/>
                      <w:sz w:val="21"/>
                      <w:szCs w:val="21"/>
                      <w:lang w:val="en-US" w:eastAsia="zh-CN"/>
                      <w:highlight w:val="none"/>
                    </w:rPr>
                    <w:t>mg/m</w:t>
                  </w:r>
                  <w:r>
                    <w:rPr>
                      <w:rFonts w:ascii="Times New Roman" w:eastAsia="宋体" w:cs="Times New Roman" w:hAnsi="Times New Roman" w:hint="eastAsia"/>
                      <w:color w:val="auto"/>
                      <w:sz w:val="21"/>
                      <w:szCs w:val="21"/>
                      <w:vertAlign w:val="superscript"/>
                      <w:lang w:val="en-US" w:eastAsia="zh-CN"/>
                      <w:highlight w:val="none"/>
                    </w:rPr>
                    <w:t>3</w:t>
                  </w:r>
                </w:p>
              </w:tc>
              <w:tc>
                <w:tcPr>
                  <w:tcW w:w="1809" w:type="pct"/>
                  <w:vMerge/>
                  <w:tcBorders>
                    <w:tl2br w:val="nil"/>
                    <w:tr2bl w:val="nil"/>
                  </w:tcBorders>
                  <w:vAlign w:val="center"/>
                </w:tcPr>
                <w:p/>
              </w:tc>
            </w:tr>
          </w:tbl>
          <w:p>
            <w:pPr>
              <w:pStyle w:val="35"/>
              <w:keepNext w:val="0"/>
              <w:keepLines w:val="0"/>
              <w:widowControl/>
              <w:suppressLineNumbers w:val="0"/>
              <w:spacing w:before="0" w:beforeAutospacing="0" w:after="0" w:afterAutospacing="0" w:line="240" w:lineRule="auto"/>
              <w:ind w:left="0" w:firstLine="0"/>
              <w:contextualSpacing/>
              <w:jc w:val="both"/>
              <w:rPr>
                <w:rFonts w:ascii="Times New Roman" w:eastAsia="宋体" w:cs="Times New Roman" w:hAnsi="Times New Roman"/>
                <w:color w:val="auto"/>
                <w:lang w:eastAsia="zh-CN"/>
                <w:highlight w:val="none"/>
              </w:rPr>
            </w:pPr>
            <w:r>
              <w:rPr>
                <w:rFonts w:ascii="宋体" w:eastAsia="宋体" w:cs="宋体" w:hAnsi="宋体" w:hint="eastAsia"/>
                <w:color w:val="auto"/>
                <w:spacing w:val="0"/>
                <w:position w:val="0"/>
                <w:sz w:val="19"/>
                <w:szCs w:val="19"/>
                <w:lang w:eastAsia="zh-CN"/>
                <w:highlight w:val="none"/>
              </w:rPr>
              <w:t>注：本项目排气筒高度</w:t>
            </w:r>
            <w:r>
              <w:rPr>
                <w:rFonts w:cs="宋体" w:hint="eastAsia"/>
                <w:color w:val="auto"/>
                <w:spacing w:val="0"/>
                <w:position w:val="0"/>
                <w:sz w:val="19"/>
                <w:szCs w:val="19"/>
                <w:lang w:eastAsia="zh-CN"/>
                <w:highlight w:val="none"/>
              </w:rPr>
              <w:t>为</w:t>
            </w:r>
            <w:r>
              <w:rPr>
                <w:rFonts w:ascii="Times New Roman" w:cs="Times New Roman" w:hAnsi="Times New Roman"/>
                <w:color w:val="auto"/>
                <w:spacing w:val="0"/>
                <w:position w:val="0"/>
                <w:sz w:val="19"/>
                <w:szCs w:val="19"/>
                <w:lang w:val="en-US" w:eastAsia="zh-CN"/>
                <w:highlight w:val="none"/>
              </w:rPr>
              <w:t>15m，</w:t>
            </w:r>
            <w:r>
              <w:rPr>
                <w:rFonts w:ascii="Times New Roman" w:eastAsia="宋体" w:cs="Times New Roman" w:hAnsi="Times New Roman"/>
                <w:color w:val="auto"/>
                <w:spacing w:val="0"/>
                <w:position w:val="0"/>
                <w:sz w:val="19"/>
                <w:szCs w:val="19"/>
                <w:lang w:eastAsia="zh-CN"/>
                <w:highlight w:val="none"/>
              </w:rPr>
              <w:t>不满足《大气污染物综合排放标准》（GB 16297-1996）</w:t>
            </w:r>
            <w:r>
              <w:rPr>
                <w:rFonts w:ascii="Times New Roman" w:cs="Times New Roman" w:hAnsi="Times New Roman"/>
                <w:color w:val="auto"/>
                <w:spacing w:val="0"/>
                <w:position w:val="0"/>
                <w:sz w:val="19"/>
                <w:szCs w:val="19"/>
                <w:lang w:eastAsia="zh-CN"/>
                <w:highlight w:val="none"/>
              </w:rPr>
              <w:t>中</w:t>
            </w:r>
            <w:r>
              <w:rPr>
                <w:rFonts w:ascii="Times New Roman" w:cs="Times New Roman" w:hAnsi="Times New Roman" w:hint="eastAsia"/>
                <w:color w:val="auto"/>
                <w:spacing w:val="0"/>
                <w:position w:val="0"/>
                <w:sz w:val="19"/>
                <w:szCs w:val="19"/>
                <w:lang w:eastAsia="zh-CN"/>
                <w:highlight w:val="none"/>
              </w:rPr>
              <w:t>“</w:t>
            </w:r>
            <w:r>
              <w:rPr>
                <w:rFonts w:ascii="宋体" w:eastAsia="宋体" w:cs="宋体" w:hAnsi="宋体" w:hint="eastAsia"/>
                <w:color w:val="auto"/>
                <w:spacing w:val="0"/>
                <w:position w:val="0"/>
                <w:sz w:val="19"/>
                <w:szCs w:val="19"/>
                <w:highlight w:val="none"/>
              </w:rPr>
              <w:t>高出周围</w:t>
            </w:r>
            <w:r>
              <w:rPr>
                <w:rFonts w:ascii="Times New Roman" w:cs="Times New Roman" w:hAnsi="Times New Roman"/>
                <w:color w:val="auto"/>
                <w:spacing w:val="0"/>
                <w:position w:val="0"/>
                <w:sz w:val="19"/>
                <w:szCs w:val="19"/>
                <w:highlight w:val="none"/>
              </w:rPr>
              <w:t>200 m</w:t>
            </w:r>
            <w:r>
              <w:rPr>
                <w:rFonts w:ascii="宋体" w:eastAsia="宋体" w:cs="宋体" w:hAnsi="宋体" w:hint="eastAsia"/>
                <w:color w:val="auto"/>
                <w:spacing w:val="0"/>
                <w:position w:val="0"/>
                <w:sz w:val="19"/>
                <w:szCs w:val="19"/>
                <w:highlight w:val="none"/>
              </w:rPr>
              <w:t>半径范围的建筑</w:t>
            </w:r>
            <w:r>
              <w:rPr>
                <w:rFonts w:ascii="Times New Roman" w:cs="Times New Roman" w:hAnsi="Times New Roman"/>
                <w:color w:val="auto"/>
                <w:spacing w:val="0"/>
                <w:position w:val="0"/>
                <w:sz w:val="19"/>
                <w:szCs w:val="19"/>
                <w:highlight w:val="none"/>
              </w:rPr>
              <w:t>5 m</w:t>
            </w:r>
            <w:r>
              <w:rPr>
                <w:rFonts w:ascii="宋体" w:eastAsia="宋体" w:cs="宋体" w:hAnsi="宋体" w:hint="eastAsia"/>
                <w:color w:val="auto"/>
                <w:spacing w:val="0"/>
                <w:position w:val="0"/>
                <w:sz w:val="19"/>
                <w:szCs w:val="19"/>
                <w:highlight w:val="none"/>
              </w:rPr>
              <w:t>以上</w:t>
            </w:r>
            <w:r>
              <w:rPr>
                <w:rFonts w:cs="宋体" w:hint="eastAsia"/>
                <w:color w:val="auto"/>
                <w:spacing w:val="0"/>
                <w:position w:val="0"/>
                <w:sz w:val="19"/>
                <w:szCs w:val="19"/>
                <w:lang w:eastAsia="zh-CN"/>
                <w:highlight w:val="none"/>
              </w:rPr>
              <w:t>”，最高建筑物高</w:t>
            </w:r>
            <w:r>
              <w:rPr>
                <w:rFonts w:ascii="Times New Roman" w:cs="Times New Roman" w:hAnsi="Times New Roman"/>
                <w:color w:val="auto"/>
                <w:spacing w:val="0"/>
                <w:position w:val="0"/>
                <w:sz w:val="19"/>
                <w:szCs w:val="19"/>
                <w:lang w:eastAsia="zh-CN"/>
                <w:highlight w:val="none"/>
              </w:rPr>
              <w:t>度约</w:t>
            </w:r>
            <w:r>
              <w:rPr>
                <w:rFonts w:ascii="Times New Roman" w:cs="Times New Roman" w:hAnsi="Times New Roman" w:hint="eastAsia"/>
                <w:color w:val="auto"/>
                <w:spacing w:val="0"/>
                <w:position w:val="0"/>
                <w:sz w:val="19"/>
                <w:szCs w:val="19"/>
                <w:lang w:val="en-US" w:eastAsia="zh-CN"/>
                <w:highlight w:val="none"/>
              </w:rPr>
              <w:t>24</w:t>
            </w:r>
            <w:r>
              <w:rPr>
                <w:rFonts w:ascii="Times New Roman" w:cs="Times New Roman" w:hAnsi="Times New Roman"/>
                <w:color w:val="auto"/>
                <w:spacing w:val="0"/>
                <w:position w:val="0"/>
                <w:sz w:val="19"/>
                <w:szCs w:val="19"/>
                <w:lang w:val="en-US" w:eastAsia="zh-CN"/>
                <w:highlight w:val="none"/>
              </w:rPr>
              <w:t>m</w:t>
            </w:r>
            <w:r>
              <w:rPr>
                <w:rFonts w:ascii="Times New Roman" w:eastAsia="宋体" w:cs="Times New Roman" w:hAnsi="Times New Roman"/>
                <w:color w:val="auto"/>
                <w:spacing w:val="0"/>
                <w:position w:val="0"/>
                <w:sz w:val="19"/>
                <w:szCs w:val="19"/>
                <w:highlight w:val="none"/>
              </w:rPr>
              <w:t>，</w:t>
            </w:r>
            <w:r>
              <w:rPr>
                <w:rFonts w:ascii="Times New Roman" w:eastAsia="宋体" w:cs="Times New Roman" w:hAnsi="Times New Roman"/>
                <w:color w:val="auto"/>
                <w:spacing w:val="0"/>
                <w:position w:val="0"/>
                <w:sz w:val="19"/>
                <w:szCs w:val="19"/>
                <w:lang w:eastAsia="zh-CN"/>
                <w:highlight w:val="none"/>
              </w:rPr>
              <w:t>因此</w:t>
            </w:r>
            <w:r>
              <w:rPr>
                <w:rFonts w:ascii="Times New Roman" w:eastAsia="宋体" w:cs="Times New Roman" w:hAnsi="Times New Roman"/>
                <w:color w:val="auto"/>
                <w:spacing w:val="0"/>
                <w:position w:val="0"/>
                <w:sz w:val="19"/>
                <w:szCs w:val="19"/>
                <w:highlight w:val="none"/>
              </w:rPr>
              <w:t>按其高度对应的表列排放速率标准值严格</w:t>
            </w:r>
            <w:r>
              <w:rPr>
                <w:rFonts w:ascii="Times New Roman" w:cs="Times New Roman" w:hAnsi="Times New Roman"/>
                <w:color w:val="auto"/>
                <w:spacing w:val="0"/>
                <w:position w:val="0"/>
                <w:sz w:val="19"/>
                <w:szCs w:val="19"/>
                <w:highlight w:val="none"/>
              </w:rPr>
              <w:t>50%</w:t>
            </w:r>
            <w:r>
              <w:rPr>
                <w:rFonts w:ascii="Times New Roman" w:eastAsia="宋体" w:cs="Times New Roman" w:hAnsi="Times New Roman"/>
                <w:color w:val="auto"/>
                <w:spacing w:val="0"/>
                <w:position w:val="0"/>
                <w:sz w:val="19"/>
                <w:szCs w:val="19"/>
                <w:highlight w:val="none"/>
              </w:rPr>
              <w:t>执行</w:t>
            </w:r>
            <w:r>
              <w:rPr>
                <w:rFonts w:ascii="Times New Roman" w:cs="Times New Roman" w:hAnsi="Times New Roman"/>
                <w:color w:val="auto"/>
                <w:spacing w:val="0"/>
                <w:position w:val="0"/>
                <w:sz w:val="19"/>
                <w:szCs w:val="19"/>
                <w:lang w:eastAsia="zh-CN"/>
                <w:highlight w:val="none"/>
              </w:rPr>
              <w:t>，严格后为0.75kg/h</w:t>
            </w:r>
            <w:r>
              <w:rPr>
                <w:rFonts w:ascii="Times New Roman" w:eastAsia="宋体" w:cs="Times New Roman" w:hAnsi="Times New Roman"/>
                <w:color w:val="auto"/>
                <w:spacing w:val="0"/>
                <w:position w:val="0"/>
                <w:sz w:val="19"/>
                <w:szCs w:val="19"/>
                <w:lang w:eastAsia="zh-CN"/>
                <w:highlight w:val="none"/>
              </w:rPr>
              <w:t>。</w:t>
            </w:r>
          </w:p>
          <w:p>
            <w:pPr>
              <w:pStyle w:val="56"/>
              <w:keepNext w:val="0"/>
              <w:keepLines w:val="0"/>
              <w:pageBreakBefore w:val="0"/>
              <w:widowControl w:val="0"/>
              <w:kinsoku/>
              <w:wordWrap/>
              <w:overflowPunct/>
              <w:topLinePunct w:val="0"/>
              <w:autoSpaceDE/>
              <w:autoSpaceDN/>
              <w:bidi w:val="0"/>
              <w:adjustRightInd w:val="0"/>
              <w:snapToGrid/>
              <w:rPr>
                <w:rFonts w:ascii="Times New Roman" w:eastAsia="宋体" w:cs="Times New Roman" w:hAnsi="Times New Roman" w:hint="eastAsia"/>
                <w:b/>
                <w:bCs/>
                <w:color w:val="auto"/>
                <w:lang w:val="en-US" w:eastAsia="zh-CN"/>
                <w:highlight w:val="none"/>
              </w:rPr>
            </w:pPr>
            <w:r>
              <w:rPr>
                <w:rFonts w:cs="Times New Roman" w:hint="eastAsia"/>
                <w:b/>
                <w:bCs/>
                <w:color w:val="auto"/>
                <w:lang w:val="en-US" w:eastAsia="zh-CN"/>
                <w:highlight w:val="none"/>
              </w:rPr>
              <w:t>2</w:t>
            </w:r>
            <w:r>
              <w:rPr>
                <w:rFonts w:ascii="Times New Roman" w:eastAsia="宋体" w:cs="Times New Roman" w:hAnsi="Times New Roman" w:hint="eastAsia"/>
                <w:b/>
                <w:bCs/>
                <w:color w:val="auto"/>
                <w:lang w:val="en-US" w:eastAsia="zh-CN"/>
                <w:highlight w:val="none"/>
              </w:rPr>
              <w:t>、噪声</w:t>
            </w:r>
          </w:p>
          <w:p>
            <w:pPr>
              <w:adjustRightInd w:val="0"/>
              <w:spacing w:line="460" w:lineRule="exact"/>
              <w:ind w:firstLineChars="200" w:firstLine="480"/>
              <w:rPr>
                <w:rFonts w:eastAsia="宋体" w:hint="eastAsia"/>
                <w:color w:val="auto"/>
                <w:sz w:val="24"/>
                <w:lang w:eastAsia="zh-CN"/>
                <w:highlight w:val="none"/>
              </w:rPr>
            </w:pPr>
            <w:r>
              <w:rPr>
                <w:rFonts w:hint="eastAsia"/>
                <w:color w:val="auto"/>
                <w:sz w:val="24"/>
                <w:highlight w:val="none"/>
              </w:rPr>
              <w:t>（1）施工期：</w:t>
            </w:r>
            <w:r>
              <w:rPr>
                <w:rFonts w:hint="eastAsia"/>
                <w:color w:val="auto"/>
                <w:sz w:val="24"/>
                <w:lang w:eastAsia="zh-CN"/>
                <w:highlight w:val="none"/>
              </w:rPr>
              <w:t>施工噪声执行《建筑施工噪声排放标准》（GB 12523-2025）中标准要求；</w:t>
            </w:r>
          </w:p>
          <w:p>
            <w:pPr>
              <w:adjustRightInd w:val="0"/>
              <w:spacing w:line="460" w:lineRule="exact"/>
              <w:ind w:firstLineChars="200" w:firstLine="480"/>
              <w:rPr>
                <w:color w:val="auto"/>
                <w:sz w:val="24"/>
                <w:highlight w:val="none"/>
              </w:rPr>
            </w:pPr>
            <w:r>
              <w:rPr>
                <w:rFonts w:hint="eastAsia"/>
                <w:color w:val="auto"/>
                <w:sz w:val="24"/>
                <w:highlight w:val="none"/>
              </w:rPr>
              <w:t>（2）运营期：运营期厂界噪声排放执行《工业企业厂界环境噪声排放标准》（GB12348-2008）3类标准要求。</w:t>
            </w:r>
          </w:p>
          <w:p>
            <w:pPr>
              <w:adjustRightInd w:val="0"/>
              <w:spacing w:line="460" w:lineRule="exact"/>
              <w:ind w:firstLineChars="200" w:firstLine="480"/>
              <w:rPr>
                <w:color w:val="auto"/>
                <w:sz w:val="24"/>
                <w:highlight w:val="none"/>
              </w:rPr>
            </w:pPr>
            <w:r>
              <w:rPr>
                <w:rFonts w:hint="eastAsia"/>
                <w:color w:val="auto"/>
                <w:sz w:val="24"/>
                <w:highlight w:val="none"/>
              </w:rPr>
              <w:t>噪声</w:t>
            </w:r>
            <w:r>
              <w:rPr>
                <w:rFonts w:hint="eastAsia"/>
                <w:color w:val="auto"/>
                <w:sz w:val="24"/>
                <w:lang w:val="zh-CN"/>
                <w:highlight w:val="none"/>
              </w:rPr>
              <w:t>排放标准一览表见表</w:t>
            </w:r>
            <w:r>
              <w:rPr>
                <w:rFonts w:hint="eastAsia"/>
                <w:color w:val="auto"/>
                <w:sz w:val="24"/>
                <w:highlight w:val="none"/>
              </w:rPr>
              <w:t>3-</w:t>
            </w:r>
            <w:r>
              <w:rPr>
                <w:rFonts w:hint="eastAsia"/>
                <w:color w:val="auto"/>
                <w:sz w:val="24"/>
                <w:lang w:val="en-US" w:eastAsia="zh-CN"/>
                <w:highlight w:val="none"/>
              </w:rPr>
              <w:t>3</w:t>
            </w:r>
            <w:r>
              <w:rPr>
                <w:rFonts w:hint="eastAsia"/>
                <w:color w:val="auto"/>
                <w:sz w:val="24"/>
                <w:highlight w:val="none"/>
              </w:rPr>
              <w:t>。</w:t>
            </w:r>
          </w:p>
          <w:p>
            <w:pPr>
              <w:keepNext/>
              <w:overflowPunct w:val="0"/>
              <w:snapToGrid w:val="0"/>
              <w:jc w:val="center"/>
              <w:rPr>
                <w:b/>
                <w:color w:val="auto"/>
                <w:sz w:val="24"/>
                <w:highlight w:val="none"/>
              </w:rPr>
            </w:pPr>
            <w:r>
              <w:rPr>
                <w:b/>
                <w:color w:val="auto"/>
                <w:sz w:val="24"/>
                <w:highlight w:val="none"/>
              </w:rPr>
              <w:t>表3-</w:t>
            </w:r>
            <w:r>
              <w:rPr>
                <w:rFonts w:hint="eastAsia"/>
                <w:b/>
                <w:color w:val="auto"/>
                <w:sz w:val="24"/>
                <w:lang w:val="en-US" w:eastAsia="zh-CN"/>
                <w:highlight w:val="none"/>
              </w:rPr>
              <w:t>3</w:t>
            </w:r>
            <w:r>
              <w:rPr>
                <w:b/>
                <w:color w:val="auto"/>
                <w:sz w:val="24"/>
                <w:highlight w:val="none"/>
              </w:rPr>
              <w:t xml:space="preserve">  环境噪声排放标准   单位：dB（A）</w:t>
            </w:r>
          </w:p>
          <w:tbl>
            <w:tblPr>
              <w:jc w:val="center"/>
              <w:tblW w:w="4998" w:type="pct"/>
              <w:tblBorders>
                <w:top w:val="single" w:sz="12" w:space="0" w:color="auto"/>
                <w:left w:val="none" w:sz="0" w:space="0" w:color="auto"/>
                <w:bottom w:val="single" w:sz="12" w:space="0" w:color="auto"/>
                <w:right w:val="none" w:sz="0" w:space="0" w:color="auto"/>
                <w:insideH w:val="single" w:sz="4" w:space="0" w:color="auto"/>
                <w:insideV w:val="single" w:sz="4" w:space="0" w:color="auto"/>
              </w:tblBorders>
              <w:tblCellMar>
                <w:top w:w="0" w:type="dxa"/>
                <w:left w:w="0" w:type="dxa"/>
                <w:bottom w:w="0" w:type="dxa"/>
                <w:right w:w="0" w:type="dxa"/>
              </w:tblCellMar>
              <w:tblLook w:val="0600" w:firstRow="0" w:lastRow="0" w:firstColumn="0" w:lastColumn="0" w:noHBand="1" w:noVBand="1"/>
            </w:tblPr>
            <w:tblGrid>
              <w:gridCol w:w="1147"/>
              <w:gridCol w:w="1623"/>
              <w:gridCol w:w="900"/>
              <w:gridCol w:w="772"/>
              <w:gridCol w:w="4076"/>
            </w:tblGrid>
            <w:tr>
              <w:trPr>
                <w:trHeight w:val="397"/>
              </w:trPr>
              <w:tc>
                <w:tcPr>
                  <w:tcW w:w="673" w:type="pct"/>
                  <w:tcBorders>
                    <w:tl2br w:val="nil"/>
                    <w:tr2bl w:val="nil"/>
                  </w:tcBorders>
                  <w:vAlign w:val="center"/>
                </w:tcPr>
                <w:p>
                  <w:pPr>
                    <w:adjustRightInd w:val="0"/>
                    <w:snapToGrid w:val="0"/>
                    <w:jc w:val="center"/>
                    <w:rPr>
                      <w:b/>
                      <w:bCs/>
                      <w:color w:val="auto"/>
                      <w:szCs w:val="21"/>
                      <w:lang w:val="zh-CN"/>
                      <w:highlight w:val="none"/>
                    </w:rPr>
                  </w:pPr>
                  <w:r>
                    <w:rPr>
                      <w:rFonts w:hint="eastAsia"/>
                      <w:b/>
                      <w:bCs/>
                      <w:color w:val="auto"/>
                      <w:szCs w:val="21"/>
                      <w:lang w:val="zh-CN"/>
                      <w:highlight w:val="none"/>
                    </w:rPr>
                    <w:t>类别</w:t>
                  </w:r>
                </w:p>
              </w:tc>
              <w:tc>
                <w:tcPr>
                  <w:tcW w:w="952" w:type="pct"/>
                  <w:tcBorders>
                    <w:tl2br w:val="nil"/>
                    <w:tr2bl w:val="nil"/>
                  </w:tcBorders>
                  <w:vAlign w:val="center"/>
                </w:tcPr>
                <w:p>
                  <w:pPr>
                    <w:adjustRightInd w:val="0"/>
                    <w:snapToGrid w:val="0"/>
                    <w:jc w:val="center"/>
                    <w:rPr>
                      <w:b/>
                      <w:bCs/>
                      <w:color w:val="auto"/>
                      <w:szCs w:val="21"/>
                      <w:lang w:val="zh-CN"/>
                      <w:highlight w:val="none"/>
                    </w:rPr>
                  </w:pPr>
                  <w:r>
                    <w:rPr>
                      <w:rFonts w:hint="eastAsia"/>
                      <w:b/>
                      <w:bCs/>
                      <w:color w:val="auto"/>
                      <w:szCs w:val="21"/>
                      <w:lang w:val="zh-CN"/>
                      <w:highlight w:val="none"/>
                    </w:rPr>
                    <w:t>污染物</w:t>
                  </w:r>
                </w:p>
              </w:tc>
              <w:tc>
                <w:tcPr>
                  <w:tcW w:w="528" w:type="pct"/>
                  <w:tcBorders>
                    <w:tl2br w:val="nil"/>
                    <w:tr2bl w:val="nil"/>
                  </w:tcBorders>
                  <w:vAlign w:val="center"/>
                </w:tcPr>
                <w:p>
                  <w:pPr>
                    <w:adjustRightInd w:val="0"/>
                    <w:snapToGrid w:val="0"/>
                    <w:jc w:val="center"/>
                    <w:rPr>
                      <w:b/>
                      <w:bCs/>
                      <w:color w:val="auto"/>
                      <w:szCs w:val="21"/>
                      <w:lang w:val="zh-CN"/>
                      <w:highlight w:val="none"/>
                    </w:rPr>
                  </w:pPr>
                  <w:r>
                    <w:rPr>
                      <w:rFonts w:hint="eastAsia"/>
                      <w:b/>
                      <w:bCs/>
                      <w:color w:val="auto"/>
                      <w:szCs w:val="21"/>
                      <w:lang w:val="zh-CN"/>
                      <w:highlight w:val="none"/>
                    </w:rPr>
                    <w:t>昼间</w:t>
                  </w:r>
                </w:p>
              </w:tc>
              <w:tc>
                <w:tcPr>
                  <w:tcW w:w="453" w:type="pct"/>
                  <w:tcBorders>
                    <w:tl2br w:val="nil"/>
                    <w:tr2bl w:val="nil"/>
                  </w:tcBorders>
                  <w:vAlign w:val="center"/>
                </w:tcPr>
                <w:p>
                  <w:pPr>
                    <w:adjustRightInd w:val="0"/>
                    <w:snapToGrid w:val="0"/>
                    <w:jc w:val="center"/>
                    <w:rPr>
                      <w:b/>
                      <w:bCs/>
                      <w:color w:val="auto"/>
                      <w:szCs w:val="21"/>
                      <w:lang w:val="zh-CN"/>
                      <w:highlight w:val="none"/>
                    </w:rPr>
                  </w:pPr>
                  <w:r>
                    <w:rPr>
                      <w:rFonts w:hint="eastAsia"/>
                      <w:b/>
                      <w:bCs/>
                      <w:color w:val="auto"/>
                      <w:szCs w:val="21"/>
                      <w:lang w:val="zh-CN"/>
                      <w:highlight w:val="none"/>
                    </w:rPr>
                    <w:t>夜间</w:t>
                  </w:r>
                </w:p>
              </w:tc>
              <w:tc>
                <w:tcPr>
                  <w:tcW w:w="2391" w:type="pct"/>
                  <w:tcBorders>
                    <w:tl2br w:val="nil"/>
                    <w:tr2bl w:val="nil"/>
                  </w:tcBorders>
                  <w:vAlign w:val="center"/>
                </w:tcPr>
                <w:p>
                  <w:pPr>
                    <w:adjustRightInd w:val="0"/>
                    <w:snapToGrid w:val="0"/>
                    <w:jc w:val="center"/>
                    <w:rPr>
                      <w:b/>
                      <w:bCs/>
                      <w:color w:val="auto"/>
                      <w:szCs w:val="21"/>
                      <w:lang w:val="zh-CN"/>
                      <w:highlight w:val="none"/>
                    </w:rPr>
                  </w:pPr>
                  <w:r>
                    <w:rPr>
                      <w:rFonts w:hint="eastAsia"/>
                      <w:b/>
                      <w:bCs/>
                      <w:color w:val="auto"/>
                      <w:szCs w:val="21"/>
                      <w:lang w:val="zh-CN"/>
                      <w:highlight w:val="none"/>
                    </w:rPr>
                    <w:t>标准来源</w:t>
                  </w:r>
                </w:p>
              </w:tc>
            </w:tr>
            <w:tr>
              <w:trPr>
                <w:trHeight w:val="397"/>
              </w:trPr>
              <w:tc>
                <w:tcPr>
                  <w:tcW w:w="673" w:type="pct"/>
                  <w:tcBorders>
                    <w:tl2br w:val="nil"/>
                    <w:tr2bl w:val="nil"/>
                  </w:tcBorders>
                  <w:vAlign w:val="center"/>
                </w:tcPr>
                <w:p>
                  <w:pPr>
                    <w:jc w:val="center"/>
                    <w:rPr>
                      <w:color w:val="auto"/>
                      <w:szCs w:val="21"/>
                      <w:lang w:val="en-GB"/>
                      <w:highlight w:val="none"/>
                    </w:rPr>
                  </w:pPr>
                  <w:r>
                    <w:rPr>
                      <w:rFonts w:hint="eastAsia"/>
                      <w:color w:val="auto"/>
                      <w:szCs w:val="21"/>
                      <w:lang w:val="en-GB"/>
                      <w:highlight w:val="none"/>
                    </w:rPr>
                    <w:t>施工期</w:t>
                  </w:r>
                </w:p>
              </w:tc>
              <w:tc>
                <w:tcPr>
                  <w:tcW w:w="952" w:type="pct"/>
                  <w:vMerge w:val="restart"/>
                  <w:tcBorders>
                    <w:tl2br w:val="nil"/>
                    <w:tr2bl w:val="nil"/>
                  </w:tcBorders>
                  <w:vAlign w:val="center"/>
                </w:tcPr>
                <w:p>
                  <w:pPr>
                    <w:jc w:val="center"/>
                    <w:rPr>
                      <w:color w:val="auto"/>
                      <w:szCs w:val="21"/>
                      <w:lang w:val="en-GB"/>
                      <w:highlight w:val="none"/>
                    </w:rPr>
                  </w:pPr>
                  <w:r>
                    <w:rPr>
                      <w:rFonts w:hint="eastAsia"/>
                      <w:color w:val="auto"/>
                      <w:szCs w:val="21"/>
                      <w:lang w:val="en-GB"/>
                      <w:highlight w:val="none"/>
                    </w:rPr>
                    <w:t>等效连续A声级Leq（A）</w:t>
                  </w:r>
                </w:p>
              </w:tc>
              <w:tc>
                <w:tcPr>
                  <w:tcW w:w="528" w:type="pct"/>
                  <w:tcBorders>
                    <w:tl2br w:val="nil"/>
                    <w:tr2bl w:val="nil"/>
                  </w:tcBorders>
                  <w:vAlign w:val="center"/>
                </w:tcPr>
                <w:p>
                  <w:pPr>
                    <w:jc w:val="center"/>
                    <w:rPr>
                      <w:color w:val="auto"/>
                      <w:szCs w:val="21"/>
                      <w:lang w:val="en-GB"/>
                      <w:highlight w:val="none"/>
                    </w:rPr>
                  </w:pPr>
                  <w:r>
                    <w:rPr>
                      <w:rFonts w:hint="eastAsia"/>
                      <w:color w:val="auto"/>
                      <w:szCs w:val="21"/>
                      <w:lang w:val="en-GB"/>
                      <w:highlight w:val="none"/>
                    </w:rPr>
                    <w:t>70</w:t>
                  </w:r>
                </w:p>
              </w:tc>
              <w:tc>
                <w:tcPr>
                  <w:tcW w:w="453" w:type="pct"/>
                  <w:tcBorders>
                    <w:tl2br w:val="nil"/>
                    <w:tr2bl w:val="nil"/>
                  </w:tcBorders>
                  <w:vAlign w:val="center"/>
                </w:tcPr>
                <w:p>
                  <w:pPr>
                    <w:jc w:val="center"/>
                    <w:rPr>
                      <w:color w:val="auto"/>
                      <w:szCs w:val="21"/>
                      <w:lang w:val="en-GB"/>
                      <w:highlight w:val="none"/>
                    </w:rPr>
                  </w:pPr>
                  <w:r>
                    <w:rPr>
                      <w:rFonts w:hint="eastAsia"/>
                      <w:color w:val="auto"/>
                      <w:szCs w:val="21"/>
                      <w:lang w:val="en-GB"/>
                      <w:highlight w:val="none"/>
                    </w:rPr>
                    <w:t>55</w:t>
                  </w:r>
                </w:p>
              </w:tc>
              <w:tc>
                <w:tcPr>
                  <w:tcW w:w="2391" w:type="pct"/>
                  <w:tcBorders>
                    <w:tl2br w:val="nil"/>
                    <w:tr2bl w:val="nil"/>
                  </w:tcBorders>
                  <w:vAlign w:val="center"/>
                </w:tcPr>
                <w:p>
                  <w:pPr>
                    <w:jc w:val="center"/>
                    <w:rPr>
                      <w:color w:val="auto"/>
                      <w:szCs w:val="21"/>
                      <w:lang w:val="zh-CN"/>
                      <w:highlight w:val="none"/>
                    </w:rPr>
                  </w:pPr>
                  <w:r>
                    <w:rPr>
                      <w:rFonts w:hint="eastAsia"/>
                      <w:color w:val="auto"/>
                      <w:szCs w:val="21"/>
                      <w:lang w:val="en-GB"/>
                      <w:highlight w:val="none"/>
                    </w:rPr>
                    <w:t>《建筑施工噪声排放标准》（GB 12523-2025）中的相关标准</w:t>
                  </w:r>
                </w:p>
              </w:tc>
            </w:tr>
            <w:tr>
              <w:trPr>
                <w:trHeight w:val="397"/>
              </w:trPr>
              <w:tc>
                <w:tcPr>
                  <w:tcW w:w="673" w:type="pct"/>
                  <w:vMerge w:val="restart"/>
                  <w:tcBorders>
                    <w:tl2br w:val="nil"/>
                    <w:tr2bl w:val="nil"/>
                  </w:tcBorders>
                  <w:vAlign w:val="center"/>
                </w:tcPr>
                <w:p>
                  <w:pPr>
                    <w:jc w:val="center"/>
                    <w:rPr>
                      <w:color w:val="auto"/>
                      <w:szCs w:val="21"/>
                      <w:lang w:val="en-GB"/>
                      <w:highlight w:val="none"/>
                    </w:rPr>
                  </w:pPr>
                  <w:r>
                    <w:rPr>
                      <w:rFonts w:hint="eastAsia"/>
                      <w:color w:val="auto"/>
                      <w:szCs w:val="21"/>
                      <w:lang w:val="en-GB"/>
                      <w:highlight w:val="none"/>
                    </w:rPr>
                    <w:t>运营期</w:t>
                  </w:r>
                </w:p>
              </w:tc>
              <w:tc>
                <w:tcPr>
                  <w:tcW w:w="952" w:type="pct"/>
                  <w:vMerge/>
                  <w:tcBorders>
                    <w:tl2br w:val="nil"/>
                    <w:tr2bl w:val="nil"/>
                  </w:tcBorders>
                  <w:vAlign w:val="center"/>
                </w:tcPr>
                <w:p/>
              </w:tc>
              <w:tc>
                <w:tcPr>
                  <w:tcW w:w="528" w:type="pct"/>
                  <w:tcBorders>
                    <w:tl2br w:val="nil"/>
                    <w:tr2bl w:val="nil"/>
                  </w:tcBorders>
                  <w:vAlign w:val="center"/>
                </w:tcPr>
                <w:p>
                  <w:pPr>
                    <w:jc w:val="center"/>
                    <w:rPr>
                      <w:color w:val="auto"/>
                      <w:szCs w:val="21"/>
                      <w:highlight w:val="none"/>
                    </w:rPr>
                  </w:pPr>
                  <w:r>
                    <w:rPr>
                      <w:rFonts w:hint="eastAsia"/>
                      <w:color w:val="auto"/>
                      <w:szCs w:val="21"/>
                      <w:highlight w:val="none"/>
                    </w:rPr>
                    <w:t>65</w:t>
                  </w:r>
                </w:p>
              </w:tc>
              <w:tc>
                <w:tcPr>
                  <w:tcW w:w="453" w:type="pct"/>
                  <w:tcBorders>
                    <w:tl2br w:val="nil"/>
                    <w:tr2bl w:val="nil"/>
                  </w:tcBorders>
                  <w:vAlign w:val="center"/>
                </w:tcPr>
                <w:p>
                  <w:pPr>
                    <w:jc w:val="center"/>
                    <w:rPr>
                      <w:color w:val="auto"/>
                      <w:szCs w:val="21"/>
                      <w:highlight w:val="none"/>
                    </w:rPr>
                  </w:pPr>
                  <w:r>
                    <w:rPr>
                      <w:rFonts w:hint="eastAsia"/>
                      <w:color w:val="auto"/>
                      <w:szCs w:val="21"/>
                      <w:highlight w:val="none"/>
                    </w:rPr>
                    <w:t>55</w:t>
                  </w:r>
                </w:p>
              </w:tc>
              <w:tc>
                <w:tcPr>
                  <w:tcW w:w="2391" w:type="pct"/>
                  <w:vMerge w:val="restart"/>
                  <w:tcBorders>
                    <w:tl2br w:val="nil"/>
                    <w:tr2bl w:val="nil"/>
                  </w:tcBorders>
                  <w:vAlign w:val="center"/>
                </w:tcPr>
                <w:p>
                  <w:pPr>
                    <w:jc w:val="center"/>
                    <w:rPr>
                      <w:color w:val="auto"/>
                      <w:szCs w:val="21"/>
                      <w:lang w:val="zh-CN"/>
                      <w:highlight w:val="none"/>
                    </w:rPr>
                  </w:pPr>
                  <w:r>
                    <w:rPr>
                      <w:rFonts w:hint="eastAsia"/>
                      <w:color w:val="auto"/>
                      <w:szCs w:val="21"/>
                      <w:lang w:val="zh-CN"/>
                      <w:highlight w:val="none"/>
                    </w:rPr>
                    <w:t>《工业企业厂界环境噪声排放标准》（GB12348-2008）</w:t>
                  </w:r>
                  <w:r>
                    <w:rPr>
                      <w:rFonts w:hint="eastAsia"/>
                      <w:color w:val="auto"/>
                      <w:szCs w:val="21"/>
                      <w:highlight w:val="none"/>
                    </w:rPr>
                    <w:t>3</w:t>
                  </w:r>
                  <w:r>
                    <w:rPr>
                      <w:rFonts w:hint="eastAsia"/>
                      <w:color w:val="auto"/>
                      <w:szCs w:val="21"/>
                      <w:lang w:val="zh-CN"/>
                      <w:highlight w:val="none"/>
                    </w:rPr>
                    <w:t>类标准</w:t>
                  </w:r>
                </w:p>
              </w:tc>
            </w:tr>
            <w:tr>
              <w:trPr>
                <w:trHeight w:val="397"/>
              </w:trPr>
              <w:tc>
                <w:tcPr>
                  <w:tcW w:w="673" w:type="pct"/>
                  <w:vMerge/>
                  <w:tcBorders>
                    <w:tl2br w:val="nil"/>
                    <w:tr2bl w:val="nil"/>
                  </w:tcBorders>
                  <w:vAlign w:val="center"/>
                </w:tcPr>
                <w:p/>
              </w:tc>
              <w:tc>
                <w:tcPr>
                  <w:tcW w:w="952" w:type="pct"/>
                  <w:tcBorders>
                    <w:tl2br w:val="nil"/>
                    <w:tr2bl w:val="nil"/>
                  </w:tcBorders>
                  <w:vAlign w:val="center"/>
                </w:tcPr>
                <w:p>
                  <w:pPr>
                    <w:jc w:val="center"/>
                    <w:rPr>
                      <w:rFonts w:eastAsia="宋体" w:hint="eastAsia"/>
                      <w:color w:val="auto"/>
                      <w:szCs w:val="21"/>
                      <w:lang w:val="en-GB" w:eastAsia="zh-CN"/>
                      <w:highlight w:val="none"/>
                    </w:rPr>
                  </w:pPr>
                  <w:r>
                    <w:rPr>
                      <w:rFonts w:hint="eastAsia"/>
                      <w:color w:val="auto"/>
                      <w:szCs w:val="21"/>
                      <w:lang w:val="en-GB" w:eastAsia="zh-CN"/>
                      <w:highlight w:val="none"/>
                    </w:rPr>
                    <w:t>频发最大声级</w:t>
                  </w:r>
                </w:p>
              </w:tc>
              <w:tc>
                <w:tcPr>
                  <w:tcW w:w="528" w:type="pct"/>
                  <w:tcBorders>
                    <w:tl2br w:val="nil"/>
                    <w:tr2bl w:val="nil"/>
                  </w:tcBorders>
                  <w:vAlign w:val="center"/>
                </w:tcPr>
                <w:p>
                  <w:pPr>
                    <w:jc w:val="center"/>
                    <w:rPr>
                      <w:rFonts w:eastAsia="宋体"/>
                      <w:color w:val="auto"/>
                      <w:szCs w:val="21"/>
                      <w:lang w:val="en-US" w:eastAsia="zh-CN"/>
                      <w:highlight w:val="none"/>
                    </w:rPr>
                  </w:pPr>
                  <w:r>
                    <w:rPr>
                      <w:rFonts w:hint="eastAsia"/>
                      <w:color w:val="auto"/>
                      <w:szCs w:val="21"/>
                      <w:lang w:val="en-US" w:eastAsia="zh-CN"/>
                      <w:highlight w:val="none"/>
                    </w:rPr>
                    <w:t>/</w:t>
                  </w:r>
                </w:p>
              </w:tc>
              <w:tc>
                <w:tcPr>
                  <w:tcW w:w="453" w:type="pct"/>
                  <w:tcBorders>
                    <w:tl2br w:val="nil"/>
                    <w:tr2bl w:val="nil"/>
                  </w:tcBorders>
                  <w:vAlign w:val="center"/>
                </w:tcPr>
                <w:p>
                  <w:pPr>
                    <w:jc w:val="center"/>
                    <w:rPr>
                      <w:rFonts w:eastAsia="宋体"/>
                      <w:color w:val="auto"/>
                      <w:szCs w:val="21"/>
                      <w:lang w:val="en-US" w:eastAsia="zh-CN"/>
                      <w:highlight w:val="none"/>
                    </w:rPr>
                  </w:pPr>
                  <w:r>
                    <w:rPr>
                      <w:rFonts w:hint="eastAsia"/>
                      <w:color w:val="auto"/>
                      <w:szCs w:val="21"/>
                      <w:lang w:val="en-US" w:eastAsia="zh-CN"/>
                      <w:highlight w:val="none"/>
                    </w:rPr>
                    <w:t>65</w:t>
                  </w:r>
                </w:p>
              </w:tc>
              <w:tc>
                <w:tcPr>
                  <w:tcW w:w="2391" w:type="pct"/>
                  <w:vMerge/>
                  <w:tcBorders>
                    <w:tl2br w:val="nil"/>
                    <w:tr2bl w:val="nil"/>
                  </w:tcBorders>
                  <w:vAlign w:val="center"/>
                </w:tcPr>
                <w:p/>
              </w:tc>
            </w:tr>
            <w:tr>
              <w:trPr>
                <w:trHeight w:val="397"/>
              </w:trPr>
              <w:tc>
                <w:tcPr>
                  <w:tcW w:w="673" w:type="pct"/>
                  <w:vMerge/>
                  <w:tcBorders>
                    <w:tl2br w:val="nil"/>
                    <w:tr2bl w:val="nil"/>
                  </w:tcBorders>
                  <w:vAlign w:val="center"/>
                </w:tcPr>
                <w:p/>
              </w:tc>
              <w:tc>
                <w:tcPr>
                  <w:tcW w:w="952" w:type="pct"/>
                  <w:tcBorders>
                    <w:tl2br w:val="nil"/>
                    <w:tr2bl w:val="nil"/>
                  </w:tcBorders>
                  <w:vAlign w:val="center"/>
                </w:tcPr>
                <w:p>
                  <w:pPr>
                    <w:jc w:val="center"/>
                    <w:rPr>
                      <w:rFonts w:hint="eastAsia"/>
                      <w:color w:val="auto"/>
                      <w:szCs w:val="21"/>
                      <w:lang w:val="en-GB" w:eastAsia="zh-CN"/>
                      <w:highlight w:val="none"/>
                    </w:rPr>
                  </w:pPr>
                  <w:r>
                    <w:rPr>
                      <w:rFonts w:hint="eastAsia"/>
                      <w:color w:val="auto"/>
                      <w:szCs w:val="21"/>
                      <w:lang w:val="en-GB" w:eastAsia="zh-CN"/>
                      <w:highlight w:val="none"/>
                    </w:rPr>
                    <w:t>偶发最大声级</w:t>
                  </w:r>
                </w:p>
              </w:tc>
              <w:tc>
                <w:tcPr>
                  <w:tcW w:w="528" w:type="pct"/>
                  <w:tcBorders>
                    <w:tl2br w:val="nil"/>
                    <w:tr2bl w:val="nil"/>
                  </w:tcBorders>
                  <w:vAlign w:val="center"/>
                </w:tcPr>
                <w:p>
                  <w:pPr>
                    <w:jc w:val="center"/>
                    <w:rPr>
                      <w:rFonts w:eastAsia="宋体" w:hint="eastAsia"/>
                      <w:color w:val="auto"/>
                      <w:szCs w:val="21"/>
                      <w:lang w:val="en-US" w:eastAsia="zh-CN"/>
                      <w:highlight w:val="none"/>
                    </w:rPr>
                  </w:pPr>
                  <w:r>
                    <w:rPr>
                      <w:rFonts w:hint="eastAsia"/>
                      <w:color w:val="auto"/>
                      <w:szCs w:val="21"/>
                      <w:lang w:val="en-US" w:eastAsia="zh-CN"/>
                      <w:highlight w:val="none"/>
                    </w:rPr>
                    <w:t>/</w:t>
                  </w:r>
                </w:p>
              </w:tc>
              <w:tc>
                <w:tcPr>
                  <w:tcW w:w="453" w:type="pct"/>
                  <w:tcBorders>
                    <w:tl2br w:val="nil"/>
                    <w:tr2bl w:val="nil"/>
                  </w:tcBorders>
                  <w:vAlign w:val="center"/>
                </w:tcPr>
                <w:p>
                  <w:pPr>
                    <w:jc w:val="center"/>
                    <w:rPr>
                      <w:rFonts w:eastAsia="宋体"/>
                      <w:color w:val="auto"/>
                      <w:szCs w:val="21"/>
                      <w:lang w:val="en-US" w:eastAsia="zh-CN"/>
                      <w:highlight w:val="none"/>
                    </w:rPr>
                  </w:pPr>
                  <w:r>
                    <w:rPr>
                      <w:rFonts w:hint="eastAsia"/>
                      <w:color w:val="auto"/>
                      <w:szCs w:val="21"/>
                      <w:lang w:val="en-US" w:eastAsia="zh-CN"/>
                      <w:highlight w:val="none"/>
                    </w:rPr>
                    <w:t>70</w:t>
                  </w:r>
                </w:p>
              </w:tc>
              <w:tc>
                <w:tcPr>
                  <w:tcW w:w="2391" w:type="pct"/>
                  <w:vMerge/>
                  <w:tcBorders>
                    <w:tl2br w:val="nil"/>
                    <w:tr2bl w:val="nil"/>
                  </w:tcBorders>
                  <w:vAlign w:val="center"/>
                </w:tcPr>
                <w:p/>
              </w:tc>
            </w:tr>
          </w:tbl>
          <w:p>
            <w:pPr>
              <w:keepNext w:val="0"/>
              <w:keepLines w:val="0"/>
              <w:pageBreakBefore w:val="0"/>
              <w:widowControl w:val="0"/>
              <w:kinsoku/>
              <w:wordWrap/>
              <w:overflowPunct/>
              <w:topLinePunct w:val="0"/>
              <w:autoSpaceDE/>
              <w:autoSpaceDN/>
              <w:bidi w:val="0"/>
              <w:adjustRightInd w:val="0"/>
              <w:snapToGrid/>
              <w:spacing w:line="460" w:lineRule="exact"/>
              <w:ind w:firstLineChars="200" w:firstLine="480"/>
              <w:textAlignment w:val="auto"/>
              <w:rPr>
                <w:b/>
                <w:bCs/>
                <w:color w:val="auto"/>
                <w:sz w:val="24"/>
                <w:lang w:val="zh-CN"/>
                <w:highlight w:val="none"/>
              </w:rPr>
            </w:pPr>
            <w:r>
              <w:rPr>
                <w:rFonts w:hint="eastAsia"/>
                <w:b/>
                <w:bCs/>
                <w:color w:val="auto"/>
                <w:sz w:val="24"/>
                <w:lang w:val="en-US" w:eastAsia="zh-CN"/>
                <w:highlight w:val="none"/>
              </w:rPr>
              <w:t>3</w:t>
            </w:r>
            <w:r>
              <w:rPr>
                <w:rFonts w:hint="eastAsia"/>
                <w:b/>
                <w:bCs/>
                <w:color w:val="auto"/>
                <w:sz w:val="24"/>
                <w:lang w:val="zh-CN"/>
                <w:highlight w:val="none"/>
              </w:rPr>
              <w:t>、固体废物</w:t>
            </w:r>
          </w:p>
          <w:p>
            <w:pPr>
              <w:keepNext w:val="0"/>
              <w:keepLines w:val="0"/>
              <w:pageBreakBefore w:val="0"/>
              <w:widowControl w:val="0"/>
              <w:kinsoku/>
              <w:wordWrap/>
              <w:overflowPunct/>
              <w:topLinePunct w:val="0"/>
              <w:autoSpaceDE/>
              <w:autoSpaceDN/>
              <w:bidi w:val="0"/>
              <w:adjustRightInd w:val="0"/>
              <w:snapToGrid/>
              <w:spacing w:line="460" w:lineRule="exact"/>
              <w:ind w:firstLineChars="200" w:firstLine="480"/>
              <w:textAlignment w:val="auto"/>
              <w:rPr>
                <w:color w:val="auto"/>
                <w:sz w:val="24"/>
                <w:lang w:val="zh-CN"/>
                <w:highlight w:val="none"/>
              </w:rPr>
            </w:pPr>
            <w:r>
              <w:rPr>
                <w:color w:val="auto"/>
                <w:sz w:val="24"/>
                <w:lang w:val="zh-CN"/>
                <w:highlight w:val="none"/>
              </w:rPr>
              <w:t>一般工业固废执行</w:t>
            </w:r>
            <w:r>
              <w:rPr>
                <w:rFonts w:hint="eastAsia"/>
                <w:color w:val="auto"/>
                <w:sz w:val="24"/>
                <w:lang w:val="zh-CN"/>
                <w:highlight w:val="none"/>
              </w:rPr>
              <w:t>《一般工业固体废物贮存和填埋污染控制标准》（GB18599-2020）</w:t>
            </w:r>
            <w:r>
              <w:rPr>
                <w:color w:val="auto"/>
                <w:sz w:val="24"/>
                <w:lang w:val="zh-CN"/>
                <w:highlight w:val="none"/>
              </w:rPr>
              <w:t>。</w:t>
            </w:r>
          </w:p>
          <w:p>
            <w:pPr>
              <w:keepNext w:val="0"/>
              <w:keepLines w:val="0"/>
              <w:pageBreakBefore w:val="0"/>
              <w:widowControl w:val="0"/>
              <w:kinsoku/>
              <w:wordWrap/>
              <w:overflowPunct/>
              <w:topLinePunct w:val="0"/>
              <w:autoSpaceDE/>
              <w:autoSpaceDN/>
              <w:bidi w:val="0"/>
              <w:adjustRightInd w:val="0"/>
              <w:snapToGrid/>
              <w:spacing w:line="460" w:lineRule="exact"/>
              <w:ind w:firstLineChars="200" w:firstLine="480"/>
              <w:textAlignment w:val="auto"/>
              <w:rPr>
                <w:rFonts w:hint="eastAsia"/>
                <w:color w:val="auto"/>
                <w:sz w:val="24"/>
                <w:lang w:val="zh-CN"/>
                <w:highlight w:val="none"/>
              </w:rPr>
            </w:pPr>
            <w:r>
              <w:rPr>
                <w:rFonts w:ascii="Times New Roman" w:eastAsia="宋体" w:cs="Times New Roman" w:hAnsi="Times New Roman" w:hint="eastAsia"/>
                <w:color w:val="auto"/>
                <w:sz w:val="24"/>
                <w:lang w:val="zh-CN"/>
                <w:highlight w:val="none"/>
              </w:rPr>
              <w:t>危险废物</w:t>
            </w:r>
            <w:r>
              <w:rPr>
                <w:rFonts w:cs="Times New Roman" w:hint="eastAsia"/>
                <w:color w:val="auto"/>
                <w:sz w:val="24"/>
                <w:lang w:val="zh-CN"/>
                <w:highlight w:val="none"/>
              </w:rPr>
              <w:t>贮存过程</w:t>
            </w:r>
            <w:r>
              <w:rPr>
                <w:rFonts w:ascii="Times New Roman" w:eastAsia="宋体" w:cs="Times New Roman" w:hAnsi="Times New Roman" w:hint="eastAsia"/>
                <w:color w:val="auto"/>
                <w:sz w:val="24"/>
                <w:lang w:val="zh-CN"/>
                <w:highlight w:val="none"/>
              </w:rPr>
              <w:t>执行《危险废物贮存污染控制标准》（GB 18597-2023）</w:t>
            </w:r>
            <w:r>
              <w:rPr>
                <w:rFonts w:cs="Times New Roman" w:hint="eastAsia"/>
                <w:color w:val="auto"/>
                <w:sz w:val="24"/>
                <w:lang w:val="zh-CN"/>
                <w:highlight w:val="none"/>
              </w:rPr>
              <w:t>、</w:t>
            </w:r>
            <w:r>
              <w:rPr>
                <w:rFonts w:cs="Times New Roman" w:hint="eastAsia"/>
                <w:color w:val="auto"/>
                <w:kern w:val="2"/>
                <w:sz w:val="24"/>
                <w:szCs w:val="24"/>
                <w:lang w:val="en-US" w:eastAsia="zh-CN" w:bidi="ar-SA"/>
                <w:highlight w:val="none"/>
              </w:rPr>
              <w:t>《</w:t>
            </w:r>
            <w:r>
              <w:rPr>
                <w:rFonts w:ascii="Times New Roman" w:eastAsia="宋体" w:cs="Times New Roman" w:hAnsi="Times New Roman" w:hint="eastAsia"/>
                <w:color w:val="auto"/>
                <w:kern w:val="2"/>
                <w:sz w:val="24"/>
                <w:szCs w:val="24"/>
                <w:lang w:val="en-US" w:eastAsia="zh-CN" w:bidi="ar-SA"/>
                <w:highlight w:val="none"/>
              </w:rPr>
              <w:t>危险废物收集 贮存 运输技术规范</w:t>
            </w:r>
            <w:r>
              <w:rPr>
                <w:rFonts w:cs="Times New Roman" w:hint="eastAsia"/>
                <w:color w:val="auto"/>
                <w:kern w:val="2"/>
                <w:sz w:val="24"/>
                <w:szCs w:val="24"/>
                <w:lang w:val="en-US" w:eastAsia="zh-CN" w:bidi="ar-SA"/>
                <w:highlight w:val="none"/>
              </w:rPr>
              <w:t>》（</w:t>
            </w:r>
            <w:r>
              <w:rPr>
                <w:rFonts w:ascii="Times New Roman" w:eastAsia="宋体" w:cs="Times New Roman" w:hAnsi="Times New Roman" w:hint="eastAsia"/>
                <w:color w:val="auto"/>
                <w:kern w:val="2"/>
                <w:sz w:val="24"/>
                <w:szCs w:val="24"/>
                <w:lang w:val="en-US" w:eastAsia="zh-CN" w:bidi="ar-SA"/>
                <w:highlight w:val="none"/>
              </w:rPr>
              <w:t>HJ 2025-2012</w:t>
            </w:r>
            <w:r>
              <w:rPr>
                <w:rFonts w:cs="Times New Roman" w:hint="eastAsia"/>
                <w:color w:val="auto"/>
                <w:kern w:val="2"/>
                <w:sz w:val="24"/>
                <w:szCs w:val="24"/>
                <w:lang w:val="en-US" w:eastAsia="zh-CN" w:bidi="ar-SA"/>
                <w:highlight w:val="none"/>
              </w:rPr>
              <w:t>）、</w:t>
            </w:r>
            <w:r>
              <w:rPr>
                <w:rFonts w:cs="Times New Roman" w:hint="eastAsia"/>
                <w:color w:val="auto"/>
                <w:sz w:val="24"/>
                <w:lang w:val="zh-CN"/>
                <w:highlight w:val="none"/>
              </w:rPr>
              <w:t>《废铅蓄电池处理污染控制技术规范》（HJ519-2020）等相应标准</w:t>
            </w:r>
            <w:r>
              <w:rPr>
                <w:rFonts w:ascii="Times New Roman" w:eastAsia="宋体" w:cs="Times New Roman" w:hAnsi="Times New Roman" w:hint="eastAsia"/>
                <w:color w:val="auto"/>
                <w:sz w:val="24"/>
                <w:lang w:val="zh-CN"/>
                <w:highlight w:val="none"/>
              </w:rPr>
              <w:t>。</w:t>
            </w:r>
          </w:p>
          <w:p>
            <w:pPr>
              <w:keepNext w:val="0"/>
              <w:keepLines w:val="0"/>
              <w:pageBreakBefore w:val="0"/>
              <w:widowControl w:val="0"/>
              <w:kinsoku/>
              <w:wordWrap/>
              <w:overflowPunct/>
              <w:topLinePunct w:val="0"/>
              <w:autoSpaceDE/>
              <w:autoSpaceDN/>
              <w:bidi w:val="0"/>
              <w:adjustRightInd w:val="0"/>
              <w:snapToGrid/>
              <w:spacing w:line="460" w:lineRule="exact"/>
              <w:ind w:firstLineChars="200" w:firstLine="480"/>
              <w:textAlignment w:val="auto"/>
              <w:rPr>
                <w:color w:val="auto"/>
                <w:lang w:val="zh-CN"/>
                <w:highlight w:val="none"/>
              </w:rPr>
            </w:pPr>
            <w:r>
              <w:rPr>
                <w:rFonts w:hint="eastAsia"/>
                <w:color w:val="auto"/>
                <w:sz w:val="24"/>
                <w:lang w:val="zh-CN"/>
                <w:highlight w:val="none"/>
              </w:rPr>
              <w:t>生活垃圾处置参照《中华人民共和国固体废弃物污染环境防治法》（</w:t>
            </w:r>
            <w:r>
              <w:rPr>
                <w:color w:val="auto"/>
                <w:sz w:val="24"/>
                <w:lang w:val="zh-CN"/>
                <w:highlight w:val="none"/>
              </w:rPr>
              <w:t>2020年</w:t>
            </w:r>
            <w:r>
              <w:rPr>
                <w:rFonts w:hint="eastAsia"/>
                <w:color w:val="auto"/>
                <w:sz w:val="24"/>
                <w:lang w:val="zh-CN"/>
                <w:highlight w:val="none"/>
              </w:rPr>
              <w:t>修订版）中第四章“生活垃圾”的规定</w:t>
            </w:r>
            <w:r>
              <w:rPr>
                <w:rFonts w:hint="eastAsia"/>
                <w:color w:val="auto"/>
                <w:sz w:val="24"/>
                <w:highlight w:val="none"/>
              </w:rPr>
              <w:t>要求</w:t>
            </w:r>
            <w:r>
              <w:rPr>
                <w:rFonts w:hint="eastAsia"/>
                <w:color w:val="auto"/>
                <w:sz w:val="24"/>
                <w:lang w:val="zh-CN"/>
                <w:highlight w:val="none"/>
              </w:rPr>
              <w:t>。</w:t>
            </w:r>
          </w:p>
        </w:tc>
      </w:tr>
      <w:tr>
        <w:trPr>
          <w:trHeight w:val="90"/>
        </w:trPr>
        <w:tc>
          <w:tcPr>
            <w:tcW w:w="449" w:type="pct"/>
            <w:vAlign w:val="center"/>
          </w:tcPr>
          <w:p>
            <w:pPr>
              <w:adjustRightInd w:val="0"/>
              <w:snapToGrid w:val="0"/>
              <w:jc w:val="center"/>
              <w:rPr>
                <w:rFonts w:ascii="宋体" w:cs="宋体" w:hAnsi="宋体" w:hint="eastAsia"/>
                <w:color w:val="auto"/>
                <w:kern w:val="0"/>
                <w:sz w:val="24"/>
                <w:highlight w:val="none"/>
              </w:rPr>
            </w:pPr>
            <w:r>
              <w:rPr>
                <w:rFonts w:ascii="宋体" w:cs="宋体" w:hAnsi="宋体" w:hint="eastAsia"/>
                <w:color w:val="auto"/>
                <w:kern w:val="0"/>
                <w:sz w:val="24"/>
                <w:highlight w:val="none"/>
              </w:rPr>
              <w:t>总量</w:t>
            </w:r>
          </w:p>
          <w:p>
            <w:pPr>
              <w:adjustRightInd w:val="0"/>
              <w:snapToGrid w:val="0"/>
              <w:jc w:val="center"/>
              <w:rPr>
                <w:rFonts w:ascii="宋体" w:cs="宋体" w:hAnsi="宋体" w:hint="eastAsia"/>
                <w:color w:val="auto"/>
                <w:kern w:val="0"/>
                <w:sz w:val="24"/>
                <w:highlight w:val="none"/>
              </w:rPr>
            </w:pPr>
            <w:r>
              <w:rPr>
                <w:rFonts w:ascii="宋体" w:cs="宋体" w:hAnsi="宋体" w:hint="eastAsia"/>
                <w:color w:val="auto"/>
                <w:kern w:val="0"/>
                <w:sz w:val="24"/>
                <w:highlight w:val="none"/>
              </w:rPr>
              <w:t>控制</w:t>
            </w:r>
          </w:p>
          <w:p>
            <w:pPr>
              <w:adjustRightInd w:val="0"/>
              <w:snapToGrid w:val="0"/>
              <w:jc w:val="center"/>
              <w:rPr>
                <w:rFonts w:ascii="宋体" w:cs="宋体" w:hAnsi="宋体" w:hint="eastAsia"/>
                <w:color w:val="auto"/>
                <w:kern w:val="0"/>
                <w:sz w:val="24"/>
                <w:highlight w:val="none"/>
              </w:rPr>
            </w:pPr>
            <w:r>
              <w:rPr>
                <w:rFonts w:ascii="宋体" w:cs="宋体" w:hAnsi="宋体" w:hint="eastAsia"/>
                <w:color w:val="auto"/>
                <w:kern w:val="0"/>
                <w:sz w:val="24"/>
                <w:highlight w:val="none"/>
              </w:rPr>
              <w:t>指标</w:t>
            </w:r>
          </w:p>
        </w:tc>
        <w:tc>
          <w:tcPr>
            <w:tcW w:w="4550" w:type="pct"/>
            <w:tcBorders>
              <w:left w:val="single" w:sz="4" w:space="0" w:color="auto"/>
            </w:tcBorders>
            <w:vAlign w:val="center"/>
          </w:tcPr>
          <w:p>
            <w:pPr>
              <w:spacing w:line="500" w:lineRule="exact"/>
              <w:ind w:firstLineChars="200" w:firstLine="480"/>
              <w:rPr>
                <w:color w:val="auto"/>
                <w:sz w:val="24"/>
                <w:lang w:val="zh-CN"/>
                <w:highlight w:val="none"/>
              </w:rPr>
            </w:pPr>
            <w:r>
              <w:rPr>
                <w:color w:val="auto"/>
                <w:sz w:val="24"/>
                <w:lang w:val="zh-CN"/>
                <w:highlight w:val="none"/>
              </w:rPr>
              <w:t>根据《</w:t>
            </w:r>
            <w:r>
              <w:rPr>
                <w:rFonts w:ascii="宋体" w:cs="宋体" w:hAnsi="宋体" w:hint="eastAsia"/>
                <w:color w:val="auto"/>
                <w:sz w:val="24"/>
                <w:lang w:val="zh-CN"/>
                <w:highlight w:val="none"/>
              </w:rPr>
              <w:t>“</w:t>
            </w:r>
            <w:r>
              <w:rPr>
                <w:color w:val="auto"/>
                <w:sz w:val="24"/>
                <w:lang w:val="zh-CN"/>
                <w:highlight w:val="none"/>
              </w:rPr>
              <w:t>十四五</w:t>
            </w:r>
            <w:r>
              <w:rPr>
                <w:rFonts w:ascii="宋体" w:cs="宋体" w:hAnsi="宋体" w:hint="eastAsia"/>
                <w:color w:val="auto"/>
                <w:sz w:val="24"/>
                <w:lang w:val="zh-CN"/>
                <w:highlight w:val="none"/>
              </w:rPr>
              <w:t>”</w:t>
            </w:r>
            <w:r>
              <w:rPr>
                <w:color w:val="auto"/>
                <w:sz w:val="24"/>
                <w:lang w:val="zh-CN"/>
                <w:highlight w:val="none"/>
              </w:rPr>
              <w:t>主要污染物总量减排潜力测算工作指南》</w:t>
            </w:r>
            <w:r>
              <w:rPr>
                <w:rFonts w:hint="eastAsia"/>
                <w:color w:val="auto"/>
                <w:sz w:val="24"/>
                <w:highlight w:val="none"/>
              </w:rPr>
              <w:t>相关</w:t>
            </w:r>
            <w:r>
              <w:rPr>
                <w:color w:val="auto"/>
                <w:sz w:val="24"/>
                <w:lang w:val="zh-CN"/>
                <w:highlight w:val="none"/>
              </w:rPr>
              <w:t>规定</w:t>
            </w:r>
            <w:r>
              <w:rPr>
                <w:rFonts w:hint="eastAsia"/>
                <w:color w:val="auto"/>
                <w:sz w:val="24"/>
                <w:lang w:val="zh-CN"/>
                <w:highlight w:val="none"/>
              </w:rPr>
              <w:t>，</w:t>
            </w:r>
            <w:r>
              <w:rPr>
                <w:color w:val="auto"/>
                <w:sz w:val="24"/>
                <w:lang w:val="zh-CN"/>
                <w:highlight w:val="none"/>
              </w:rPr>
              <w:t>项目污染物排放总量控制指标为COD、氨氮</w:t>
            </w:r>
            <w:r>
              <w:rPr>
                <w:rFonts w:hint="eastAsia"/>
                <w:color w:val="auto"/>
                <w:sz w:val="24"/>
                <w:highlight w:val="none"/>
              </w:rPr>
              <w:t>；</w:t>
            </w:r>
            <w:r>
              <w:rPr>
                <w:color w:val="auto"/>
                <w:sz w:val="24"/>
                <w:lang w:val="zh-CN"/>
                <w:highlight w:val="none"/>
              </w:rPr>
              <w:t>SO</w:t>
            </w:r>
            <w:r>
              <w:rPr>
                <w:color w:val="auto"/>
                <w:sz w:val="24"/>
                <w:vertAlign w:val="subscript"/>
                <w:lang w:val="zh-CN"/>
                <w:highlight w:val="none"/>
              </w:rPr>
              <w:t>2</w:t>
            </w:r>
            <w:r>
              <w:rPr>
                <w:color w:val="auto"/>
                <w:sz w:val="24"/>
                <w:lang w:val="zh-CN"/>
                <w:highlight w:val="none"/>
              </w:rPr>
              <w:t>、氮氧化物</w:t>
            </w:r>
            <w:r>
              <w:rPr>
                <w:rFonts w:hint="eastAsia"/>
                <w:color w:val="auto"/>
                <w:sz w:val="24"/>
                <w:lang w:val="zh-CN"/>
                <w:highlight w:val="none"/>
              </w:rPr>
              <w:t>、</w:t>
            </w:r>
            <w:r>
              <w:rPr>
                <w:rFonts w:hint="eastAsia"/>
                <w:color w:val="auto"/>
                <w:sz w:val="24"/>
                <w:highlight w:val="none"/>
              </w:rPr>
              <w:t>颗粒物</w:t>
            </w:r>
            <w:r>
              <w:rPr>
                <w:rFonts w:hint="eastAsia"/>
                <w:color w:val="auto"/>
                <w:sz w:val="24"/>
                <w:lang w:eastAsia="zh-CN"/>
                <w:highlight w:val="none"/>
              </w:rPr>
              <w:t>、</w:t>
            </w:r>
            <w:r>
              <w:rPr>
                <w:rFonts w:hint="eastAsia"/>
                <w:color w:val="auto"/>
                <w:sz w:val="24"/>
                <w:lang w:val="en-US" w:eastAsia="zh-CN"/>
                <w:highlight w:val="none"/>
              </w:rPr>
              <w:t>VOC</w:t>
            </w:r>
            <w:r>
              <w:rPr>
                <w:rFonts w:hint="eastAsia"/>
                <w:color w:val="auto"/>
                <w:sz w:val="24"/>
                <w:vertAlign w:val="subscript"/>
                <w:lang w:val="en-US" w:eastAsia="zh-CN"/>
                <w:highlight w:val="none"/>
              </w:rPr>
              <w:t>S</w:t>
            </w:r>
            <w:r>
              <w:rPr>
                <w:rFonts w:hint="eastAsia"/>
                <w:color w:val="auto"/>
                <w:sz w:val="24"/>
                <w:highlight w:val="none"/>
              </w:rPr>
              <w:t>。</w:t>
            </w:r>
          </w:p>
          <w:p>
            <w:pPr>
              <w:autoSpaceDE w:val="0"/>
              <w:autoSpaceDN w:val="0"/>
              <w:adjustRightInd w:val="0"/>
              <w:spacing w:line="500" w:lineRule="exact"/>
              <w:ind w:firstLineChars="200" w:firstLine="480"/>
              <w:rPr>
                <w:color w:val="auto"/>
                <w:sz w:val="24"/>
                <w:lang w:val="zh-CN"/>
                <w:highlight w:val="none"/>
              </w:rPr>
            </w:pPr>
            <w:r>
              <w:rPr>
                <w:color w:val="auto"/>
                <w:sz w:val="24"/>
                <w:lang w:val="zh-CN"/>
                <w:highlight w:val="none"/>
              </w:rPr>
              <w:t>（</w:t>
            </w:r>
            <w:r>
              <w:rPr>
                <w:rFonts w:hint="eastAsia"/>
                <w:color w:val="auto"/>
                <w:sz w:val="24"/>
                <w:lang w:val="en-US" w:eastAsia="zh-CN"/>
                <w:highlight w:val="none"/>
              </w:rPr>
              <w:t>1</w:t>
            </w:r>
            <w:r>
              <w:rPr>
                <w:color w:val="auto"/>
                <w:sz w:val="24"/>
                <w:lang w:val="zh-CN"/>
                <w:highlight w:val="none"/>
              </w:rPr>
              <w:t>）废气污染物</w:t>
            </w:r>
          </w:p>
          <w:p>
            <w:pPr>
              <w:autoSpaceDE w:val="0"/>
              <w:autoSpaceDN w:val="0"/>
              <w:adjustRightInd w:val="0"/>
              <w:spacing w:line="500" w:lineRule="exact"/>
              <w:ind w:firstLineChars="200" w:firstLine="480"/>
              <w:rPr>
                <w:rFonts w:eastAsia="宋体" w:hint="eastAsia"/>
                <w:color w:val="auto"/>
                <w:sz w:val="24"/>
                <w:lang w:val="en-US" w:eastAsia="zh-CN"/>
                <w:highlight w:val="none"/>
              </w:rPr>
            </w:pPr>
            <w:r>
              <w:rPr>
                <w:rFonts w:hint="eastAsia"/>
                <w:color w:val="auto"/>
                <w:sz w:val="24"/>
                <w:highlight w:val="none"/>
              </w:rPr>
              <w:t>项目生产不用热，职工日常办公供暖由空调提供，</w:t>
            </w:r>
            <w:r>
              <w:rPr>
                <w:rFonts w:hint="eastAsia"/>
                <w:color w:val="auto"/>
                <w:sz w:val="24"/>
                <w:lang w:val="zh-CN"/>
                <w:highlight w:val="none"/>
              </w:rPr>
              <w:t>不设燃煤燃气等供热设施</w:t>
            </w:r>
            <w:r>
              <w:rPr>
                <w:rFonts w:hint="eastAsia"/>
                <w:color w:val="auto"/>
                <w:sz w:val="24"/>
                <w:highlight w:val="none"/>
              </w:rPr>
              <w:t>，</w:t>
            </w:r>
            <w:r>
              <w:rPr>
                <w:color w:val="auto"/>
                <w:sz w:val="24"/>
                <w:highlight w:val="none"/>
              </w:rPr>
              <w:t>故不涉及废气污染物SO</w:t>
            </w:r>
            <w:r>
              <w:rPr>
                <w:color w:val="auto"/>
                <w:sz w:val="24"/>
                <w:vertAlign w:val="subscript"/>
                <w:highlight w:val="none"/>
              </w:rPr>
              <w:t>2</w:t>
            </w:r>
            <w:r>
              <w:rPr>
                <w:color w:val="auto"/>
                <w:sz w:val="24"/>
                <w:highlight w:val="none"/>
              </w:rPr>
              <w:t>、NO</w:t>
            </w:r>
            <w:r>
              <w:rPr>
                <w:color w:val="auto"/>
                <w:sz w:val="24"/>
                <w:vertAlign w:val="subscript"/>
                <w:highlight w:val="none"/>
              </w:rPr>
              <w:t>X</w:t>
            </w:r>
            <w:r>
              <w:rPr>
                <w:color w:val="auto"/>
                <w:sz w:val="24"/>
                <w:highlight w:val="none"/>
              </w:rPr>
              <w:t>的排放</w:t>
            </w:r>
            <w:r>
              <w:rPr>
                <w:rFonts w:hint="eastAsia"/>
                <w:color w:val="auto"/>
                <w:sz w:val="24"/>
                <w:lang w:eastAsia="zh-CN"/>
                <w:highlight w:val="none"/>
              </w:rPr>
              <w:t>，</w:t>
            </w:r>
            <w:r>
              <w:rPr>
                <w:color w:val="auto"/>
                <w:sz w:val="24"/>
                <w:highlight w:val="none"/>
              </w:rPr>
              <w:t>废气污染物SO</w:t>
            </w:r>
            <w:r>
              <w:rPr>
                <w:color w:val="auto"/>
                <w:sz w:val="24"/>
                <w:vertAlign w:val="subscript"/>
                <w:highlight w:val="none"/>
              </w:rPr>
              <w:t>2</w:t>
            </w:r>
            <w:r>
              <w:rPr>
                <w:color w:val="auto"/>
                <w:sz w:val="24"/>
                <w:highlight w:val="none"/>
              </w:rPr>
              <w:t>、NO</w:t>
            </w:r>
            <w:r>
              <w:rPr>
                <w:color w:val="auto"/>
                <w:sz w:val="24"/>
                <w:vertAlign w:val="subscript"/>
                <w:highlight w:val="none"/>
              </w:rPr>
              <w:t>X</w:t>
            </w:r>
            <w:r>
              <w:rPr>
                <w:color w:val="auto"/>
                <w:sz w:val="24"/>
                <w:highlight w:val="none"/>
              </w:rPr>
              <w:t>核算排放量均为0t/a。</w:t>
            </w:r>
            <w:r>
              <w:rPr>
                <w:rFonts w:hint="eastAsia"/>
                <w:color w:val="auto"/>
                <w:sz w:val="24"/>
                <w:lang w:val="en-US" w:eastAsia="zh-CN"/>
                <w:highlight w:val="none"/>
              </w:rPr>
              <w:t>项目不涉及颗粒物、VOC</w:t>
            </w:r>
            <w:r>
              <w:rPr>
                <w:rFonts w:hint="eastAsia"/>
                <w:color w:val="auto"/>
                <w:sz w:val="24"/>
                <w:vertAlign w:val="subscript"/>
                <w:lang w:val="en-US" w:eastAsia="zh-CN"/>
                <w:highlight w:val="none"/>
              </w:rPr>
              <w:t>S</w:t>
            </w:r>
            <w:r>
              <w:rPr>
                <w:rFonts w:hint="eastAsia"/>
                <w:color w:val="auto"/>
                <w:sz w:val="24"/>
                <w:lang w:val="en-US" w:eastAsia="zh-CN"/>
                <w:highlight w:val="none"/>
              </w:rPr>
              <w:t>排放，颗粒物、VOC</w:t>
            </w:r>
            <w:r>
              <w:rPr>
                <w:rFonts w:hint="eastAsia"/>
                <w:color w:val="auto"/>
                <w:sz w:val="24"/>
                <w:vertAlign w:val="subscript"/>
                <w:lang w:val="en-US" w:eastAsia="zh-CN"/>
                <w:highlight w:val="none"/>
              </w:rPr>
              <w:t>S</w:t>
            </w:r>
            <w:r>
              <w:rPr>
                <w:color w:val="auto"/>
                <w:sz w:val="24"/>
                <w:highlight w:val="none"/>
              </w:rPr>
              <w:t>核算排放量为0t/a</w:t>
            </w:r>
            <w:r>
              <w:rPr>
                <w:rFonts w:hint="eastAsia"/>
                <w:color w:val="auto"/>
                <w:sz w:val="24"/>
                <w:lang w:eastAsia="zh-CN"/>
                <w:highlight w:val="none"/>
              </w:rPr>
              <w:t>。</w:t>
            </w:r>
          </w:p>
          <w:p>
            <w:pPr>
              <w:spacing w:line="500" w:lineRule="exact"/>
              <w:ind w:firstLineChars="200" w:firstLine="480"/>
              <w:rPr>
                <w:color w:val="auto"/>
                <w:sz w:val="24"/>
                <w:lang w:val="zh-CN"/>
                <w:highlight w:val="none"/>
              </w:rPr>
            </w:pPr>
            <w:r>
              <w:rPr>
                <w:color w:val="auto"/>
                <w:sz w:val="24"/>
                <w:lang w:val="zh-CN"/>
                <w:highlight w:val="none"/>
              </w:rPr>
              <w:t>（</w:t>
            </w:r>
            <w:r>
              <w:rPr>
                <w:rFonts w:hint="eastAsia"/>
                <w:color w:val="auto"/>
                <w:sz w:val="24"/>
                <w:lang w:val="en-US" w:eastAsia="zh-CN"/>
                <w:highlight w:val="none"/>
              </w:rPr>
              <w:t>2</w:t>
            </w:r>
            <w:r>
              <w:rPr>
                <w:color w:val="auto"/>
                <w:sz w:val="24"/>
                <w:lang w:val="zh-CN"/>
                <w:highlight w:val="none"/>
              </w:rPr>
              <w:t>）废水污染物</w:t>
            </w:r>
          </w:p>
          <w:p>
            <w:pPr>
              <w:keepNext w:val="0"/>
              <w:keepLines w:val="0"/>
              <w:suppressLineNumbers w:val="0"/>
              <w:spacing w:before="0" w:beforeAutospacing="0" w:after="0" w:afterAutospacing="0" w:line="500" w:lineRule="exact"/>
              <w:ind w:left="0" w:right="0" w:firstLineChars="200" w:firstLine="480"/>
              <w:rPr>
                <w:bCs/>
                <w:color w:val="auto"/>
                <w:kern w:val="0"/>
                <w:sz w:val="24"/>
                <w:szCs w:val="20"/>
                <w:highlight w:val="none"/>
              </w:rPr>
            </w:pPr>
            <w:r>
              <w:rPr>
                <w:rFonts w:cs="Times New Roman" w:hint="eastAsia"/>
                <w:color w:val="auto"/>
                <w:kern w:val="0"/>
                <w:sz w:val="24"/>
                <w:lang w:eastAsia="zh-CN"/>
                <w:highlight w:val="none"/>
              </w:rPr>
              <w:t>本项目碱液喷淋装置碱液循环使用，定期更换，更换后交由有资质单位处置；生活污水依托河北泽豪环保新材料科技有限公司化粪池处理后，定期清掏，不外排</w:t>
            </w:r>
            <w:r>
              <w:rPr>
                <w:rFonts w:ascii="Times New Roman" w:eastAsia="Segoe UI" w:cs="Times New Roman" w:hAnsi="Times New Roman" w:hint="eastAsia"/>
                <w:i w:val="0"/>
                <w:iCs w:val="0"/>
                <w:caps w:val="0"/>
                <w:smallCaps w:val="0"/>
                <w:color w:val="auto"/>
                <w:spacing w:val="0"/>
                <w:sz w:val="24"/>
                <w:szCs w:val="24"/>
                <w:shd w:val="clear" w:color="auto" w:fill="FFFFFF"/>
                <w:lang w:val="en-US" w:eastAsia="zh-CN"/>
                <w:highlight w:val="none"/>
              </w:rPr>
              <w:t>。</w:t>
            </w:r>
            <w:r>
              <w:rPr>
                <w:rFonts w:hint="eastAsia"/>
                <w:color w:val="auto"/>
                <w:sz w:val="24"/>
                <w:szCs w:val="20"/>
                <w:highlight w:val="none"/>
              </w:rPr>
              <w:t>项目</w:t>
            </w:r>
            <w:r>
              <w:rPr>
                <w:rFonts w:ascii="Times New Roman" w:eastAsia="Segoe UI" w:cs="Times New Roman" w:hAnsi="Times New Roman"/>
                <w:i w:val="0"/>
                <w:iCs w:val="0"/>
                <w:caps w:val="0"/>
                <w:smallCaps w:val="0"/>
                <w:color w:val="auto"/>
                <w:spacing w:val="0"/>
                <w:sz w:val="24"/>
                <w:szCs w:val="24"/>
                <w:shd w:val="clear" w:color="auto" w:fill="FFFFFF"/>
                <w:lang w:val="zh-CN" w:eastAsia="zh-CN"/>
                <w:highlight w:val="none"/>
              </w:rPr>
              <w:t>COD</w:t>
            </w:r>
            <w:r>
              <w:rPr>
                <w:rFonts w:ascii="Times New Roman" w:eastAsia="Segoe UI" w:cs="Times New Roman" w:hAnsi="Times New Roman"/>
                <w:i w:val="0"/>
                <w:iCs w:val="0"/>
                <w:caps w:val="0"/>
                <w:smallCaps w:val="0"/>
                <w:color w:val="auto"/>
                <w:spacing w:val="0"/>
                <w:sz w:val="24"/>
                <w:szCs w:val="24"/>
                <w:shd w:val="clear" w:color="auto" w:fill="FFFFFF"/>
                <w:lang w:val="en-US" w:eastAsia="zh-CN"/>
                <w:highlight w:val="none"/>
              </w:rPr>
              <w:t>、</w:t>
            </w:r>
            <w:r>
              <w:rPr>
                <w:rFonts w:ascii="Times New Roman" w:eastAsia="Segoe UI" w:cs="Times New Roman" w:hAnsi="Times New Roman"/>
                <w:i w:val="0"/>
                <w:iCs w:val="0"/>
                <w:caps w:val="0"/>
                <w:smallCaps w:val="0"/>
                <w:color w:val="auto"/>
                <w:spacing w:val="0"/>
                <w:sz w:val="24"/>
                <w:szCs w:val="24"/>
                <w:shd w:val="clear" w:color="auto" w:fill="FFFFFF"/>
                <w:lang w:val="zh-CN" w:eastAsia="zh-CN"/>
                <w:highlight w:val="none"/>
              </w:rPr>
              <w:t>NH</w:t>
            </w:r>
            <w:r>
              <w:rPr>
                <w:rFonts w:ascii="Times New Roman" w:eastAsia="Segoe UI" w:cs="Times New Roman" w:hAnsi="Times New Roman"/>
                <w:i w:val="0"/>
                <w:iCs w:val="0"/>
                <w:caps w:val="0"/>
                <w:smallCaps w:val="0"/>
                <w:color w:val="auto"/>
                <w:spacing w:val="0"/>
                <w:sz w:val="24"/>
                <w:szCs w:val="24"/>
                <w:shd w:val="clear" w:color="auto" w:fill="FFFFFF"/>
                <w:vertAlign w:val="subscript"/>
                <w:lang w:val="zh-CN" w:eastAsia="zh-CN"/>
                <w:highlight w:val="none"/>
              </w:rPr>
              <w:t>3</w:t>
            </w:r>
            <w:r>
              <w:rPr>
                <w:rFonts w:ascii="Times New Roman" w:eastAsia="Segoe UI" w:cs="Times New Roman" w:hAnsi="Times New Roman"/>
                <w:i w:val="0"/>
                <w:iCs w:val="0"/>
                <w:caps w:val="0"/>
                <w:smallCaps w:val="0"/>
                <w:color w:val="auto"/>
                <w:spacing w:val="0"/>
                <w:sz w:val="24"/>
                <w:szCs w:val="24"/>
                <w:shd w:val="clear" w:color="auto" w:fill="FFFFFF"/>
                <w:lang w:val="zh-CN" w:eastAsia="zh-CN"/>
                <w:highlight w:val="none"/>
              </w:rPr>
              <w:t>-N</w:t>
            </w:r>
            <w:r>
              <w:rPr>
                <w:rFonts w:hint="eastAsia"/>
                <w:color w:val="auto"/>
                <w:sz w:val="24"/>
                <w:szCs w:val="20"/>
                <w:highlight w:val="none"/>
              </w:rPr>
              <w:t>排放</w:t>
            </w:r>
            <w:r>
              <w:rPr>
                <w:rFonts w:hint="eastAsia"/>
                <w:color w:val="auto"/>
                <w:sz w:val="24"/>
                <w:szCs w:val="20"/>
                <w:lang w:eastAsia="zh-CN"/>
                <w:highlight w:val="none"/>
              </w:rPr>
              <w:t>量为</w:t>
            </w:r>
            <w:r>
              <w:rPr>
                <w:bCs/>
                <w:color w:val="auto"/>
                <w:kern w:val="0"/>
                <w:sz w:val="24"/>
                <w:szCs w:val="20"/>
                <w:highlight w:val="none"/>
              </w:rPr>
              <w:t>COD：</w:t>
            </w:r>
            <w:r>
              <w:rPr>
                <w:rFonts w:hint="eastAsia"/>
                <w:bCs/>
                <w:color w:val="auto"/>
                <w:kern w:val="0"/>
                <w:sz w:val="24"/>
                <w:szCs w:val="20"/>
                <w:lang w:val="en-US" w:eastAsia="zh-CN"/>
                <w:highlight w:val="none"/>
              </w:rPr>
              <w:t>0</w:t>
            </w:r>
            <w:r>
              <w:rPr>
                <w:bCs/>
                <w:color w:val="auto"/>
                <w:kern w:val="0"/>
                <w:sz w:val="24"/>
                <w:szCs w:val="20"/>
                <w:highlight w:val="none"/>
              </w:rPr>
              <w:t>t/a、氨氮：</w:t>
            </w:r>
            <w:r>
              <w:rPr>
                <w:rFonts w:hint="eastAsia"/>
                <w:bCs/>
                <w:color w:val="auto"/>
                <w:kern w:val="0"/>
                <w:sz w:val="24"/>
                <w:szCs w:val="20"/>
                <w:lang w:val="en-US" w:eastAsia="zh-CN"/>
                <w:highlight w:val="none"/>
              </w:rPr>
              <w:t>0</w:t>
            </w:r>
            <w:r>
              <w:rPr>
                <w:bCs/>
                <w:color w:val="auto"/>
                <w:kern w:val="0"/>
                <w:sz w:val="24"/>
                <w:szCs w:val="20"/>
                <w:highlight w:val="none"/>
              </w:rPr>
              <w:t>t/a</w:t>
            </w:r>
            <w:r>
              <w:rPr>
                <w:rFonts w:hint="eastAsia"/>
                <w:color w:val="auto"/>
                <w:sz w:val="24"/>
                <w:szCs w:val="20"/>
                <w:highlight w:val="none"/>
              </w:rPr>
              <w:t>。</w:t>
            </w:r>
          </w:p>
          <w:p>
            <w:pPr>
              <w:spacing w:line="500" w:lineRule="exact"/>
              <w:ind w:firstLineChars="200" w:firstLine="480"/>
              <w:rPr>
                <w:color w:val="auto"/>
                <w:sz w:val="24"/>
                <w:highlight w:val="none"/>
              </w:rPr>
            </w:pPr>
            <w:r>
              <w:rPr>
                <w:rFonts w:hint="eastAsia"/>
                <w:bCs/>
                <w:color w:val="auto"/>
                <w:kern w:val="0"/>
                <w:sz w:val="24"/>
                <w:highlight w:val="none"/>
              </w:rPr>
              <w:t>（</w:t>
            </w:r>
            <w:r>
              <w:rPr>
                <w:rFonts w:hint="eastAsia"/>
                <w:bCs/>
                <w:color w:val="auto"/>
                <w:kern w:val="0"/>
                <w:sz w:val="24"/>
                <w:lang w:val="en-US" w:eastAsia="zh-CN"/>
                <w:highlight w:val="none"/>
              </w:rPr>
              <w:t>3</w:t>
            </w:r>
            <w:r>
              <w:rPr>
                <w:rFonts w:hint="eastAsia"/>
                <w:bCs/>
                <w:color w:val="auto"/>
                <w:kern w:val="0"/>
                <w:sz w:val="24"/>
                <w:highlight w:val="none"/>
              </w:rPr>
              <w:t>）</w:t>
            </w:r>
            <w:r>
              <w:rPr>
                <w:rFonts w:hint="eastAsia"/>
                <w:color w:val="auto"/>
                <w:sz w:val="24"/>
                <w:highlight w:val="none"/>
              </w:rPr>
              <w:t>小结</w:t>
            </w:r>
          </w:p>
          <w:p>
            <w:pPr>
              <w:spacing w:line="500" w:lineRule="exact"/>
              <w:ind w:firstLineChars="200" w:firstLine="480"/>
              <w:rPr>
                <w:rFonts w:hint="eastAsia"/>
                <w:color w:val="auto"/>
                <w:sz w:val="24"/>
                <w:highlight w:val="none"/>
              </w:rPr>
            </w:pPr>
            <w:r>
              <w:rPr>
                <w:rFonts w:hint="eastAsia"/>
                <w:color w:val="auto"/>
                <w:sz w:val="24"/>
                <w:highlight w:val="none"/>
              </w:rPr>
              <w:t>项目完成后，</w:t>
            </w:r>
            <w:r>
              <w:rPr>
                <w:color w:val="auto"/>
                <w:sz w:val="24"/>
                <w:lang w:val="zh-CN"/>
                <w:highlight w:val="none"/>
              </w:rPr>
              <w:t>项目污染物排放总量控制指标为</w:t>
            </w:r>
            <w:r>
              <w:rPr>
                <w:color w:val="auto"/>
                <w:sz w:val="24"/>
                <w:highlight w:val="none"/>
              </w:rPr>
              <w:t>：COD：</w:t>
            </w:r>
            <w:r>
              <w:rPr>
                <w:rFonts w:hint="eastAsia"/>
                <w:color w:val="auto"/>
                <w:sz w:val="24"/>
                <w:lang w:val="en-US" w:eastAsia="zh-CN"/>
                <w:highlight w:val="none"/>
              </w:rPr>
              <w:t>0</w:t>
            </w:r>
            <w:r>
              <w:rPr>
                <w:color w:val="auto"/>
                <w:sz w:val="24"/>
                <w:highlight w:val="none"/>
              </w:rPr>
              <w:t>t/a</w:t>
            </w:r>
            <w:r>
              <w:rPr>
                <w:color w:val="auto"/>
                <w:sz w:val="24"/>
                <w:lang w:val="zh-CN"/>
                <w:highlight w:val="none"/>
              </w:rPr>
              <w:t>、</w:t>
            </w:r>
            <w:r>
              <w:rPr>
                <w:color w:val="auto"/>
                <w:sz w:val="24"/>
                <w:highlight w:val="none"/>
              </w:rPr>
              <w:t>NH</w:t>
            </w:r>
            <w:r>
              <w:rPr>
                <w:color w:val="auto"/>
                <w:sz w:val="24"/>
                <w:vertAlign w:val="subscript"/>
                <w:highlight w:val="none"/>
              </w:rPr>
              <w:t>3</w:t>
            </w:r>
            <w:r>
              <w:rPr>
                <w:color w:val="auto"/>
                <w:sz w:val="24"/>
                <w:highlight w:val="none"/>
              </w:rPr>
              <w:t>-N：</w:t>
            </w:r>
            <w:r>
              <w:rPr>
                <w:rFonts w:hint="eastAsia"/>
                <w:color w:val="auto"/>
                <w:sz w:val="24"/>
                <w:lang w:val="en-US" w:eastAsia="zh-CN"/>
                <w:highlight w:val="none"/>
              </w:rPr>
              <w:t>0</w:t>
            </w:r>
            <w:r>
              <w:rPr>
                <w:color w:val="auto"/>
                <w:sz w:val="24"/>
                <w:highlight w:val="none"/>
              </w:rPr>
              <w:t>t/a</w:t>
            </w:r>
            <w:r>
              <w:rPr>
                <w:rFonts w:hint="eastAsia"/>
                <w:color w:val="auto"/>
                <w:sz w:val="24"/>
                <w:highlight w:val="none"/>
              </w:rPr>
              <w:t>、</w:t>
            </w:r>
            <w:r>
              <w:rPr>
                <w:color w:val="auto"/>
                <w:sz w:val="24"/>
                <w:highlight w:val="none"/>
              </w:rPr>
              <w:t>SO</w:t>
            </w:r>
            <w:r>
              <w:rPr>
                <w:color w:val="auto"/>
                <w:sz w:val="24"/>
                <w:vertAlign w:val="subscript"/>
                <w:highlight w:val="none"/>
              </w:rPr>
              <w:t>2</w:t>
            </w:r>
            <w:r>
              <w:rPr>
                <w:color w:val="auto"/>
                <w:sz w:val="24"/>
                <w:highlight w:val="none"/>
              </w:rPr>
              <w:t>：0t/a</w:t>
            </w:r>
            <w:r>
              <w:rPr>
                <w:color w:val="auto"/>
                <w:sz w:val="24"/>
                <w:lang w:val="zh-CN"/>
                <w:highlight w:val="none"/>
              </w:rPr>
              <w:t>、</w:t>
            </w:r>
            <w:r>
              <w:rPr>
                <w:color w:val="auto"/>
                <w:sz w:val="24"/>
                <w:highlight w:val="none"/>
              </w:rPr>
              <w:t>NO</w:t>
            </w:r>
            <w:r>
              <w:rPr>
                <w:color w:val="auto"/>
                <w:sz w:val="24"/>
                <w:vertAlign w:val="subscript"/>
                <w:highlight w:val="none"/>
              </w:rPr>
              <w:t>X</w:t>
            </w:r>
            <w:r>
              <w:rPr>
                <w:color w:val="auto"/>
                <w:sz w:val="24"/>
                <w:highlight w:val="none"/>
              </w:rPr>
              <w:t>：0t/a</w:t>
            </w:r>
            <w:r>
              <w:rPr>
                <w:rFonts w:hint="eastAsia"/>
                <w:color w:val="auto"/>
                <w:sz w:val="24"/>
                <w:lang w:eastAsia="zh-CN"/>
                <w:highlight w:val="none"/>
              </w:rPr>
              <w:t>、</w:t>
            </w:r>
            <w:r>
              <w:rPr>
                <w:rFonts w:hint="eastAsia"/>
                <w:color w:val="auto"/>
                <w:sz w:val="24"/>
                <w:lang w:val="en-US" w:eastAsia="zh-CN"/>
                <w:highlight w:val="none"/>
              </w:rPr>
              <w:t>颗粒物：</w:t>
            </w:r>
            <w:r>
              <w:rPr>
                <w:color w:val="auto"/>
                <w:sz w:val="24"/>
                <w:highlight w:val="none"/>
              </w:rPr>
              <w:t>0t/a</w:t>
            </w:r>
            <w:r>
              <w:rPr>
                <w:rFonts w:hint="eastAsia"/>
                <w:color w:val="auto"/>
                <w:sz w:val="24"/>
                <w:lang w:eastAsia="zh-CN"/>
                <w:highlight w:val="none"/>
              </w:rPr>
              <w:t>、</w:t>
            </w:r>
            <w:r>
              <w:rPr>
                <w:rFonts w:hint="eastAsia"/>
                <w:color w:val="auto"/>
                <w:sz w:val="24"/>
                <w:lang w:val="en-US" w:eastAsia="zh-CN"/>
                <w:highlight w:val="none"/>
              </w:rPr>
              <w:t>VOC：</w:t>
            </w:r>
            <w:r>
              <w:rPr>
                <w:color w:val="auto"/>
                <w:sz w:val="24"/>
                <w:highlight w:val="none"/>
              </w:rPr>
              <w:t>0t/a</w:t>
            </w:r>
            <w:r>
              <w:rPr>
                <w:rFonts w:hint="eastAsia"/>
                <w:color w:val="auto"/>
                <w:sz w:val="24"/>
                <w:highlight w:val="none"/>
              </w:rPr>
              <w:t>。</w:t>
            </w:r>
          </w:p>
          <w:p>
            <w:pPr>
              <w:pStyle w:val="16"/>
              <w:rPr>
                <w:color w:val="auto"/>
                <w:lang w:val="de-DE"/>
                <w:highlight w:val="none"/>
              </w:rPr>
            </w:pPr>
          </w:p>
          <w:p>
            <w:pPr>
              <w:pStyle w:val="16"/>
              <w:rPr>
                <w:color w:val="auto"/>
                <w:lang w:val="de-DE"/>
                <w:highlight w:val="none"/>
              </w:rPr>
            </w:pPr>
          </w:p>
          <w:p>
            <w:pPr>
              <w:pStyle w:val="17"/>
              <w:rPr>
                <w:color w:val="auto"/>
                <w:lang w:val="de-DE"/>
                <w:highlight w:val="none"/>
              </w:rPr>
            </w:pPr>
          </w:p>
          <w:p>
            <w:pPr>
              <w:pStyle w:val="17"/>
              <w:rPr>
                <w:color w:val="auto"/>
                <w:lang w:val="de-DE"/>
                <w:highlight w:val="none"/>
              </w:rPr>
            </w:pPr>
          </w:p>
          <w:p>
            <w:pPr>
              <w:pStyle w:val="17"/>
              <w:rPr>
                <w:color w:val="auto"/>
                <w:lang w:val="de-DE"/>
                <w:highlight w:val="none"/>
              </w:rPr>
            </w:pPr>
          </w:p>
          <w:p>
            <w:pPr>
              <w:pStyle w:val="17"/>
              <w:rPr>
                <w:color w:val="auto"/>
                <w:lang w:val="de-DE"/>
                <w:highlight w:val="none"/>
              </w:rPr>
            </w:pPr>
          </w:p>
          <w:p>
            <w:pPr>
              <w:pStyle w:val="17"/>
              <w:rPr>
                <w:color w:val="auto"/>
                <w:lang w:val="de-DE"/>
                <w:highlight w:val="none"/>
              </w:rPr>
            </w:pPr>
          </w:p>
          <w:p>
            <w:pPr>
              <w:pStyle w:val="17"/>
              <w:rPr>
                <w:color w:val="auto"/>
                <w:lang w:val="de-DE"/>
                <w:highlight w:val="none"/>
              </w:rPr>
            </w:pPr>
          </w:p>
          <w:p>
            <w:pPr>
              <w:pStyle w:val="17"/>
              <w:rPr>
                <w:color w:val="auto"/>
                <w:lang w:val="de-DE"/>
                <w:highlight w:val="none"/>
              </w:rPr>
            </w:pPr>
          </w:p>
          <w:p>
            <w:pPr>
              <w:pStyle w:val="17"/>
              <w:rPr>
                <w:color w:val="auto"/>
                <w:lang w:val="de-DE"/>
                <w:highlight w:val="none"/>
              </w:rPr>
            </w:pPr>
          </w:p>
          <w:p>
            <w:pPr>
              <w:pStyle w:val="17"/>
              <w:rPr>
                <w:color w:val="auto"/>
                <w:lang w:val="de-DE"/>
                <w:highlight w:val="none"/>
              </w:rPr>
            </w:pPr>
          </w:p>
          <w:p>
            <w:pPr>
              <w:pStyle w:val="17"/>
              <w:rPr>
                <w:color w:val="auto"/>
                <w:lang w:val="de-DE"/>
                <w:highlight w:val="none"/>
              </w:rPr>
            </w:pPr>
          </w:p>
          <w:p>
            <w:pPr>
              <w:pStyle w:val="17"/>
              <w:rPr>
                <w:color w:val="auto"/>
                <w:lang w:val="de-DE"/>
                <w:highlight w:val="none"/>
              </w:rPr>
            </w:pPr>
          </w:p>
          <w:p>
            <w:pPr>
              <w:pStyle w:val="17"/>
              <w:rPr>
                <w:color w:val="auto"/>
                <w:lang w:val="de-DE"/>
                <w:highlight w:val="none"/>
              </w:rPr>
            </w:pPr>
          </w:p>
          <w:p>
            <w:pPr>
              <w:pStyle w:val="17"/>
              <w:rPr>
                <w:color w:val="auto"/>
                <w:lang w:val="de-DE"/>
                <w:highlight w:val="none"/>
              </w:rPr>
            </w:pPr>
          </w:p>
          <w:p>
            <w:pPr>
              <w:pStyle w:val="17"/>
              <w:rPr>
                <w:color w:val="auto"/>
                <w:lang w:val="de-DE"/>
                <w:highlight w:val="none"/>
              </w:rPr>
            </w:pPr>
          </w:p>
          <w:p>
            <w:pPr>
              <w:pStyle w:val="17"/>
              <w:rPr>
                <w:color w:val="auto"/>
                <w:lang w:val="de-DE"/>
                <w:highlight w:val="none"/>
              </w:rPr>
            </w:pPr>
          </w:p>
          <w:p>
            <w:pPr>
              <w:pStyle w:val="17"/>
              <w:rPr>
                <w:color w:val="auto"/>
                <w:lang w:val="de-DE"/>
                <w:highlight w:val="none"/>
              </w:rPr>
            </w:pPr>
          </w:p>
          <w:p>
            <w:pPr>
              <w:pStyle w:val="17"/>
              <w:rPr>
                <w:color w:val="auto"/>
                <w:lang w:val="de-DE"/>
                <w:highlight w:val="none"/>
              </w:rPr>
            </w:pPr>
          </w:p>
          <w:p>
            <w:pPr>
              <w:pStyle w:val="17"/>
              <w:rPr>
                <w:color w:val="auto"/>
                <w:lang w:val="de-DE"/>
                <w:highlight w:val="none"/>
              </w:rPr>
            </w:pPr>
          </w:p>
          <w:p>
            <w:pPr>
              <w:pStyle w:val="17"/>
              <w:rPr>
                <w:color w:val="auto"/>
                <w:lang w:val="de-DE"/>
                <w:highlight w:val="none"/>
              </w:rPr>
            </w:pPr>
          </w:p>
          <w:p>
            <w:pPr>
              <w:pStyle w:val="17"/>
              <w:rPr>
                <w:color w:val="auto"/>
                <w:lang w:val="de-DE"/>
                <w:highlight w:val="none"/>
              </w:rPr>
            </w:pPr>
          </w:p>
          <w:p>
            <w:pPr>
              <w:pStyle w:val="17"/>
              <w:rPr>
                <w:color w:val="auto"/>
                <w:lang w:val="de-DE"/>
                <w:highlight w:val="none"/>
              </w:rPr>
            </w:pPr>
          </w:p>
          <w:p>
            <w:pPr>
              <w:pStyle w:val="17"/>
              <w:rPr>
                <w:color w:val="auto"/>
                <w:lang w:val="de-DE"/>
                <w:highlight w:val="none"/>
              </w:rPr>
            </w:pPr>
          </w:p>
          <w:p>
            <w:pPr>
              <w:pStyle w:val="16"/>
              <w:ind w:left="0" w:firstLineChars="0" w:firstLine="0"/>
              <w:rPr>
                <w:color w:val="auto"/>
                <w:lang w:val="de-DE"/>
                <w:highlight w:val="none"/>
              </w:rPr>
            </w:pPr>
          </w:p>
          <w:p>
            <w:pPr>
              <w:pStyle w:val="17"/>
              <w:rPr>
                <w:color w:val="auto"/>
                <w:lang w:val="de-DE"/>
                <w:highlight w:val="none"/>
              </w:rPr>
            </w:pPr>
          </w:p>
          <w:p>
            <w:pPr>
              <w:pStyle w:val="17"/>
              <w:rPr>
                <w:color w:val="auto"/>
                <w:lang w:val="de-DE"/>
                <w:highlight w:val="none"/>
              </w:rPr>
            </w:pPr>
          </w:p>
          <w:p>
            <w:pPr>
              <w:pStyle w:val="17"/>
              <w:rPr>
                <w:color w:val="auto"/>
                <w:lang w:val="de-DE"/>
                <w:highlight w:val="none"/>
              </w:rPr>
            </w:pPr>
          </w:p>
          <w:p>
            <w:pPr>
              <w:pStyle w:val="17"/>
              <w:rPr>
                <w:color w:val="auto"/>
                <w:lang w:val="de-DE"/>
                <w:highlight w:val="none"/>
              </w:rPr>
            </w:pPr>
          </w:p>
          <w:p>
            <w:pPr>
              <w:pStyle w:val="17"/>
              <w:rPr>
                <w:color w:val="auto"/>
                <w:lang w:val="de-DE"/>
                <w:highlight w:val="none"/>
              </w:rPr>
            </w:pPr>
          </w:p>
          <w:p>
            <w:pPr>
              <w:pStyle w:val="17"/>
              <w:rPr>
                <w:color w:val="auto"/>
                <w:lang w:val="de-DE"/>
                <w:highlight w:val="none"/>
              </w:rPr>
            </w:pPr>
          </w:p>
          <w:p>
            <w:pPr>
              <w:pStyle w:val="17"/>
              <w:rPr>
                <w:color w:val="auto"/>
                <w:lang w:val="de-DE"/>
                <w:highlight w:val="none"/>
              </w:rPr>
            </w:pPr>
          </w:p>
          <w:p>
            <w:pPr>
              <w:pStyle w:val="17"/>
              <w:rPr>
                <w:color w:val="auto"/>
                <w:lang w:val="de-DE"/>
                <w:highlight w:val="none"/>
              </w:rPr>
            </w:pPr>
          </w:p>
          <w:p>
            <w:pPr>
              <w:pStyle w:val="17"/>
              <w:rPr>
                <w:color w:val="auto"/>
                <w:lang w:val="de-DE"/>
                <w:highlight w:val="none"/>
              </w:rPr>
            </w:pPr>
          </w:p>
          <w:p>
            <w:pPr>
              <w:pStyle w:val="17"/>
              <w:rPr>
                <w:color w:val="auto"/>
                <w:lang w:val="de-DE"/>
                <w:highlight w:val="none"/>
              </w:rPr>
            </w:pPr>
          </w:p>
          <w:p>
            <w:pPr>
              <w:pStyle w:val="17"/>
              <w:rPr>
                <w:color w:val="auto"/>
                <w:lang w:val="de-DE"/>
                <w:highlight w:val="none"/>
              </w:rPr>
            </w:pPr>
          </w:p>
          <w:p>
            <w:pPr>
              <w:pStyle w:val="17"/>
              <w:rPr>
                <w:color w:val="auto"/>
                <w:lang w:val="de-DE"/>
                <w:highlight w:val="none"/>
              </w:rPr>
            </w:pPr>
          </w:p>
          <w:p>
            <w:pPr>
              <w:pStyle w:val="17"/>
              <w:rPr>
                <w:color w:val="auto"/>
                <w:lang w:val="de-DE"/>
                <w:highlight w:val="none"/>
              </w:rPr>
            </w:pPr>
          </w:p>
          <w:p>
            <w:pPr>
              <w:pStyle w:val="17"/>
              <w:rPr>
                <w:color w:val="auto"/>
                <w:lang w:val="de-DE"/>
                <w:highlight w:val="none"/>
              </w:rPr>
            </w:pPr>
          </w:p>
        </w:tc>
      </w:tr>
    </w:tbl>
    <w:p>
      <w:pPr>
        <w:pStyle w:val="35"/>
        <w:jc w:val="center"/>
        <w:outlineLvl w:val="0"/>
        <w:rPr>
          <w:rFonts w:ascii="黑体" w:eastAsia="黑体" w:hAnsi="黑体" w:hint="eastAsia"/>
          <w:snapToGrid w:val="0"/>
          <w:color w:val="auto"/>
          <w:sz w:val="30"/>
          <w:szCs w:val="30"/>
          <w:highlight w:val="none"/>
        </w:rPr>
      </w:pPr>
      <w:r>
        <w:rPr>
          <w:rFonts w:ascii="黑体" w:eastAsia="黑体" w:hAnsi="黑体"/>
          <w:snapToGrid w:val="0"/>
          <w:color w:val="auto"/>
          <w:sz w:val="36"/>
          <w:szCs w:val="36"/>
          <w:lang w:val="de-DE"/>
          <w:highlight w:val="none"/>
        </w:rPr>
        <w:br w:type="page"/>
      </w:r>
      <w:bookmarkStart w:id="50" w:name="_Toc7257"/>
      <w:bookmarkStart w:id="51" w:name="_Toc15416"/>
      <w:bookmarkStart w:id="52" w:name="_Toc5704"/>
      <w:bookmarkStart w:id="53" w:name="_Toc14329"/>
      <w:bookmarkStart w:id="54" w:name="_Toc3852"/>
      <w:r>
        <w:rPr>
          <w:rFonts w:ascii="黑体" w:eastAsia="黑体" w:hAnsi="黑体" w:hint="eastAsia"/>
          <w:snapToGrid w:val="0"/>
          <w:color w:val="auto"/>
          <w:sz w:val="30"/>
          <w:szCs w:val="30"/>
          <w:highlight w:val="none"/>
        </w:rPr>
        <w:t>四、主要环境影响和保护措施</w:t>
      </w:r>
      <w:bookmarkEnd w:id="50"/>
      <w:bookmarkEnd w:id="51"/>
      <w:bookmarkEnd w:id="52"/>
      <w:bookmarkEnd w:id="53"/>
      <w:bookmarkEnd w:id="54"/>
    </w:p>
    <w:tbl>
      <w:tblPr>
        <w:jc w:val="center"/>
        <w:tblW w:w="9774"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0" w:type="dxa"/>
          <w:left w:w="108" w:type="dxa"/>
          <w:bottom w:w="0" w:type="dxa"/>
          <w:right w:w="108" w:type="dxa"/>
        </w:tblCellMar>
        <w:tblLook w:val="0600" w:firstRow="0" w:lastRow="0" w:firstColumn="0" w:lastColumn="0" w:noHBand="1" w:noVBand="1"/>
      </w:tblPr>
      <w:tblGrid>
        <w:gridCol w:w="622"/>
        <w:gridCol w:w="9152"/>
      </w:tblGrid>
      <w:tr>
        <w:tc>
          <w:tcPr>
            <w:tcW w:w="622" w:type="dxa"/>
            <w:tcMar>
              <w:left w:w="28" w:type="dxa"/>
              <w:right w:w="28" w:type="dxa"/>
            </w:tcMar>
            <w:vAlign w:val="center"/>
          </w:tcPr>
          <w:p>
            <w:pPr>
              <w:pStyle w:val="35"/>
              <w:adjustRightInd w:val="0"/>
              <w:snapToGrid w:val="0"/>
              <w:spacing w:before="0" w:beforeAutospacing="0" w:after="0" w:afterAutospacing="0"/>
              <w:jc w:val="center"/>
              <w:rPr>
                <w:rFonts w:cs="宋体" w:hint="eastAsia"/>
                <w:bCs/>
                <w:color w:val="auto"/>
                <w:kern w:val="2"/>
                <w:sz w:val="21"/>
                <w:szCs w:val="21"/>
                <w:highlight w:val="none"/>
              </w:rPr>
            </w:pPr>
            <w:r>
              <w:rPr>
                <w:rFonts w:cs="宋体" w:hint="eastAsia"/>
                <w:color w:val="auto"/>
                <w:kern w:val="2"/>
                <w:szCs w:val="24"/>
                <w:highlight w:val="none"/>
              </w:rPr>
              <w:t>施工期环境保护措施</w:t>
            </w:r>
          </w:p>
        </w:tc>
        <w:tc>
          <w:tcPr>
            <w:tcW w:w="9152" w:type="dxa"/>
            <w:vAlign w:val="center"/>
          </w:tcPr>
          <w:p>
            <w:pPr>
              <w:keepNext w:val="0"/>
              <w:keepLines w:val="0"/>
              <w:pageBreakBefore w:val="0"/>
              <w:widowControl w:val="0"/>
              <w:kinsoku/>
              <w:wordWrap/>
              <w:overflowPunct/>
              <w:topLinePunct w:val="0"/>
              <w:autoSpaceDE/>
              <w:autoSpaceDN/>
              <w:bidi w:val="0"/>
              <w:adjustRightInd w:val="0"/>
              <w:snapToGrid w:val="0"/>
              <w:spacing w:line="480" w:lineRule="exact"/>
              <w:ind w:firstLineChars="200" w:firstLine="480"/>
              <w:jc w:val="both"/>
              <w:textAlignment w:val="auto"/>
              <w:rPr>
                <w:color w:val="auto"/>
                <w:kern w:val="0"/>
                <w:sz w:val="24"/>
                <w:szCs w:val="24"/>
              </w:rPr>
            </w:pPr>
            <w:r>
              <w:rPr>
                <w:rFonts w:ascii="Times New Roman" w:eastAsia="宋体" w:cs="Times New Roman" w:hAnsi="Times New Roman" w:hint="eastAsia"/>
                <w:color w:val="auto"/>
                <w:sz w:val="24"/>
                <w:lang w:val="en-US" w:eastAsia="zh-CN"/>
                <w:highlight w:val="none"/>
              </w:rPr>
              <w:t>本项目租赁闲置库房并进行改造，地面做防渗防腐环氧地坪漆处理，铺设防轧实心橡胶地垫，配备电池存放铁箱和碱喷淋应急装置，安装24小时现场监控设备</w:t>
            </w:r>
            <w:r>
              <w:rPr>
                <w:rFonts w:hint="eastAsia"/>
                <w:color w:val="auto"/>
                <w:sz w:val="24"/>
                <w:szCs w:val="32"/>
                <w:highlight w:val="none"/>
              </w:rPr>
              <w:t>。施工期建设内容主要为</w:t>
            </w:r>
            <w:r>
              <w:rPr>
                <w:rFonts w:hint="eastAsia"/>
                <w:color w:val="auto"/>
                <w:sz w:val="24"/>
                <w:szCs w:val="32"/>
                <w:lang w:eastAsia="zh-CN"/>
                <w:highlight w:val="none"/>
              </w:rPr>
              <w:t>导流槽</w:t>
            </w:r>
            <w:r>
              <w:rPr>
                <w:rFonts w:hint="eastAsia"/>
                <w:color w:val="auto"/>
                <w:sz w:val="24"/>
                <w:szCs w:val="32"/>
                <w:highlight w:val="none"/>
              </w:rPr>
              <w:t>切割施工、地面防渗防腐蚀处理</w:t>
            </w:r>
            <w:r>
              <w:rPr>
                <w:rFonts w:hint="eastAsia"/>
                <w:color w:val="auto"/>
                <w:sz w:val="24"/>
                <w:szCs w:val="32"/>
                <w:lang w:eastAsia="zh-CN"/>
                <w:highlight w:val="none"/>
              </w:rPr>
              <w:t>、破损电池暂存间和危废间安装、喷淋装置等设备</w:t>
            </w:r>
            <w:r>
              <w:rPr>
                <w:rFonts w:hint="eastAsia"/>
                <w:color w:val="auto"/>
                <w:sz w:val="24"/>
                <w:szCs w:val="32"/>
                <w:highlight w:val="none"/>
              </w:rPr>
              <w:t>安装调试</w:t>
            </w:r>
            <w:r>
              <w:rPr>
                <w:rFonts w:hint="eastAsia"/>
                <w:color w:val="auto"/>
                <w:sz w:val="24"/>
                <w:szCs w:val="32"/>
                <w:lang w:eastAsia="zh-CN"/>
                <w:highlight w:val="none"/>
              </w:rPr>
              <w:t>、监控系统安装等，</w:t>
            </w:r>
            <w:r>
              <w:rPr>
                <w:color w:val="auto"/>
                <w:kern w:val="0"/>
                <w:sz w:val="24"/>
                <w:szCs w:val="24"/>
              </w:rPr>
              <w:t>多</w:t>
            </w:r>
            <w:r>
              <w:rPr>
                <w:rFonts w:hint="eastAsia"/>
                <w:color w:val="auto"/>
                <w:kern w:val="0"/>
                <w:sz w:val="24"/>
                <w:szCs w:val="24"/>
                <w:lang w:eastAsia="zh-CN"/>
              </w:rPr>
              <w:t>为</w:t>
            </w:r>
            <w:r>
              <w:rPr>
                <w:color w:val="auto"/>
                <w:kern w:val="0"/>
                <w:sz w:val="24"/>
                <w:szCs w:val="24"/>
              </w:rPr>
              <w:t>短期性的</w:t>
            </w:r>
            <w:r>
              <w:rPr>
                <w:rFonts w:hint="eastAsia"/>
                <w:color w:val="auto"/>
                <w:kern w:val="0"/>
                <w:sz w:val="24"/>
                <w:szCs w:val="24"/>
                <w:lang w:eastAsia="zh-CN"/>
              </w:rPr>
              <w:t>施工行为</w:t>
            </w:r>
            <w:r>
              <w:rPr>
                <w:color w:val="auto"/>
                <w:kern w:val="0"/>
                <w:sz w:val="24"/>
                <w:szCs w:val="24"/>
              </w:rPr>
              <w:t>，</w:t>
            </w:r>
            <w:r>
              <w:rPr>
                <w:rFonts w:hint="eastAsia"/>
                <w:color w:val="auto"/>
                <w:kern w:val="0"/>
                <w:sz w:val="24"/>
                <w:szCs w:val="24"/>
                <w:lang w:eastAsia="zh-CN"/>
              </w:rPr>
              <w:t>且</w:t>
            </w:r>
            <w:r>
              <w:rPr>
                <w:color w:val="auto"/>
                <w:kern w:val="0"/>
                <w:sz w:val="24"/>
                <w:szCs w:val="24"/>
              </w:rPr>
              <w:t>施工结束以后可逐渐消除，影响分析具体如下：</w:t>
            </w:r>
          </w:p>
          <w:p>
            <w:pPr>
              <w:keepNext w:val="0"/>
              <w:keepLines w:val="0"/>
              <w:pageBreakBefore w:val="0"/>
              <w:widowControl w:val="0"/>
              <w:kinsoku/>
              <w:wordWrap/>
              <w:overflowPunct/>
              <w:topLinePunct w:val="0"/>
              <w:autoSpaceDE/>
              <w:autoSpaceDN/>
              <w:bidi w:val="0"/>
              <w:adjustRightInd w:val="0"/>
              <w:snapToGrid/>
              <w:spacing w:line="460" w:lineRule="exact"/>
              <w:ind w:firstLineChars="200" w:firstLine="480"/>
              <w:textAlignment w:val="auto"/>
              <w:rPr>
                <w:b/>
                <w:bCs/>
                <w:color w:val="auto"/>
                <w:sz w:val="24"/>
                <w:lang w:val="zh-CN"/>
                <w:highlight w:val="none"/>
              </w:rPr>
            </w:pPr>
            <w:r>
              <w:rPr>
                <w:rFonts w:hint="eastAsia"/>
                <w:b/>
                <w:bCs/>
                <w:color w:val="auto"/>
                <w:sz w:val="24"/>
                <w:lang w:val="zh-CN"/>
                <w:highlight w:val="none"/>
              </w:rPr>
              <w:t>1、大气环境保护措施</w:t>
            </w:r>
          </w:p>
          <w:p>
            <w:pPr>
              <w:keepNext w:val="0"/>
              <w:keepLines w:val="0"/>
              <w:pageBreakBefore w:val="0"/>
              <w:widowControl w:val="0"/>
              <w:kinsoku/>
              <w:wordWrap/>
              <w:overflowPunct/>
              <w:topLinePunct w:val="0"/>
              <w:autoSpaceDE/>
              <w:autoSpaceDN/>
              <w:bidi w:val="0"/>
              <w:adjustRightInd w:val="0"/>
              <w:snapToGrid w:val="0"/>
              <w:spacing w:line="480" w:lineRule="exact"/>
              <w:ind w:firstLineChars="200" w:firstLine="480"/>
              <w:jc w:val="both"/>
              <w:textAlignment w:val="auto"/>
              <w:rPr>
                <w:rFonts w:ascii="Times New Roman" w:eastAsia="宋体" w:cs="Times New Roman" w:hAnsi="Times New Roman" w:hint="eastAsia"/>
                <w:color w:val="auto"/>
                <w:sz w:val="24"/>
                <w:lang w:val="zh-CN" w:eastAsia="zh-CN"/>
                <w:highlight w:val="none"/>
              </w:rPr>
            </w:pPr>
            <w:r>
              <w:rPr>
                <w:rFonts w:ascii="Times New Roman" w:eastAsia="宋体" w:cs="Times New Roman" w:hAnsi="Times New Roman" w:hint="eastAsia"/>
                <w:color w:val="auto"/>
                <w:sz w:val="24"/>
                <w:lang w:val="zh-CN" w:eastAsia="zh-CN"/>
                <w:highlight w:val="none"/>
              </w:rPr>
              <w:t>本项目施工期车间装修、设备安装、运输以及堆存会产生扬尘，建筑材料、设备的运输及建筑垃圾清运会引起道路扬尘，主要污染物为颗粒物，对周边区域大气环境有一定影响。为减少扬尘（颗粒物）的产生，采取以下控制措施：</w:t>
            </w:r>
          </w:p>
          <w:p>
            <w:pPr>
              <w:keepNext w:val="0"/>
              <w:keepLines w:val="0"/>
              <w:pageBreakBefore w:val="0"/>
              <w:widowControl w:val="0"/>
              <w:kinsoku/>
              <w:wordWrap/>
              <w:overflowPunct/>
              <w:topLinePunct w:val="0"/>
              <w:autoSpaceDE/>
              <w:autoSpaceDN/>
              <w:bidi w:val="0"/>
              <w:adjustRightInd w:val="0"/>
              <w:snapToGrid w:val="0"/>
              <w:spacing w:line="480" w:lineRule="exact"/>
              <w:ind w:firstLineChars="200" w:firstLine="480"/>
              <w:jc w:val="both"/>
              <w:textAlignment w:val="auto"/>
              <w:rPr>
                <w:rFonts w:ascii="Times New Roman" w:eastAsia="宋体" w:cs="Times New Roman" w:hAnsi="Times New Roman" w:hint="eastAsia"/>
                <w:color w:val="auto"/>
                <w:sz w:val="24"/>
                <w:lang w:val="zh-CN" w:eastAsia="zh-CN"/>
                <w:highlight w:val="none"/>
              </w:rPr>
            </w:pPr>
            <w:r>
              <w:rPr>
                <w:rFonts w:ascii="Times New Roman" w:eastAsia="宋体" w:cs="Times New Roman" w:hAnsi="Times New Roman" w:hint="eastAsia"/>
                <w:color w:val="auto"/>
                <w:sz w:val="24"/>
                <w:lang w:val="zh-CN" w:eastAsia="zh-CN"/>
                <w:highlight w:val="none"/>
              </w:rPr>
              <w:t>①设备的运输及建筑垃圾清运过程中，运输车辆减速慢行，运输垃圾采用蓬布遮盖，以避免沿途洒落，对运输道路及时进行清扫，并进行泼洒抑尘，减少扬尘，装修期间加强对施工场地的管理，适当向作业面、地面洒水，每天不少于2 次；</w:t>
            </w:r>
          </w:p>
          <w:p>
            <w:pPr>
              <w:keepNext w:val="0"/>
              <w:keepLines w:val="0"/>
              <w:pageBreakBefore w:val="0"/>
              <w:widowControl w:val="0"/>
              <w:kinsoku/>
              <w:wordWrap/>
              <w:overflowPunct/>
              <w:topLinePunct w:val="0"/>
              <w:autoSpaceDE/>
              <w:autoSpaceDN/>
              <w:bidi w:val="0"/>
              <w:adjustRightInd w:val="0"/>
              <w:snapToGrid w:val="0"/>
              <w:spacing w:line="480" w:lineRule="exact"/>
              <w:ind w:firstLineChars="200" w:firstLine="480"/>
              <w:jc w:val="both"/>
              <w:textAlignment w:val="auto"/>
              <w:rPr>
                <w:rFonts w:ascii="Times New Roman" w:eastAsia="宋体" w:cs="Times New Roman" w:hAnsi="Times New Roman" w:hint="eastAsia"/>
                <w:color w:val="auto"/>
                <w:sz w:val="24"/>
                <w:lang w:val="zh-CN" w:eastAsia="zh-CN"/>
                <w:highlight w:val="none"/>
              </w:rPr>
            </w:pPr>
            <w:r>
              <w:rPr>
                <w:rFonts w:ascii="Times New Roman" w:eastAsia="宋体" w:cs="Times New Roman" w:hAnsi="Times New Roman" w:hint="eastAsia"/>
                <w:color w:val="auto"/>
                <w:sz w:val="24"/>
                <w:lang w:val="zh-CN" w:eastAsia="zh-CN"/>
                <w:highlight w:val="none"/>
              </w:rPr>
              <w:t>②施工现场禁止搅拌混凝土、砂浆；</w:t>
            </w:r>
          </w:p>
          <w:p>
            <w:pPr>
              <w:keepNext w:val="0"/>
              <w:keepLines w:val="0"/>
              <w:pageBreakBefore w:val="0"/>
              <w:widowControl w:val="0"/>
              <w:kinsoku/>
              <w:wordWrap/>
              <w:overflowPunct/>
              <w:topLinePunct w:val="0"/>
              <w:autoSpaceDE/>
              <w:autoSpaceDN/>
              <w:bidi w:val="0"/>
              <w:adjustRightInd w:val="0"/>
              <w:snapToGrid w:val="0"/>
              <w:spacing w:line="480" w:lineRule="exact"/>
              <w:ind w:firstLineChars="200" w:firstLine="480"/>
              <w:jc w:val="both"/>
              <w:textAlignment w:val="auto"/>
              <w:rPr>
                <w:rFonts w:ascii="Times New Roman" w:eastAsia="宋体" w:cs="Times New Roman" w:hAnsi="Times New Roman" w:hint="eastAsia"/>
                <w:color w:val="auto"/>
                <w:sz w:val="24"/>
                <w:lang w:val="zh-CN" w:eastAsia="zh-CN"/>
                <w:highlight w:val="none"/>
              </w:rPr>
            </w:pPr>
            <w:r>
              <w:rPr>
                <w:rFonts w:ascii="Times New Roman" w:eastAsia="宋体" w:cs="Times New Roman" w:hAnsi="Times New Roman" w:hint="eastAsia"/>
                <w:color w:val="auto"/>
                <w:sz w:val="24"/>
                <w:lang w:val="zh-CN" w:eastAsia="zh-CN"/>
                <w:highlight w:val="none"/>
              </w:rPr>
              <w:t>③在发布重污染天气预警期间内，厂区内不得开展施工作业，预警解除后，方可开工；</w:t>
            </w:r>
          </w:p>
          <w:p>
            <w:pPr>
              <w:keepNext w:val="0"/>
              <w:keepLines w:val="0"/>
              <w:pageBreakBefore w:val="0"/>
              <w:widowControl w:val="0"/>
              <w:kinsoku/>
              <w:wordWrap/>
              <w:overflowPunct/>
              <w:topLinePunct w:val="0"/>
              <w:autoSpaceDE/>
              <w:autoSpaceDN/>
              <w:bidi w:val="0"/>
              <w:adjustRightInd w:val="0"/>
              <w:snapToGrid w:val="0"/>
              <w:spacing w:line="480" w:lineRule="exact"/>
              <w:ind w:firstLineChars="200" w:firstLine="480"/>
              <w:jc w:val="both"/>
              <w:textAlignment w:val="auto"/>
              <w:rPr>
                <w:rFonts w:ascii="Times New Roman" w:eastAsia="宋体" w:cs="Times New Roman" w:hAnsi="Times New Roman" w:hint="eastAsia"/>
                <w:color w:val="auto"/>
                <w:sz w:val="24"/>
                <w:lang w:val="zh-CN" w:eastAsia="zh-CN"/>
                <w:highlight w:val="none"/>
              </w:rPr>
            </w:pPr>
            <w:r>
              <w:rPr>
                <w:rFonts w:ascii="Times New Roman" w:eastAsia="宋体" w:cs="Times New Roman" w:hAnsi="Times New Roman" w:hint="eastAsia"/>
                <w:color w:val="auto"/>
                <w:sz w:val="24"/>
                <w:lang w:val="zh-CN" w:eastAsia="zh-CN"/>
                <w:highlight w:val="none"/>
              </w:rPr>
              <w:t>④建设单位必须委托具有垃圾运输资格的运输单位进行渣土及垃圾运输。采取密闭运输，车身应保持整洁，防止建筑材料、垃圾和工程渣土飞扬、洒落、流溢，严禁抛扔或随意倾倒，保证运输途中不污染城市道路和环境，对不符合要求的运输车辆和驾驶人员，严禁进场进行装运作业；</w:t>
            </w:r>
          </w:p>
          <w:p>
            <w:pPr>
              <w:keepNext w:val="0"/>
              <w:keepLines w:val="0"/>
              <w:pageBreakBefore w:val="0"/>
              <w:widowControl w:val="0"/>
              <w:kinsoku/>
              <w:wordWrap/>
              <w:overflowPunct/>
              <w:topLinePunct w:val="0"/>
              <w:autoSpaceDE/>
              <w:autoSpaceDN/>
              <w:bidi w:val="0"/>
              <w:adjustRightInd w:val="0"/>
              <w:snapToGrid w:val="0"/>
              <w:spacing w:line="480" w:lineRule="exact"/>
              <w:ind w:firstLineChars="200" w:firstLine="480"/>
              <w:jc w:val="both"/>
              <w:textAlignment w:val="auto"/>
              <w:rPr>
                <w:rFonts w:ascii="Times New Roman" w:eastAsia="宋体" w:cs="Times New Roman" w:hAnsi="Times New Roman" w:hint="eastAsia"/>
                <w:color w:val="auto"/>
                <w:sz w:val="24"/>
                <w:lang w:val="zh-CN" w:eastAsia="zh-CN"/>
                <w:highlight w:val="none"/>
              </w:rPr>
            </w:pPr>
            <w:r>
              <w:rPr>
                <w:rFonts w:ascii="Times New Roman" w:eastAsia="宋体" w:cs="Times New Roman" w:hAnsi="Times New Roman" w:hint="eastAsia"/>
                <w:color w:val="auto"/>
                <w:sz w:val="24"/>
                <w:lang w:val="zh-CN" w:eastAsia="zh-CN"/>
                <w:highlight w:val="none"/>
              </w:rPr>
              <w:t>采取以上措施施工期厂界扬尘可达到《施工场地扬尘排放标准》（DB13/2934-2019）表1 扬尘排放浓度限值要求，即监测点浓度限值PM</w:t>
            </w:r>
            <w:r>
              <w:rPr>
                <w:rFonts w:ascii="Times New Roman" w:eastAsia="宋体" w:cs="Times New Roman" w:hAnsi="Times New Roman" w:hint="eastAsia"/>
                <w:color w:val="auto"/>
                <w:sz w:val="24"/>
                <w:vertAlign w:val="subscript"/>
                <w:lang w:val="zh-CN" w:eastAsia="zh-CN"/>
                <w:highlight w:val="none"/>
              </w:rPr>
              <w:t>10</w:t>
            </w:r>
            <w:r>
              <w:rPr>
                <w:rFonts w:ascii="Times New Roman" w:eastAsia="宋体" w:cs="Times New Roman" w:hAnsi="Times New Roman" w:hint="eastAsia"/>
                <w:color w:val="auto"/>
                <w:sz w:val="24"/>
                <w:lang w:val="zh-CN" w:eastAsia="zh-CN"/>
                <w:highlight w:val="none"/>
              </w:rPr>
              <w:t>≤80μg/m³，为达标排放，对区域大气环境影响较小。</w:t>
            </w:r>
          </w:p>
          <w:p>
            <w:pPr>
              <w:pStyle w:val="86"/>
              <w:keepNext w:val="0"/>
              <w:keepLines w:val="0"/>
              <w:pageBreakBefore w:val="0"/>
              <w:widowControl w:val="0"/>
              <w:kinsoku/>
              <w:wordWrap/>
              <w:overflowPunct/>
              <w:topLinePunct w:val="0"/>
              <w:autoSpaceDE/>
              <w:autoSpaceDN/>
              <w:bidi w:val="0"/>
              <w:snapToGrid/>
              <w:spacing w:line="460" w:lineRule="exact"/>
              <w:ind w:firstLineChars="200" w:firstLine="480"/>
              <w:jc w:val="both"/>
              <w:textAlignment w:val="auto"/>
              <w:rPr>
                <w:b/>
                <w:color w:val="auto"/>
                <w:highlight w:val="none"/>
              </w:rPr>
            </w:pPr>
            <w:r>
              <w:rPr>
                <w:rFonts w:hint="eastAsia"/>
                <w:b/>
                <w:color w:val="auto"/>
                <w:lang w:val="en-US" w:eastAsia="zh-CN"/>
                <w:highlight w:val="none"/>
              </w:rPr>
              <w:t>2</w:t>
            </w:r>
            <w:r>
              <w:rPr>
                <w:b/>
                <w:color w:val="auto"/>
                <w:highlight w:val="none"/>
              </w:rPr>
              <w:t>、施工期水环境影响分析</w:t>
            </w:r>
          </w:p>
          <w:p>
            <w:pPr>
              <w:keepNext w:val="0"/>
              <w:keepLines w:val="0"/>
              <w:pageBreakBefore w:val="0"/>
              <w:widowControl w:val="0"/>
              <w:kinsoku/>
              <w:wordWrap/>
              <w:overflowPunct/>
              <w:topLinePunct w:val="0"/>
              <w:autoSpaceDE/>
              <w:autoSpaceDN/>
              <w:bidi w:val="0"/>
              <w:adjustRightInd w:val="0"/>
              <w:snapToGrid/>
              <w:spacing w:line="460" w:lineRule="exact"/>
              <w:ind w:firstLineChars="200" w:firstLine="480"/>
              <w:jc w:val="both"/>
              <w:textAlignment w:val="auto"/>
              <w:rPr>
                <w:color w:val="auto"/>
                <w:sz w:val="24"/>
                <w:lang w:val="zh-CN"/>
                <w:highlight w:val="none"/>
              </w:rPr>
            </w:pPr>
            <w:r>
              <w:rPr>
                <w:color w:val="auto"/>
                <w:sz w:val="24"/>
                <w:lang w:val="zh-CN"/>
                <w:highlight w:val="none"/>
              </w:rPr>
              <w:t>施工期废水主要为施工人员产生的生活废水。</w:t>
            </w:r>
          </w:p>
          <w:p>
            <w:pPr>
              <w:keepNext w:val="0"/>
              <w:keepLines w:val="0"/>
              <w:pageBreakBefore w:val="0"/>
              <w:widowControl w:val="0"/>
              <w:kinsoku/>
              <w:wordWrap/>
              <w:overflowPunct/>
              <w:topLinePunct w:val="0"/>
              <w:autoSpaceDE/>
              <w:autoSpaceDN/>
              <w:bidi w:val="0"/>
              <w:adjustRightInd w:val="0"/>
              <w:snapToGrid/>
              <w:spacing w:line="460" w:lineRule="exact"/>
              <w:ind w:firstLineChars="200" w:firstLine="480"/>
              <w:jc w:val="both"/>
              <w:textAlignment w:val="auto"/>
              <w:rPr>
                <w:color w:val="auto"/>
                <w:sz w:val="24"/>
                <w:lang w:val="zh-CN"/>
                <w:highlight w:val="none"/>
              </w:rPr>
            </w:pPr>
            <w:r>
              <w:rPr>
                <w:color w:val="auto"/>
                <w:sz w:val="24"/>
                <w:lang w:val="zh-CN"/>
                <w:highlight w:val="none"/>
              </w:rPr>
              <w:t>施工生活污水中主要污染物为COD、SS、氨氮，</w:t>
            </w:r>
            <w:r>
              <w:rPr>
                <w:rFonts w:hint="eastAsia"/>
                <w:color w:val="auto"/>
                <w:sz w:val="24"/>
                <w:lang w:val="en-US" w:eastAsia="zh-CN"/>
                <w:highlight w:val="none"/>
              </w:rPr>
              <w:t>由于施工人员较少，产生废水依托泽豪厂区化粪池</w:t>
            </w:r>
            <w:r>
              <w:rPr>
                <w:color w:val="auto"/>
                <w:sz w:val="24"/>
                <w:lang w:val="zh-CN"/>
                <w:highlight w:val="none"/>
              </w:rPr>
              <w:t>，</w:t>
            </w:r>
            <w:r>
              <w:rPr>
                <w:rFonts w:hint="eastAsia"/>
                <w:color w:val="auto"/>
                <w:sz w:val="24"/>
                <w:lang w:val="zh-CN"/>
                <w:highlight w:val="none"/>
              </w:rPr>
              <w:t>处理后定期清掏</w:t>
            </w:r>
            <w:r>
              <w:rPr>
                <w:color w:val="auto"/>
                <w:sz w:val="24"/>
                <w:lang w:val="zh-CN"/>
                <w:highlight w:val="none"/>
              </w:rPr>
              <w:t>。</w:t>
            </w:r>
          </w:p>
          <w:p>
            <w:pPr>
              <w:pStyle w:val="86"/>
              <w:keepNext w:val="0"/>
              <w:keepLines w:val="0"/>
              <w:pageBreakBefore w:val="0"/>
              <w:widowControl w:val="0"/>
              <w:kinsoku/>
              <w:wordWrap/>
              <w:overflowPunct/>
              <w:topLinePunct w:val="0"/>
              <w:autoSpaceDE/>
              <w:autoSpaceDN/>
              <w:bidi w:val="0"/>
              <w:snapToGrid/>
              <w:spacing w:line="460" w:lineRule="exact"/>
              <w:ind w:firstLineChars="200" w:firstLine="480"/>
              <w:jc w:val="both"/>
              <w:textAlignment w:val="auto"/>
              <w:rPr>
                <w:color w:val="auto"/>
                <w:highlight w:val="none"/>
              </w:rPr>
            </w:pPr>
            <w:r>
              <w:rPr>
                <w:color w:val="auto"/>
                <w:lang w:val="zh-CN"/>
                <w:highlight w:val="none"/>
              </w:rPr>
              <w:t>综上所述，项目施工期废水不外排，不会对周边水环境产生明显影响。</w:t>
            </w:r>
          </w:p>
          <w:p>
            <w:pPr>
              <w:pStyle w:val="86"/>
              <w:keepNext w:val="0"/>
              <w:keepLines w:val="0"/>
              <w:pageBreakBefore w:val="0"/>
              <w:widowControl w:val="0"/>
              <w:kinsoku/>
              <w:wordWrap/>
              <w:overflowPunct/>
              <w:topLinePunct w:val="0"/>
              <w:autoSpaceDE/>
              <w:autoSpaceDN/>
              <w:bidi w:val="0"/>
              <w:snapToGrid/>
              <w:spacing w:line="460" w:lineRule="exact"/>
              <w:ind w:firstLineChars="200" w:firstLine="480"/>
              <w:jc w:val="both"/>
              <w:textAlignment w:val="auto"/>
              <w:rPr>
                <w:b/>
                <w:color w:val="auto"/>
                <w:highlight w:val="none"/>
              </w:rPr>
            </w:pPr>
            <w:r>
              <w:rPr>
                <w:rFonts w:hint="eastAsia"/>
                <w:b/>
                <w:color w:val="auto"/>
                <w:lang w:val="en-US" w:eastAsia="zh-CN"/>
                <w:highlight w:val="none"/>
              </w:rPr>
              <w:t>3</w:t>
            </w:r>
            <w:r>
              <w:rPr>
                <w:b/>
                <w:color w:val="auto"/>
                <w:highlight w:val="none"/>
              </w:rPr>
              <w:t>、施工期噪声环境影响和保护措施</w:t>
            </w:r>
          </w:p>
          <w:p>
            <w:pPr>
              <w:pStyle w:val="86"/>
              <w:keepNext w:val="0"/>
              <w:keepLines w:val="0"/>
              <w:pageBreakBefore w:val="0"/>
              <w:widowControl w:val="0"/>
              <w:kinsoku/>
              <w:wordWrap/>
              <w:overflowPunct/>
              <w:topLinePunct w:val="0"/>
              <w:autoSpaceDE/>
              <w:autoSpaceDN/>
              <w:bidi w:val="0"/>
              <w:snapToGrid/>
              <w:spacing w:line="460" w:lineRule="exact"/>
              <w:ind w:firstLineChars="200" w:firstLine="480"/>
              <w:jc w:val="both"/>
              <w:textAlignment w:val="auto"/>
              <w:rPr>
                <w:rFonts w:ascii="Times New Roman" w:eastAsia="宋体" w:cs="Times New Roman" w:hAnsi="Times New Roman"/>
                <w:color w:val="auto"/>
                <w:highlight w:val="none"/>
              </w:rPr>
            </w:pPr>
            <w:r>
              <w:rPr>
                <w:color w:val="auto"/>
                <w:highlight w:val="none"/>
              </w:rPr>
              <w:t>施工期产生的噪声源主要为</w:t>
            </w:r>
            <w:r>
              <w:rPr>
                <w:rFonts w:hint="eastAsia"/>
                <w:color w:val="auto"/>
                <w:sz w:val="24"/>
                <w:lang w:val="en-US" w:eastAsia="zh-CN"/>
                <w:highlight w:val="none"/>
              </w:rPr>
              <w:t>装修设备运转噪声、</w:t>
            </w:r>
            <w:r>
              <w:rPr>
                <w:color w:val="auto"/>
                <w:highlight w:val="none"/>
              </w:rPr>
              <w:t>运输车辆等机械产生的噪声，其特点是间歇或阵发性的，并具备流动性的特征。为减少施工噪声对敏感点的影响，结合施工进展，采取如下防治措施</w:t>
            </w:r>
            <w:r>
              <w:rPr>
                <w:rFonts w:ascii="Times New Roman" w:eastAsia="宋体" w:cs="Times New Roman" w:hAnsi="Times New Roman"/>
                <w:color w:val="auto"/>
                <w:highlight w:val="none"/>
              </w:rPr>
              <w:t>：</w:t>
            </w:r>
          </w:p>
          <w:p>
            <w:pPr>
              <w:pStyle w:val="86"/>
              <w:keepNext w:val="0"/>
              <w:keepLines w:val="0"/>
              <w:pageBreakBefore w:val="0"/>
              <w:widowControl w:val="0"/>
              <w:kinsoku/>
              <w:wordWrap/>
              <w:overflowPunct/>
              <w:topLinePunct w:val="0"/>
              <w:autoSpaceDE/>
              <w:autoSpaceDN/>
              <w:bidi w:val="0"/>
              <w:snapToGrid/>
              <w:spacing w:line="460" w:lineRule="exact"/>
              <w:ind w:firstLineChars="200" w:firstLine="480"/>
              <w:jc w:val="both"/>
              <w:textAlignment w:val="auto"/>
              <w:rPr>
                <w:rFonts w:ascii="Times New Roman" w:eastAsia="宋体" w:cs="Times New Roman" w:hAnsi="Times New Roman"/>
                <w:color w:val="auto"/>
                <w:highlight w:val="none"/>
              </w:rPr>
            </w:pPr>
            <w:r>
              <w:rPr>
                <w:rFonts w:ascii="Times New Roman" w:eastAsia="宋体" w:cs="Times New Roman" w:hAnsi="Times New Roman" w:hint="eastAsia"/>
                <w:color w:val="auto"/>
                <w:lang w:eastAsia="zh-CN"/>
                <w:highlight w:val="none"/>
              </w:rPr>
              <w:t>（</w:t>
            </w:r>
            <w:r>
              <w:rPr>
                <w:rFonts w:ascii="Times New Roman" w:eastAsia="宋体" w:cs="Times New Roman" w:hAnsi="Times New Roman" w:hint="eastAsia"/>
                <w:color w:val="auto"/>
                <w:lang w:val="en-US" w:eastAsia="zh-CN"/>
                <w:highlight w:val="none"/>
              </w:rPr>
              <w:t>1</w:t>
            </w:r>
            <w:r>
              <w:rPr>
                <w:rFonts w:ascii="Times New Roman" w:eastAsia="宋体" w:cs="Times New Roman" w:hAnsi="Times New Roman" w:hint="eastAsia"/>
                <w:color w:val="auto"/>
                <w:lang w:eastAsia="zh-CN"/>
                <w:highlight w:val="none"/>
              </w:rPr>
              <w:t>）</w:t>
            </w:r>
            <w:r>
              <w:rPr>
                <w:rFonts w:ascii="Times New Roman" w:eastAsia="宋体" w:cs="Times New Roman" w:hAnsi="Times New Roman"/>
                <w:color w:val="auto"/>
                <w:highlight w:val="none"/>
              </w:rPr>
              <w:t>选用低噪声设备</w:t>
            </w:r>
            <w:r>
              <w:rPr>
                <w:rFonts w:ascii="Times New Roman" w:eastAsia="宋体" w:cs="Times New Roman" w:hAnsi="Times New Roman" w:hint="eastAsia"/>
                <w:color w:val="auto"/>
                <w:lang w:eastAsia="zh-CN"/>
                <w:highlight w:val="none"/>
              </w:rPr>
              <w:t>。</w:t>
            </w:r>
            <w:r>
              <w:rPr>
                <w:rFonts w:ascii="Times New Roman" w:eastAsia="宋体" w:cs="Times New Roman" w:hAnsi="Times New Roman"/>
                <w:color w:val="auto"/>
                <w:highlight w:val="none"/>
              </w:rPr>
              <w:t>在设备选型时，优先选用低噪声、低振动的先进施工机械和工具（如低噪声切割机、振动小的夯实设备等）。</w:t>
            </w:r>
          </w:p>
          <w:p>
            <w:pPr>
              <w:pStyle w:val="86"/>
              <w:keepNext w:val="0"/>
              <w:keepLines w:val="0"/>
              <w:pageBreakBefore w:val="0"/>
              <w:widowControl w:val="0"/>
              <w:kinsoku/>
              <w:wordWrap/>
              <w:overflowPunct/>
              <w:topLinePunct w:val="0"/>
              <w:autoSpaceDE/>
              <w:autoSpaceDN/>
              <w:bidi w:val="0"/>
              <w:snapToGrid/>
              <w:spacing w:line="460" w:lineRule="exact"/>
              <w:ind w:firstLineChars="200" w:firstLine="480"/>
              <w:jc w:val="both"/>
              <w:textAlignment w:val="auto"/>
              <w:rPr>
                <w:rFonts w:ascii="Times New Roman" w:eastAsia="宋体" w:cs="Times New Roman" w:hAnsi="Times New Roman"/>
                <w:color w:val="auto"/>
                <w:highlight w:val="none"/>
              </w:rPr>
            </w:pPr>
            <w:r>
              <w:rPr>
                <w:rFonts w:ascii="Times New Roman" w:eastAsia="宋体" w:cs="Times New Roman" w:hAnsi="Times New Roman" w:hint="eastAsia"/>
                <w:color w:val="auto"/>
                <w:lang w:eastAsia="zh-CN"/>
                <w:highlight w:val="none"/>
              </w:rPr>
              <w:t>（</w:t>
            </w:r>
            <w:r>
              <w:rPr>
                <w:rFonts w:ascii="Times New Roman" w:eastAsia="宋体" w:cs="Times New Roman" w:hAnsi="Times New Roman" w:hint="eastAsia"/>
                <w:color w:val="auto"/>
                <w:lang w:val="en-US" w:eastAsia="zh-CN"/>
                <w:highlight w:val="none"/>
              </w:rPr>
              <w:t>2</w:t>
            </w:r>
            <w:r>
              <w:rPr>
                <w:rFonts w:ascii="Times New Roman" w:eastAsia="宋体" w:cs="Times New Roman" w:hAnsi="Times New Roman" w:hint="eastAsia"/>
                <w:color w:val="auto"/>
                <w:lang w:eastAsia="zh-CN"/>
                <w:highlight w:val="none"/>
              </w:rPr>
              <w:t>）</w:t>
            </w:r>
            <w:r>
              <w:rPr>
                <w:rFonts w:ascii="Times New Roman" w:eastAsia="宋体" w:cs="Times New Roman" w:hAnsi="Times New Roman"/>
                <w:color w:val="auto"/>
                <w:highlight w:val="none"/>
              </w:rPr>
              <w:t>设备维护与正确使用</w:t>
            </w:r>
            <w:r>
              <w:rPr>
                <w:rFonts w:ascii="Times New Roman" w:eastAsia="宋体" w:cs="Times New Roman" w:hAnsi="Times New Roman" w:hint="eastAsia"/>
                <w:color w:val="auto"/>
                <w:lang w:eastAsia="zh-CN"/>
                <w:highlight w:val="none"/>
              </w:rPr>
              <w:t>。</w:t>
            </w:r>
            <w:r>
              <w:rPr>
                <w:rFonts w:ascii="Times New Roman" w:eastAsia="宋体" w:cs="Times New Roman" w:hAnsi="Times New Roman"/>
                <w:color w:val="auto"/>
                <w:highlight w:val="none"/>
              </w:rPr>
              <w:t>加强施工机械的日常维护保养，确保设备处于良好运行状态，防止因设备故障产生异常噪声。规范操作流程，避免因不当操作加剧噪声。</w:t>
            </w:r>
          </w:p>
          <w:p>
            <w:pPr>
              <w:pStyle w:val="86"/>
              <w:keepNext w:val="0"/>
              <w:keepLines w:val="0"/>
              <w:pageBreakBefore w:val="0"/>
              <w:widowControl w:val="0"/>
              <w:kinsoku/>
              <w:wordWrap/>
              <w:overflowPunct/>
              <w:topLinePunct w:val="0"/>
              <w:autoSpaceDE/>
              <w:autoSpaceDN/>
              <w:bidi w:val="0"/>
              <w:snapToGrid/>
              <w:spacing w:line="460" w:lineRule="exact"/>
              <w:ind w:firstLineChars="200" w:firstLine="480"/>
              <w:jc w:val="both"/>
              <w:textAlignment w:val="auto"/>
              <w:rPr>
                <w:rFonts w:ascii="Times New Roman" w:eastAsia="宋体" w:cs="Times New Roman" w:hAnsi="Times New Roman"/>
                <w:color w:val="auto"/>
                <w:highlight w:val="none"/>
              </w:rPr>
            </w:pPr>
            <w:r>
              <w:rPr>
                <w:rFonts w:ascii="Times New Roman" w:eastAsia="宋体" w:cs="Times New Roman" w:hAnsi="Times New Roman" w:hint="eastAsia"/>
                <w:color w:val="auto"/>
                <w:lang w:eastAsia="zh-CN"/>
                <w:highlight w:val="none"/>
              </w:rPr>
              <w:t>（</w:t>
            </w:r>
            <w:r>
              <w:rPr>
                <w:rFonts w:ascii="Times New Roman" w:eastAsia="宋体" w:cs="Times New Roman" w:hAnsi="Times New Roman" w:hint="eastAsia"/>
                <w:color w:val="auto"/>
                <w:lang w:val="en-US" w:eastAsia="zh-CN"/>
                <w:highlight w:val="none"/>
              </w:rPr>
              <w:t>3</w:t>
            </w:r>
            <w:r>
              <w:rPr>
                <w:rFonts w:ascii="Times New Roman" w:eastAsia="宋体" w:cs="Times New Roman" w:hAnsi="Times New Roman" w:hint="eastAsia"/>
                <w:color w:val="auto"/>
                <w:lang w:eastAsia="zh-CN"/>
                <w:highlight w:val="none"/>
              </w:rPr>
              <w:t>）</w:t>
            </w:r>
            <w:r>
              <w:rPr>
                <w:rFonts w:ascii="Times New Roman" w:eastAsia="宋体" w:cs="Times New Roman" w:hAnsi="Times New Roman"/>
                <w:color w:val="auto"/>
                <w:highlight w:val="none"/>
              </w:rPr>
              <w:t>封闭施工</w:t>
            </w:r>
            <w:r>
              <w:rPr>
                <w:rFonts w:ascii="Times New Roman" w:eastAsia="宋体" w:cs="Times New Roman" w:hAnsi="Times New Roman" w:hint="eastAsia"/>
                <w:color w:val="auto"/>
                <w:lang w:eastAsia="zh-CN"/>
                <w:highlight w:val="none"/>
              </w:rPr>
              <w:t>。</w:t>
            </w:r>
            <w:r>
              <w:rPr>
                <w:rFonts w:ascii="Times New Roman" w:eastAsia="宋体" w:cs="Times New Roman" w:hAnsi="Times New Roman"/>
                <w:color w:val="auto"/>
                <w:highlight w:val="none"/>
              </w:rPr>
              <w:t>关闭车间所有门窗，利用现有厂房的围护结构起到天然的隔声、屏蔽作用。</w:t>
            </w:r>
          </w:p>
          <w:p>
            <w:pPr>
              <w:pStyle w:val="86"/>
              <w:keepNext w:val="0"/>
              <w:keepLines w:val="0"/>
              <w:pageBreakBefore w:val="0"/>
              <w:widowControl w:val="0"/>
              <w:kinsoku/>
              <w:wordWrap/>
              <w:overflowPunct/>
              <w:topLinePunct w:val="0"/>
              <w:autoSpaceDE/>
              <w:autoSpaceDN/>
              <w:bidi w:val="0"/>
              <w:snapToGrid/>
              <w:spacing w:line="460" w:lineRule="exact"/>
              <w:ind w:firstLineChars="200" w:firstLine="480"/>
              <w:jc w:val="both"/>
              <w:textAlignment w:val="auto"/>
              <w:rPr>
                <w:rFonts w:ascii="Times New Roman" w:eastAsia="宋体" w:cs="Times New Roman" w:hAnsi="Times New Roman"/>
                <w:color w:val="auto"/>
                <w:highlight w:val="none"/>
              </w:rPr>
            </w:pPr>
            <w:r>
              <w:rPr>
                <w:rFonts w:ascii="Times New Roman" w:eastAsia="宋体" w:cs="Times New Roman" w:hAnsi="Times New Roman" w:hint="eastAsia"/>
                <w:color w:val="auto"/>
                <w:lang w:eastAsia="zh-CN"/>
                <w:highlight w:val="none"/>
              </w:rPr>
              <w:t>（</w:t>
            </w:r>
            <w:r>
              <w:rPr>
                <w:rFonts w:ascii="Times New Roman" w:eastAsia="宋体" w:cs="Times New Roman" w:hAnsi="Times New Roman" w:hint="eastAsia"/>
                <w:color w:val="auto"/>
                <w:lang w:val="en-US" w:eastAsia="zh-CN"/>
                <w:highlight w:val="none"/>
              </w:rPr>
              <w:t>4</w:t>
            </w:r>
            <w:r>
              <w:rPr>
                <w:rFonts w:ascii="Times New Roman" w:eastAsia="宋体" w:cs="Times New Roman" w:hAnsi="Times New Roman" w:hint="eastAsia"/>
                <w:color w:val="auto"/>
                <w:lang w:eastAsia="zh-CN"/>
                <w:highlight w:val="none"/>
              </w:rPr>
              <w:t>）</w:t>
            </w:r>
            <w:r>
              <w:rPr>
                <w:rFonts w:ascii="Times New Roman" w:eastAsia="宋体" w:cs="Times New Roman" w:hAnsi="Times New Roman"/>
                <w:color w:val="auto"/>
                <w:highlight w:val="none"/>
              </w:rPr>
              <w:t>优化布局与距离衰减</w:t>
            </w:r>
            <w:r>
              <w:rPr>
                <w:rFonts w:ascii="Times New Roman" w:eastAsia="宋体" w:cs="Times New Roman" w:hAnsi="Times New Roman" w:hint="eastAsia"/>
                <w:color w:val="auto"/>
                <w:lang w:eastAsia="zh-CN"/>
                <w:highlight w:val="none"/>
              </w:rPr>
              <w:t>。</w:t>
            </w:r>
            <w:r>
              <w:rPr>
                <w:rFonts w:ascii="Times New Roman" w:eastAsia="宋体" w:cs="Times New Roman" w:hAnsi="Times New Roman"/>
                <w:color w:val="auto"/>
                <w:highlight w:val="none"/>
              </w:rPr>
              <w:t>在车间内合理布置高噪声设备，尽可能将其设置在远离周边敏感点的一侧，充分利用距离实现噪声自然衰减。</w:t>
            </w:r>
          </w:p>
          <w:p>
            <w:pPr>
              <w:pStyle w:val="86"/>
              <w:keepNext w:val="0"/>
              <w:keepLines w:val="0"/>
              <w:pageBreakBefore w:val="0"/>
              <w:widowControl w:val="0"/>
              <w:kinsoku/>
              <w:wordWrap/>
              <w:overflowPunct/>
              <w:topLinePunct w:val="0"/>
              <w:autoSpaceDE/>
              <w:autoSpaceDN/>
              <w:bidi w:val="0"/>
              <w:snapToGrid/>
              <w:spacing w:line="460" w:lineRule="exact"/>
              <w:ind w:firstLineChars="200" w:firstLine="480"/>
              <w:jc w:val="both"/>
              <w:textAlignment w:val="auto"/>
              <w:rPr>
                <w:rFonts w:ascii="Times New Roman" w:eastAsia="宋体" w:cs="Times New Roman" w:hAnsi="Times New Roman"/>
                <w:color w:val="auto"/>
                <w:highlight w:val="none"/>
              </w:rPr>
            </w:pPr>
            <w:r>
              <w:rPr>
                <w:rFonts w:ascii="Times New Roman" w:eastAsia="宋体" w:cs="Times New Roman" w:hAnsi="Times New Roman" w:hint="eastAsia"/>
                <w:color w:val="auto"/>
                <w:lang w:eastAsia="zh-CN"/>
                <w:highlight w:val="none"/>
              </w:rPr>
              <w:t>（</w:t>
            </w:r>
            <w:r>
              <w:rPr>
                <w:rFonts w:ascii="Times New Roman" w:eastAsia="宋体" w:cs="Times New Roman" w:hAnsi="Times New Roman" w:hint="eastAsia"/>
                <w:color w:val="auto"/>
                <w:lang w:val="en-US" w:eastAsia="zh-CN"/>
                <w:highlight w:val="none"/>
              </w:rPr>
              <w:t>5</w:t>
            </w:r>
            <w:r>
              <w:rPr>
                <w:rFonts w:ascii="Times New Roman" w:eastAsia="宋体" w:cs="Times New Roman" w:hAnsi="Times New Roman" w:hint="eastAsia"/>
                <w:color w:val="auto"/>
                <w:lang w:eastAsia="zh-CN"/>
                <w:highlight w:val="none"/>
              </w:rPr>
              <w:t>）</w:t>
            </w:r>
            <w:r>
              <w:rPr>
                <w:rFonts w:ascii="Times New Roman" w:eastAsia="宋体" w:cs="Times New Roman" w:hAnsi="Times New Roman"/>
                <w:color w:val="auto"/>
                <w:highlight w:val="none"/>
              </w:rPr>
              <w:t>车辆交通管理</w:t>
            </w:r>
            <w:r>
              <w:rPr>
                <w:rFonts w:ascii="Times New Roman" w:eastAsia="宋体" w:cs="Times New Roman" w:hAnsi="Times New Roman" w:hint="eastAsia"/>
                <w:color w:val="auto"/>
                <w:lang w:eastAsia="zh-CN"/>
                <w:highlight w:val="none"/>
              </w:rPr>
              <w:t>。</w:t>
            </w:r>
            <w:r>
              <w:rPr>
                <w:rFonts w:ascii="Times New Roman" w:eastAsia="宋体" w:cs="Times New Roman" w:hAnsi="Times New Roman"/>
                <w:color w:val="auto"/>
                <w:highlight w:val="none"/>
              </w:rPr>
              <w:t>运输车辆进入厂区后，严禁鸣笛。合理规划运输路线，使车辆尽可能远离敏感点行驶</w:t>
            </w:r>
            <w:r>
              <w:rPr>
                <w:rFonts w:ascii="Times New Roman" w:eastAsia="宋体" w:cs="Times New Roman" w:hAnsi="Times New Roman" w:hint="eastAsia"/>
                <w:color w:val="auto"/>
                <w:lang w:eastAsia="zh-CN"/>
                <w:highlight w:val="none"/>
              </w:rPr>
              <w:t>。</w:t>
            </w:r>
            <w:r>
              <w:rPr>
                <w:rFonts w:ascii="Times New Roman" w:eastAsia="宋体" w:cs="Times New Roman" w:hAnsi="Times New Roman"/>
                <w:color w:val="auto"/>
                <w:highlight w:val="none"/>
              </w:rPr>
              <w:t>物料运输与装卸作业应轻拿轻放，减少碰撞噪声。</w:t>
            </w:r>
          </w:p>
          <w:p>
            <w:pPr>
              <w:pStyle w:val="86"/>
              <w:keepNext w:val="0"/>
              <w:keepLines w:val="0"/>
              <w:pageBreakBefore w:val="0"/>
              <w:widowControl w:val="0"/>
              <w:kinsoku/>
              <w:wordWrap/>
              <w:overflowPunct/>
              <w:topLinePunct w:val="0"/>
              <w:autoSpaceDE/>
              <w:autoSpaceDN/>
              <w:bidi w:val="0"/>
              <w:snapToGrid/>
              <w:spacing w:line="460" w:lineRule="exact"/>
              <w:ind w:firstLineChars="200" w:firstLine="480"/>
              <w:jc w:val="both"/>
              <w:textAlignment w:val="auto"/>
              <w:rPr>
                <w:rFonts w:ascii="Times New Roman" w:eastAsia="宋体" w:cs="Times New Roman" w:hAnsi="Times New Roman"/>
                <w:color w:val="auto"/>
                <w:highlight w:val="none"/>
              </w:rPr>
            </w:pPr>
            <w:r>
              <w:rPr>
                <w:rFonts w:ascii="Times New Roman" w:eastAsia="宋体" w:cs="Times New Roman" w:hAnsi="Times New Roman" w:hint="eastAsia"/>
                <w:color w:val="auto"/>
                <w:lang w:eastAsia="zh-CN"/>
                <w:highlight w:val="none"/>
              </w:rPr>
              <w:t>（</w:t>
            </w:r>
            <w:r>
              <w:rPr>
                <w:rFonts w:ascii="Times New Roman" w:eastAsia="宋体" w:cs="Times New Roman" w:hAnsi="Times New Roman" w:hint="eastAsia"/>
                <w:color w:val="auto"/>
                <w:lang w:val="en-US" w:eastAsia="zh-CN"/>
                <w:highlight w:val="none"/>
              </w:rPr>
              <w:t>6</w:t>
            </w:r>
            <w:r>
              <w:rPr>
                <w:rFonts w:ascii="Times New Roman" w:eastAsia="宋体" w:cs="Times New Roman" w:hAnsi="Times New Roman" w:hint="eastAsia"/>
                <w:color w:val="auto"/>
                <w:lang w:eastAsia="zh-CN"/>
                <w:highlight w:val="none"/>
              </w:rPr>
              <w:t>）</w:t>
            </w:r>
            <w:r>
              <w:rPr>
                <w:rFonts w:ascii="Times New Roman" w:eastAsia="宋体" w:cs="Times New Roman" w:hAnsi="Times New Roman"/>
                <w:color w:val="auto"/>
                <w:highlight w:val="none"/>
              </w:rPr>
              <w:t>严格限定施工时间</w:t>
            </w:r>
            <w:r>
              <w:rPr>
                <w:rFonts w:ascii="Times New Roman" w:eastAsia="宋体" w:cs="Times New Roman" w:hAnsi="Times New Roman" w:hint="eastAsia"/>
                <w:color w:val="auto"/>
                <w:lang w:eastAsia="zh-CN"/>
                <w:highlight w:val="none"/>
              </w:rPr>
              <w:t>。</w:t>
            </w:r>
            <w:r>
              <w:rPr>
                <w:rFonts w:ascii="Times New Roman" w:eastAsia="宋体" w:cs="Times New Roman" w:hAnsi="Times New Roman"/>
                <w:color w:val="auto"/>
                <w:highlight w:val="none"/>
              </w:rPr>
              <w:t>将高噪声作业严格限制在昼间进行。严禁在夜间产生环境噪声污染的施工作业。在午间等居民休息的敏感时段，合理安排低噪声作业，避免进行高噪声活动。</w:t>
            </w:r>
          </w:p>
          <w:p>
            <w:pPr>
              <w:pStyle w:val="86"/>
              <w:keepNext w:val="0"/>
              <w:keepLines w:val="0"/>
              <w:pageBreakBefore w:val="0"/>
              <w:widowControl w:val="0"/>
              <w:kinsoku/>
              <w:wordWrap/>
              <w:overflowPunct/>
              <w:topLinePunct w:val="0"/>
              <w:autoSpaceDE/>
              <w:autoSpaceDN/>
              <w:bidi w:val="0"/>
              <w:snapToGrid/>
              <w:spacing w:line="460" w:lineRule="exact"/>
              <w:ind w:firstLineChars="200" w:firstLine="480"/>
              <w:jc w:val="both"/>
              <w:textAlignment w:val="auto"/>
              <w:rPr>
                <w:rFonts w:ascii="Times New Roman" w:eastAsia="宋体" w:cs="Times New Roman" w:hAnsi="Times New Roman"/>
                <w:color w:val="auto"/>
                <w:highlight w:val="none"/>
              </w:rPr>
            </w:pPr>
            <w:r>
              <w:rPr>
                <w:rFonts w:ascii="Times New Roman" w:eastAsia="宋体" w:cs="Times New Roman" w:hAnsi="Times New Roman" w:hint="eastAsia"/>
                <w:color w:val="auto"/>
                <w:lang w:eastAsia="zh-CN"/>
                <w:highlight w:val="none"/>
              </w:rPr>
              <w:t>（</w:t>
            </w:r>
            <w:r>
              <w:rPr>
                <w:rFonts w:cs="Times New Roman" w:hint="eastAsia"/>
                <w:color w:val="auto"/>
                <w:lang w:val="en-US" w:eastAsia="zh-CN"/>
                <w:highlight w:val="none"/>
              </w:rPr>
              <w:t>7</w:t>
            </w:r>
            <w:r>
              <w:rPr>
                <w:rFonts w:ascii="Times New Roman" w:eastAsia="宋体" w:cs="Times New Roman" w:hAnsi="Times New Roman" w:hint="eastAsia"/>
                <w:color w:val="auto"/>
                <w:lang w:eastAsia="zh-CN"/>
                <w:highlight w:val="none"/>
              </w:rPr>
              <w:t>）</w:t>
            </w:r>
            <w:r>
              <w:rPr>
                <w:rFonts w:ascii="Times New Roman" w:eastAsia="宋体" w:cs="Times New Roman" w:hAnsi="Times New Roman"/>
                <w:color w:val="auto"/>
                <w:highlight w:val="none"/>
              </w:rPr>
              <w:t>加强沟通与公示</w:t>
            </w:r>
            <w:r>
              <w:rPr>
                <w:rFonts w:ascii="Times New Roman" w:eastAsia="宋体" w:cs="Times New Roman" w:hAnsi="Times New Roman" w:hint="eastAsia"/>
                <w:color w:val="auto"/>
                <w:lang w:eastAsia="zh-CN"/>
                <w:highlight w:val="none"/>
              </w:rPr>
              <w:t>。</w:t>
            </w:r>
            <w:r>
              <w:rPr>
                <w:rFonts w:ascii="Times New Roman" w:eastAsia="宋体" w:cs="Times New Roman" w:hAnsi="Times New Roman"/>
                <w:color w:val="auto"/>
                <w:highlight w:val="none"/>
              </w:rPr>
              <w:t>施工前在厂区周边张贴告示，公示施工计划、工期及采取的降噪措施，争取周边群众的理解。设立联络电话，及时处理噪声投诉。</w:t>
            </w:r>
          </w:p>
          <w:p>
            <w:pPr>
              <w:pStyle w:val="86"/>
              <w:keepNext w:val="0"/>
              <w:keepLines w:val="0"/>
              <w:pageBreakBefore w:val="0"/>
              <w:widowControl w:val="0"/>
              <w:kinsoku/>
              <w:wordWrap/>
              <w:overflowPunct/>
              <w:topLinePunct w:val="0"/>
              <w:autoSpaceDE/>
              <w:autoSpaceDN/>
              <w:bidi w:val="0"/>
              <w:adjustRightInd/>
              <w:snapToGrid/>
              <w:spacing w:line="460" w:lineRule="exact"/>
              <w:ind w:firstLineChars="200" w:firstLine="480"/>
              <w:jc w:val="both"/>
              <w:textAlignment w:val="auto"/>
              <w:rPr>
                <w:rFonts w:ascii="Times New Roman" w:eastAsia="宋体" w:cs="Times New Roman" w:hAnsi="Times New Roman"/>
                <w:color w:val="auto"/>
                <w:highlight w:val="none"/>
              </w:rPr>
            </w:pPr>
            <w:r>
              <w:rPr>
                <w:rFonts w:ascii="Times New Roman" w:eastAsia="宋体" w:cs="Times New Roman" w:hAnsi="Times New Roman" w:hint="eastAsia"/>
                <w:color w:val="auto"/>
                <w:lang w:eastAsia="zh-CN"/>
                <w:highlight w:val="none"/>
              </w:rPr>
              <w:t>（</w:t>
            </w:r>
            <w:r>
              <w:rPr>
                <w:rFonts w:cs="Times New Roman" w:hint="eastAsia"/>
                <w:color w:val="auto"/>
                <w:lang w:val="en-US" w:eastAsia="zh-CN"/>
                <w:highlight w:val="none"/>
              </w:rPr>
              <w:t>8</w:t>
            </w:r>
            <w:r>
              <w:rPr>
                <w:rFonts w:ascii="Times New Roman" w:eastAsia="宋体" w:cs="Times New Roman" w:hAnsi="Times New Roman" w:hint="eastAsia"/>
                <w:color w:val="auto"/>
                <w:lang w:eastAsia="zh-CN"/>
                <w:highlight w:val="none"/>
              </w:rPr>
              <w:t>）</w:t>
            </w:r>
            <w:r>
              <w:rPr>
                <w:rFonts w:ascii="Times New Roman" w:eastAsia="宋体" w:cs="Times New Roman" w:hAnsi="Times New Roman"/>
                <w:color w:val="auto"/>
                <w:highlight w:val="none"/>
              </w:rPr>
              <w:t>强化现场监督</w:t>
            </w:r>
            <w:r>
              <w:rPr>
                <w:rFonts w:ascii="Times New Roman" w:eastAsia="宋体" w:cs="Times New Roman" w:hAnsi="Times New Roman" w:hint="eastAsia"/>
                <w:color w:val="auto"/>
                <w:lang w:eastAsia="zh-CN"/>
                <w:highlight w:val="none"/>
              </w:rPr>
              <w:t>。</w:t>
            </w:r>
            <w:r>
              <w:rPr>
                <w:rFonts w:ascii="Times New Roman" w:eastAsia="宋体" w:cs="Times New Roman" w:hAnsi="Times New Roman"/>
                <w:color w:val="auto"/>
                <w:highlight w:val="none"/>
              </w:rPr>
              <w:t>施工单位应指派专人负责施工现场噪声管理，确保各项降噪措施落实到位，并及时纠正不规范的施工行为。</w:t>
            </w:r>
          </w:p>
          <w:p>
            <w:pPr>
              <w:pStyle w:val="86"/>
              <w:keepNext w:val="0"/>
              <w:keepLines w:val="0"/>
              <w:pageBreakBefore w:val="0"/>
              <w:widowControl w:val="0"/>
              <w:kinsoku/>
              <w:wordWrap/>
              <w:overflowPunct/>
              <w:topLinePunct w:val="0"/>
              <w:autoSpaceDE/>
              <w:autoSpaceDN/>
              <w:bidi w:val="0"/>
              <w:adjustRightInd/>
              <w:snapToGrid/>
              <w:spacing w:line="460" w:lineRule="exact"/>
              <w:ind w:firstLineChars="200" w:firstLine="480"/>
              <w:jc w:val="both"/>
              <w:textAlignment w:val="auto"/>
              <w:rPr>
                <w:color w:val="auto"/>
                <w:highlight w:val="none"/>
              </w:rPr>
            </w:pPr>
            <w:r>
              <w:rPr>
                <w:rFonts w:hint="eastAsia"/>
                <w:color w:val="auto"/>
                <w:lang w:val="en-US" w:eastAsia="zh-CN"/>
                <w:highlight w:val="none"/>
              </w:rPr>
              <w:t>综上，</w:t>
            </w:r>
            <w:r>
              <w:rPr>
                <w:color w:val="auto"/>
                <w:highlight w:val="none"/>
              </w:rPr>
              <w:t>通过采取以上措施，施工噪声对周边环境影响程度较小，满足</w:t>
            </w:r>
            <w:r>
              <w:rPr>
                <w:rFonts w:hint="eastAsia"/>
                <w:color w:val="auto"/>
                <w:highlight w:val="none"/>
              </w:rPr>
              <w:t>《建筑施工噪声排放标准》（GB 12523-2025）</w:t>
            </w:r>
            <w:r>
              <w:rPr>
                <w:color w:val="auto"/>
                <w:highlight w:val="none"/>
              </w:rPr>
              <w:t>标准的要求。</w:t>
            </w:r>
          </w:p>
          <w:p>
            <w:pPr>
              <w:pStyle w:val="86"/>
              <w:keepNext w:val="0"/>
              <w:keepLines w:val="0"/>
              <w:pageBreakBefore w:val="0"/>
              <w:widowControl w:val="0"/>
              <w:kinsoku/>
              <w:wordWrap/>
              <w:overflowPunct/>
              <w:topLinePunct w:val="0"/>
              <w:autoSpaceDE/>
              <w:autoSpaceDN/>
              <w:bidi w:val="0"/>
              <w:adjustRightInd/>
              <w:snapToGrid/>
              <w:spacing w:line="460" w:lineRule="exact"/>
              <w:ind w:firstLineChars="200" w:firstLine="480"/>
              <w:jc w:val="both"/>
              <w:textAlignment w:val="auto"/>
              <w:rPr>
                <w:b/>
                <w:color w:val="auto"/>
                <w:highlight w:val="none"/>
              </w:rPr>
            </w:pPr>
            <w:r>
              <w:rPr>
                <w:b/>
                <w:color w:val="auto"/>
                <w:highlight w:val="none"/>
              </w:rPr>
              <w:t>4、施工期固废环境影响和保护措施</w:t>
            </w:r>
          </w:p>
          <w:p>
            <w:pPr>
              <w:keepNext w:val="0"/>
              <w:keepLines w:val="0"/>
              <w:pageBreakBefore w:val="0"/>
              <w:widowControl w:val="0"/>
              <w:kinsoku/>
              <w:wordWrap/>
              <w:overflowPunct/>
              <w:topLinePunct w:val="0"/>
              <w:autoSpaceDE/>
              <w:autoSpaceDN/>
              <w:bidi w:val="0"/>
              <w:adjustRightInd/>
              <w:snapToGrid/>
              <w:spacing w:line="460" w:lineRule="exact"/>
              <w:ind w:firstLineChars="200" w:firstLine="480"/>
              <w:jc w:val="both"/>
              <w:textAlignment w:val="auto"/>
              <w:rPr>
                <w:color w:val="auto"/>
                <w:sz w:val="24"/>
                <w:szCs w:val="24"/>
                <w:highlight w:val="none"/>
              </w:rPr>
            </w:pPr>
            <w:r>
              <w:rPr>
                <w:color w:val="auto"/>
                <w:sz w:val="24"/>
                <w:szCs w:val="24"/>
                <w:highlight w:val="none"/>
              </w:rPr>
              <w:t>施工期固体废弃物主要是</w:t>
            </w:r>
            <w:r>
              <w:rPr>
                <w:color w:val="auto"/>
                <w:sz w:val="24"/>
                <w:lang w:val="zh-CN"/>
                <w:highlight w:val="none"/>
              </w:rPr>
              <w:t>清理杂物、</w:t>
            </w:r>
            <w:r>
              <w:rPr>
                <w:rFonts w:hint="eastAsia"/>
                <w:color w:val="auto"/>
                <w:sz w:val="24"/>
                <w:lang w:val="en-US" w:eastAsia="zh-CN"/>
                <w:highlight w:val="none"/>
              </w:rPr>
              <w:t>装修原料</w:t>
            </w:r>
            <w:r>
              <w:rPr>
                <w:color w:val="auto"/>
                <w:sz w:val="24"/>
                <w:lang w:val="zh-CN"/>
                <w:highlight w:val="none"/>
              </w:rPr>
              <w:t>废包装</w:t>
            </w:r>
            <w:r>
              <w:rPr>
                <w:rFonts w:hint="eastAsia"/>
                <w:color w:val="auto"/>
                <w:sz w:val="24"/>
                <w:lang w:val="zh-CN"/>
                <w:highlight w:val="none"/>
              </w:rPr>
              <w:t>和</w:t>
            </w:r>
            <w:r>
              <w:rPr>
                <w:rFonts w:hint="eastAsia"/>
                <w:color w:val="auto"/>
                <w:sz w:val="24"/>
                <w:highlight w:val="none"/>
              </w:rPr>
              <w:t>施工人员</w:t>
            </w:r>
            <w:r>
              <w:rPr>
                <w:rFonts w:hint="eastAsia"/>
                <w:color w:val="auto"/>
                <w:sz w:val="24"/>
                <w:lang w:val="zh-CN"/>
                <w:highlight w:val="none"/>
              </w:rPr>
              <w:t>生活垃圾</w:t>
            </w:r>
            <w:r>
              <w:rPr>
                <w:color w:val="auto"/>
                <w:sz w:val="24"/>
                <w:szCs w:val="24"/>
                <w:highlight w:val="none"/>
              </w:rPr>
              <w:t>。</w:t>
            </w:r>
          </w:p>
          <w:p>
            <w:pPr>
              <w:keepNext w:val="0"/>
              <w:keepLines w:val="0"/>
              <w:pageBreakBefore w:val="0"/>
              <w:widowControl w:val="0"/>
              <w:kinsoku/>
              <w:wordWrap/>
              <w:overflowPunct/>
              <w:topLinePunct w:val="0"/>
              <w:autoSpaceDE/>
              <w:autoSpaceDN/>
              <w:bidi w:val="0"/>
              <w:adjustRightInd/>
              <w:snapToGrid/>
              <w:spacing w:line="460" w:lineRule="exact"/>
              <w:ind w:firstLineChars="200" w:firstLine="480"/>
              <w:jc w:val="both"/>
              <w:textAlignment w:val="auto"/>
              <w:rPr>
                <w:color w:val="auto"/>
                <w:sz w:val="24"/>
                <w:szCs w:val="24"/>
                <w:highlight w:val="none"/>
              </w:rPr>
            </w:pPr>
            <w:r>
              <w:rPr>
                <w:rFonts w:hint="eastAsia"/>
                <w:color w:val="auto"/>
                <w:sz w:val="24"/>
                <w:lang w:val="en-US" w:eastAsia="zh-CN"/>
                <w:highlight w:val="none"/>
              </w:rPr>
              <w:t>施工</w:t>
            </w:r>
            <w:r>
              <w:rPr>
                <w:color w:val="auto"/>
                <w:sz w:val="24"/>
                <w:lang w:val="zh-CN"/>
                <w:highlight w:val="none"/>
              </w:rPr>
              <w:t>清理杂物</w:t>
            </w:r>
            <w:r>
              <w:rPr>
                <w:rFonts w:hint="eastAsia"/>
                <w:color w:val="auto"/>
                <w:sz w:val="24"/>
                <w:lang w:val="zh-CN"/>
                <w:highlight w:val="none"/>
              </w:rPr>
              <w:t>、</w:t>
            </w:r>
            <w:r>
              <w:rPr>
                <w:rFonts w:hint="eastAsia"/>
                <w:color w:val="auto"/>
                <w:sz w:val="24"/>
                <w:lang w:val="en-US" w:eastAsia="zh-CN"/>
                <w:highlight w:val="none"/>
              </w:rPr>
              <w:t>装修原料</w:t>
            </w:r>
            <w:r>
              <w:rPr>
                <w:color w:val="auto"/>
                <w:sz w:val="24"/>
                <w:lang w:val="zh-CN"/>
                <w:highlight w:val="none"/>
              </w:rPr>
              <w:t>废包装</w:t>
            </w:r>
            <w:r>
              <w:rPr>
                <w:rFonts w:hint="eastAsia"/>
                <w:color w:val="auto"/>
                <w:sz w:val="24"/>
                <w:lang w:val="zh-CN"/>
                <w:highlight w:val="none"/>
              </w:rPr>
              <w:t>，</w:t>
            </w:r>
            <w:r>
              <w:rPr>
                <w:rFonts w:hint="eastAsia"/>
                <w:color w:val="auto"/>
                <w:sz w:val="24"/>
                <w:lang w:val="en-US" w:eastAsia="zh-CN"/>
                <w:highlight w:val="none"/>
              </w:rPr>
              <w:t>统一交由指定地点进行处理；</w:t>
            </w:r>
            <w:r>
              <w:rPr>
                <w:color w:val="auto"/>
                <w:sz w:val="24"/>
                <w:szCs w:val="24"/>
                <w:highlight w:val="none"/>
              </w:rPr>
              <w:t>生活垃圾由环卫部门统一处理。</w:t>
            </w:r>
          </w:p>
          <w:p>
            <w:pPr>
              <w:keepNext w:val="0"/>
              <w:keepLines w:val="0"/>
              <w:pageBreakBefore w:val="0"/>
              <w:widowControl w:val="0"/>
              <w:kinsoku/>
              <w:wordWrap/>
              <w:overflowPunct/>
              <w:topLinePunct w:val="0"/>
              <w:autoSpaceDE/>
              <w:autoSpaceDN/>
              <w:bidi w:val="0"/>
              <w:adjustRightInd/>
              <w:snapToGrid/>
              <w:spacing w:line="460" w:lineRule="exact"/>
              <w:ind w:firstLineChars="200" w:firstLine="480"/>
              <w:jc w:val="both"/>
              <w:textAlignment w:val="auto"/>
              <w:rPr>
                <w:rFonts w:ascii="宋体" w:cs="宋体" w:hAnsi="宋体" w:hint="eastAsia"/>
                <w:color w:val="auto"/>
                <w:kern w:val="0"/>
                <w:szCs w:val="21"/>
                <w:highlight w:val="none"/>
              </w:rPr>
            </w:pPr>
            <w:r>
              <w:rPr>
                <w:color w:val="auto"/>
                <w:sz w:val="24"/>
                <w:szCs w:val="24"/>
                <w:highlight w:val="none"/>
              </w:rPr>
              <w:t>采取以上措施后，施工期固废可得到妥善处置，对周围环境影响较小</w:t>
            </w:r>
            <w:r>
              <w:rPr>
                <w:snapToGrid w:val="0"/>
                <w:color w:val="auto"/>
                <w:sz w:val="24"/>
                <w:szCs w:val="24"/>
                <w:highlight w:val="none"/>
              </w:rPr>
              <w:t>。</w:t>
            </w:r>
          </w:p>
        </w:tc>
      </w:tr>
      <w:tr>
        <w:trPr>
          <w:trHeight w:val="90"/>
        </w:trPr>
        <w:tc>
          <w:tcPr>
            <w:tcW w:w="622" w:type="dxa"/>
            <w:tcBorders>
              <w:left w:val="single" w:sz="4" w:space="0" w:color="auto"/>
              <w:bottom w:val="single" w:sz="4" w:space="0" w:color="auto"/>
            </w:tcBorders>
            <w:tcMar>
              <w:left w:w="28" w:type="dxa"/>
              <w:right w:w="28" w:type="dxa"/>
            </w:tcMar>
            <w:vAlign w:val="center"/>
          </w:tcPr>
          <w:p>
            <w:pPr>
              <w:adjustRightInd w:val="0"/>
              <w:snapToGrid w:val="0"/>
              <w:jc w:val="center"/>
              <w:rPr>
                <w:rFonts w:cs="宋体" w:hint="eastAsia"/>
                <w:color w:val="auto"/>
                <w:kern w:val="2"/>
                <w:sz w:val="21"/>
                <w:szCs w:val="21"/>
                <w:highlight w:val="none"/>
              </w:rPr>
            </w:pPr>
            <w:r>
              <w:rPr>
                <w:rFonts w:ascii="宋体" w:cs="宋体" w:hAnsi="宋体" w:hint="eastAsia"/>
                <w:bCs/>
                <w:color w:val="auto"/>
                <w:sz w:val="24"/>
                <w:highlight w:val="none"/>
              </w:rPr>
              <w:t>运营期环境影响和保</w:t>
            </w:r>
            <w:r>
              <w:rPr>
                <w:rFonts w:ascii="宋体" w:eastAsia="宋体" w:cs="宋体" w:hAnsi="宋体" w:hint="eastAsia"/>
                <w:bCs/>
                <w:color w:val="auto"/>
                <w:sz w:val="24"/>
                <w:highlight w:val="none"/>
              </w:rPr>
              <w:t>护措施</w:t>
            </w:r>
          </w:p>
        </w:tc>
        <w:tc>
          <w:tcPr>
            <w:tcW w:w="9152" w:type="dxa"/>
            <w:tcBorders>
              <w:bottom w:val="single" w:sz="4" w:space="0" w:color="auto"/>
              <w:right w:val="single" w:sz="4" w:space="0" w:color="auto"/>
            </w:tcBorders>
            <w:vAlign w:val="center"/>
          </w:tcPr>
          <w:p>
            <w:pPr>
              <w:keepNext w:val="0"/>
              <w:keepLines w:val="0"/>
              <w:pageBreakBefore w:val="0"/>
              <w:widowControl w:val="0"/>
              <w:kinsoku/>
              <w:wordWrap/>
              <w:overflowPunct/>
              <w:topLinePunct w:val="0"/>
              <w:autoSpaceDE/>
              <w:autoSpaceDN/>
              <w:bidi w:val="0"/>
              <w:adjustRightInd w:val="0"/>
              <w:snapToGrid w:val="0"/>
              <w:spacing w:line="460" w:lineRule="exact"/>
              <w:ind w:firstLineChars="200" w:firstLine="480"/>
              <w:textAlignment w:val="auto"/>
              <w:rPr>
                <w:b/>
                <w:bCs/>
                <w:color w:val="auto"/>
                <w:kern w:val="0"/>
                <w:sz w:val="24"/>
                <w:highlight w:val="none"/>
              </w:rPr>
            </w:pPr>
            <w:r>
              <w:rPr>
                <w:rFonts w:hint="eastAsia"/>
                <w:b/>
                <w:bCs/>
                <w:color w:val="auto"/>
                <w:kern w:val="0"/>
                <w:sz w:val="24"/>
                <w:highlight w:val="none"/>
              </w:rPr>
              <w:t>1、废气</w:t>
            </w:r>
          </w:p>
          <w:p>
            <w:pPr>
              <w:keepNext w:val="0"/>
              <w:keepLines w:val="0"/>
              <w:pageBreakBefore w:val="0"/>
              <w:widowControl w:val="0"/>
              <w:kinsoku/>
              <w:wordWrap/>
              <w:overflowPunct/>
              <w:topLinePunct w:val="0"/>
              <w:autoSpaceDE/>
              <w:autoSpaceDN/>
              <w:bidi w:val="0"/>
              <w:adjustRightInd/>
              <w:snapToGrid/>
              <w:spacing w:line="460" w:lineRule="exact"/>
              <w:ind w:firstLineChars="200" w:firstLine="480"/>
              <w:jc w:val="both"/>
              <w:textAlignment w:val="auto"/>
              <w:rPr>
                <w:rFonts w:ascii="Times New Roman" w:eastAsia="宋体" w:cs="Times New Roman" w:hAnsi="Times New Roman"/>
                <w:color w:val="auto"/>
                <w:sz w:val="24"/>
                <w:szCs w:val="24"/>
                <w:lang w:val="zh-CN"/>
                <w:highlight w:val="none"/>
              </w:rPr>
            </w:pPr>
            <w:r>
              <w:rPr>
                <w:rFonts w:ascii="Times New Roman" w:eastAsia="宋体" w:cs="Times New Roman" w:hAnsi="Times New Roman"/>
                <w:color w:val="auto"/>
                <w:sz w:val="24"/>
                <w:szCs w:val="24"/>
                <w:lang w:val="zh-CN"/>
                <w:highlight w:val="none"/>
              </w:rPr>
              <w:t>（</w:t>
            </w:r>
            <w:r>
              <w:rPr>
                <w:rFonts w:ascii="Times New Roman" w:eastAsia="宋体" w:cs="Times New Roman" w:hAnsi="Times New Roman"/>
                <w:color w:val="auto"/>
                <w:sz w:val="24"/>
                <w:szCs w:val="24"/>
                <w:highlight w:val="none"/>
              </w:rPr>
              <w:t>1</w:t>
            </w:r>
            <w:r>
              <w:rPr>
                <w:rFonts w:ascii="Times New Roman" w:eastAsia="宋体" w:cs="Times New Roman" w:hAnsi="Times New Roman"/>
                <w:color w:val="auto"/>
                <w:sz w:val="24"/>
                <w:szCs w:val="24"/>
                <w:lang w:val="zh-CN"/>
                <w:highlight w:val="none"/>
              </w:rPr>
              <w:t>）废气污染源及治理措施</w:t>
            </w:r>
          </w:p>
          <w:p>
            <w:pPr>
              <w:keepNext w:val="0"/>
              <w:keepLines w:val="0"/>
              <w:pageBreakBefore w:val="0"/>
              <w:widowControl/>
              <w:kinsoku/>
              <w:wordWrap/>
              <w:overflowPunct/>
              <w:topLinePunct w:val="0"/>
              <w:autoSpaceDE/>
              <w:autoSpaceDN/>
              <w:bidi w:val="0"/>
              <w:adjustRightInd w:val="0"/>
              <w:snapToGrid w:val="0"/>
              <w:spacing w:line="460" w:lineRule="exact"/>
              <w:ind w:firstLineChars="200" w:firstLine="480"/>
              <w:textAlignment w:val="auto"/>
              <w:rPr>
                <w:rFonts w:ascii="Times New Roman" w:eastAsia="宋体" w:cs="Times New Roman" w:hAnsi="Times New Roman" w:hint="eastAsia"/>
                <w:bCs/>
                <w:color w:val="auto"/>
                <w:kern w:val="0"/>
                <w:sz w:val="24"/>
                <w:szCs w:val="22"/>
                <w:lang w:eastAsia="zh-CN"/>
                <w:highlight w:val="none"/>
              </w:rPr>
            </w:pPr>
            <w:r>
              <w:rPr>
                <w:rFonts w:hint="eastAsia"/>
                <w:color w:val="auto"/>
                <w:sz w:val="24"/>
                <w:lang w:val="en-US" w:eastAsia="zh-CN"/>
                <w:highlight w:val="none"/>
              </w:rPr>
              <w:t>本项目只收集完好的密闭式免维护废铅蓄电池，即第I类废铅蓄电池。完好</w:t>
            </w:r>
            <w:r>
              <w:rPr>
                <w:rFonts w:hint="eastAsia"/>
                <w:color w:val="auto"/>
                <w:sz w:val="24"/>
                <w:lang w:val="en-US"/>
                <w:highlight w:val="none"/>
              </w:rPr>
              <w:t>的废铅蓄</w:t>
            </w:r>
            <w:r>
              <w:rPr>
                <w:rFonts w:hint="eastAsia"/>
                <w:color w:val="auto"/>
                <w:sz w:val="24"/>
                <w:lang w:val="en-US" w:eastAsia="zh-CN"/>
                <w:highlight w:val="none"/>
              </w:rPr>
              <w:t>电池有可能在运输环节发生挤压碰撞，出现少量破损时废电解液会发生泄漏，从而产生</w:t>
            </w:r>
            <w:r>
              <w:rPr>
                <w:rFonts w:cs="Times New Roman" w:hint="eastAsia"/>
                <w:bCs/>
                <w:color w:val="auto"/>
                <w:kern w:val="0"/>
                <w:sz w:val="24"/>
                <w:szCs w:val="22"/>
                <w:lang w:eastAsia="zh-CN"/>
                <w:highlight w:val="none"/>
              </w:rPr>
              <w:t>硫酸雾</w:t>
            </w:r>
            <w:r>
              <w:rPr>
                <w:rFonts w:hint="eastAsia"/>
                <w:color w:val="auto"/>
                <w:sz w:val="24"/>
                <w:lang w:val="en-US" w:eastAsia="zh-CN"/>
                <w:highlight w:val="none"/>
              </w:rPr>
              <w:t>。</w:t>
            </w:r>
            <w:r>
              <w:rPr>
                <w:rFonts w:ascii="Times New Roman" w:eastAsia="宋体" w:cs="Times New Roman" w:hAnsi="Times New Roman" w:hint="eastAsia"/>
                <w:bCs/>
                <w:color w:val="auto"/>
                <w:kern w:val="0"/>
                <w:sz w:val="24"/>
                <w:szCs w:val="22"/>
                <w:highlight w:val="none"/>
              </w:rPr>
              <w:t>装卸分拣等动态过程中，</w:t>
            </w:r>
            <w:r>
              <w:rPr>
                <w:rFonts w:cs="Times New Roman" w:hint="eastAsia"/>
                <w:bCs/>
                <w:color w:val="auto"/>
                <w:kern w:val="0"/>
                <w:sz w:val="24"/>
                <w:szCs w:val="22"/>
                <w:lang w:eastAsia="zh-CN"/>
                <w:highlight w:val="none"/>
              </w:rPr>
              <w:t>若发现破损废电池需采用</w:t>
            </w:r>
            <w:r>
              <w:rPr>
                <w:rFonts w:ascii="Times New Roman" w:eastAsia="宋体" w:cs="Times New Roman" w:hAnsi="Times New Roman" w:hint="eastAsia"/>
                <w:bCs/>
                <w:color w:val="auto"/>
                <w:kern w:val="0"/>
                <w:sz w:val="24"/>
                <w:szCs w:val="22"/>
                <w:highlight w:val="none"/>
              </w:rPr>
              <w:t>薄膜缠绕后转移至PE桶并加盖</w:t>
            </w:r>
            <w:r>
              <w:rPr>
                <w:rFonts w:cs="Times New Roman" w:hint="eastAsia"/>
                <w:bCs/>
                <w:color w:val="auto"/>
                <w:kern w:val="0"/>
                <w:sz w:val="24"/>
                <w:szCs w:val="22"/>
                <w:lang w:eastAsia="zh-CN"/>
                <w:highlight w:val="none"/>
              </w:rPr>
              <w:t>密封，并转移至破损电池暂存间</w:t>
            </w:r>
            <w:r>
              <w:rPr>
                <w:rFonts w:ascii="Times New Roman" w:eastAsia="宋体" w:cs="Times New Roman" w:hAnsi="Times New Roman" w:hint="eastAsia"/>
                <w:bCs/>
                <w:color w:val="auto"/>
                <w:kern w:val="0"/>
                <w:sz w:val="24"/>
                <w:szCs w:val="22"/>
                <w:highlight w:val="none"/>
              </w:rPr>
              <w:t>，过程历时</w:t>
            </w:r>
            <w:r>
              <w:rPr>
                <w:rFonts w:cs="Times New Roman" w:hint="eastAsia"/>
                <w:bCs/>
                <w:color w:val="auto"/>
                <w:kern w:val="0"/>
                <w:sz w:val="24"/>
                <w:szCs w:val="22"/>
                <w:lang w:eastAsia="zh-CN"/>
                <w:highlight w:val="none"/>
              </w:rPr>
              <w:t>较</w:t>
            </w:r>
            <w:r>
              <w:rPr>
                <w:rFonts w:ascii="Times New Roman" w:eastAsia="宋体" w:cs="Times New Roman" w:hAnsi="Times New Roman" w:hint="eastAsia"/>
                <w:bCs/>
                <w:color w:val="auto"/>
                <w:kern w:val="0"/>
                <w:sz w:val="24"/>
                <w:szCs w:val="22"/>
                <w:highlight w:val="none"/>
              </w:rPr>
              <w:t>短，</w:t>
            </w:r>
            <w:r>
              <w:rPr>
                <w:rFonts w:cs="Times New Roman" w:hint="eastAsia"/>
                <w:bCs/>
                <w:color w:val="auto"/>
                <w:kern w:val="0"/>
                <w:sz w:val="24"/>
                <w:szCs w:val="22"/>
                <w:lang w:eastAsia="zh-CN"/>
                <w:highlight w:val="none"/>
              </w:rPr>
              <w:t>分拣及转移过程</w:t>
            </w:r>
            <w:r>
              <w:rPr>
                <w:rFonts w:ascii="Times New Roman" w:eastAsia="宋体" w:cs="Times New Roman" w:hAnsi="Times New Roman" w:hint="eastAsia"/>
                <w:bCs/>
                <w:color w:val="auto"/>
                <w:kern w:val="0"/>
                <w:sz w:val="24"/>
                <w:szCs w:val="22"/>
                <w:highlight w:val="none"/>
              </w:rPr>
              <w:t>产生极少量硫酸雾</w:t>
            </w:r>
            <w:r>
              <w:rPr>
                <w:rFonts w:cs="Times New Roman" w:hint="eastAsia"/>
                <w:bCs/>
                <w:color w:val="auto"/>
                <w:kern w:val="0"/>
                <w:sz w:val="24"/>
                <w:szCs w:val="22"/>
                <w:lang w:eastAsia="zh-CN"/>
                <w:highlight w:val="none"/>
              </w:rPr>
              <w:t>，主要为无组织排放，参照《废旧电池回收技术规范》（GB/T39224-2020）等要求，加强库房内通风。本次评价</w:t>
            </w:r>
            <w:r>
              <w:rPr>
                <w:rFonts w:ascii="Times New Roman" w:eastAsia="宋体" w:cs="Times New Roman" w:hAnsi="Times New Roman" w:hint="eastAsia"/>
                <w:bCs/>
                <w:color w:val="auto"/>
                <w:kern w:val="0"/>
                <w:sz w:val="24"/>
                <w:szCs w:val="22"/>
                <w:highlight w:val="none"/>
              </w:rPr>
              <w:t>不</w:t>
            </w:r>
            <w:r>
              <w:rPr>
                <w:rFonts w:cs="Times New Roman" w:hint="eastAsia"/>
                <w:bCs/>
                <w:color w:val="auto"/>
                <w:kern w:val="0"/>
                <w:sz w:val="24"/>
                <w:szCs w:val="22"/>
                <w:lang w:eastAsia="zh-CN"/>
                <w:highlight w:val="none"/>
              </w:rPr>
              <w:t>再</w:t>
            </w:r>
            <w:r>
              <w:rPr>
                <w:rFonts w:ascii="Times New Roman" w:eastAsia="宋体" w:cs="Times New Roman" w:hAnsi="Times New Roman" w:hint="eastAsia"/>
                <w:bCs/>
                <w:color w:val="auto"/>
                <w:kern w:val="0"/>
                <w:sz w:val="24"/>
                <w:szCs w:val="22"/>
                <w:highlight w:val="none"/>
              </w:rPr>
              <w:t>对装卸分拣废气进行定量分析</w:t>
            </w:r>
            <w:r>
              <w:rPr>
                <w:rFonts w:cs="Times New Roman" w:hint="eastAsia"/>
                <w:bCs/>
                <w:color w:val="auto"/>
                <w:kern w:val="0"/>
                <w:sz w:val="24"/>
                <w:szCs w:val="22"/>
                <w:lang w:eastAsia="zh-CN"/>
                <w:highlight w:val="none"/>
              </w:rPr>
              <w:t>，主要对破损电池贮存过程产生硫酸雾进行分析与评价。</w:t>
            </w:r>
          </w:p>
          <w:p>
            <w:pPr>
              <w:keepNext w:val="0"/>
              <w:keepLines w:val="0"/>
              <w:pageBreakBefore w:val="0"/>
              <w:widowControl/>
              <w:kinsoku/>
              <w:wordWrap/>
              <w:overflowPunct/>
              <w:topLinePunct w:val="0"/>
              <w:autoSpaceDE/>
              <w:autoSpaceDN/>
              <w:bidi w:val="0"/>
              <w:adjustRightInd w:val="0"/>
              <w:snapToGrid w:val="0"/>
              <w:spacing w:line="460" w:lineRule="exact"/>
              <w:ind w:firstLineChars="200" w:firstLine="480"/>
              <w:textAlignment w:val="auto"/>
              <w:rPr>
                <w:rFonts w:ascii="Times New Roman" w:eastAsia="宋体" w:cs="Times New Roman" w:hAnsi="Times New Roman" w:hint="eastAsia"/>
                <w:bCs/>
                <w:color w:val="auto"/>
                <w:kern w:val="0"/>
                <w:sz w:val="24"/>
                <w:szCs w:val="22"/>
                <w:highlight w:val="none"/>
              </w:rPr>
            </w:pPr>
            <w:r>
              <w:rPr>
                <w:rFonts w:ascii="Times New Roman" w:eastAsia="宋体" w:cs="Times New Roman" w:hAnsi="Times New Roman" w:hint="eastAsia"/>
                <w:bCs/>
                <w:color w:val="auto"/>
                <w:kern w:val="0"/>
                <w:sz w:val="24"/>
                <w:szCs w:val="22"/>
                <w:highlight w:val="none"/>
              </w:rPr>
              <w:t>结合企业提供的经验数据，</w:t>
            </w:r>
            <w:r>
              <w:rPr>
                <w:rFonts w:cs="Times New Roman" w:hint="eastAsia"/>
                <w:bCs/>
                <w:color w:val="auto"/>
                <w:kern w:val="0"/>
                <w:sz w:val="24"/>
                <w:szCs w:val="22"/>
                <w:lang w:eastAsia="zh-CN"/>
                <w:highlight w:val="none"/>
              </w:rPr>
              <w:t>废电池装卸及分拣过程中</w:t>
            </w:r>
            <w:r>
              <w:rPr>
                <w:rFonts w:ascii="Times New Roman" w:eastAsia="宋体" w:cs="Times New Roman" w:hAnsi="Times New Roman" w:hint="eastAsia"/>
                <w:bCs/>
                <w:color w:val="auto"/>
                <w:kern w:val="0"/>
                <w:sz w:val="24"/>
                <w:szCs w:val="22"/>
                <w:highlight w:val="none"/>
              </w:rPr>
              <w:t>破损检出率为</w:t>
            </w:r>
            <w:r>
              <w:rPr>
                <w:rFonts w:cs="Times New Roman" w:hint="eastAsia"/>
                <w:bCs/>
                <w:color w:val="auto"/>
                <w:kern w:val="0"/>
                <w:sz w:val="24"/>
                <w:szCs w:val="22"/>
                <w:lang w:val="en-US" w:eastAsia="zh-CN"/>
                <w:highlight w:val="none"/>
              </w:rPr>
              <w:t>0.5</w:t>
            </w:r>
            <w:r>
              <w:rPr>
                <w:rFonts w:ascii="Times New Roman" w:eastAsia="宋体" w:cs="Times New Roman" w:hAnsi="Times New Roman" w:hint="eastAsia"/>
                <w:bCs/>
                <w:color w:val="auto"/>
                <w:kern w:val="0"/>
                <w:sz w:val="24"/>
                <w:szCs w:val="22"/>
                <w:highlight w:val="none"/>
              </w:rPr>
              <w:t>%，</w:t>
            </w:r>
            <w:r>
              <w:rPr>
                <w:rFonts w:cs="Times New Roman" w:hint="eastAsia"/>
                <w:bCs/>
                <w:color w:val="auto"/>
                <w:kern w:val="0"/>
                <w:sz w:val="24"/>
                <w:szCs w:val="22"/>
                <w:lang w:eastAsia="zh-CN"/>
                <w:highlight w:val="none"/>
              </w:rPr>
              <w:t>本项目废电池最大贮存量为</w:t>
            </w:r>
            <w:r>
              <w:rPr>
                <w:rFonts w:cs="Times New Roman" w:hint="eastAsia"/>
                <w:bCs/>
                <w:color w:val="auto"/>
                <w:kern w:val="0"/>
                <w:sz w:val="24"/>
                <w:szCs w:val="22"/>
                <w:lang w:val="en-US" w:eastAsia="zh-CN"/>
                <w:highlight w:val="none"/>
              </w:rPr>
              <w:t>6000t/a，</w:t>
            </w:r>
            <w:r>
              <w:rPr>
                <w:rFonts w:ascii="Times New Roman" w:eastAsia="宋体" w:cs="Times New Roman" w:hAnsi="Times New Roman" w:hint="eastAsia"/>
                <w:bCs/>
                <w:color w:val="auto"/>
                <w:kern w:val="0"/>
                <w:sz w:val="24"/>
                <w:szCs w:val="22"/>
                <w:highlight w:val="none"/>
              </w:rPr>
              <w:t>则破损电池检出量为</w:t>
            </w:r>
            <w:r>
              <w:rPr>
                <w:rFonts w:cs="Times New Roman" w:hint="eastAsia"/>
                <w:bCs/>
                <w:color w:val="auto"/>
                <w:kern w:val="0"/>
                <w:sz w:val="24"/>
                <w:szCs w:val="22"/>
                <w:lang w:val="en-US" w:eastAsia="zh-CN"/>
                <w:highlight w:val="none"/>
              </w:rPr>
              <w:t>30</w:t>
            </w:r>
            <w:r>
              <w:rPr>
                <w:rFonts w:ascii="Times New Roman" w:eastAsia="宋体" w:cs="Times New Roman" w:hAnsi="Times New Roman" w:hint="eastAsia"/>
                <w:bCs/>
                <w:color w:val="auto"/>
                <w:kern w:val="0"/>
                <w:sz w:val="24"/>
                <w:szCs w:val="22"/>
                <w:highlight w:val="none"/>
              </w:rPr>
              <w:t>t/a，</w:t>
            </w:r>
            <w:r>
              <w:rPr>
                <w:rFonts w:cs="Times New Roman" w:hint="eastAsia"/>
                <w:bCs/>
                <w:color w:val="auto"/>
                <w:kern w:val="0"/>
                <w:sz w:val="24"/>
                <w:szCs w:val="22"/>
                <w:lang w:eastAsia="zh-CN"/>
                <w:highlight w:val="none"/>
              </w:rPr>
              <w:t>根据前文表</w:t>
            </w:r>
            <w:r>
              <w:rPr>
                <w:rFonts w:cs="Times New Roman" w:hint="eastAsia"/>
                <w:bCs/>
                <w:color w:val="auto"/>
                <w:kern w:val="0"/>
                <w:sz w:val="24"/>
                <w:szCs w:val="22"/>
                <w:lang w:val="en-US" w:eastAsia="zh-CN"/>
                <w:highlight w:val="none"/>
              </w:rPr>
              <w:t>2-3和表2-4，</w:t>
            </w:r>
            <w:r>
              <w:rPr>
                <w:rFonts w:ascii="Times New Roman" w:eastAsia="宋体" w:cs="Times New Roman" w:hAnsi="Times New Roman" w:hint="eastAsia"/>
                <w:bCs/>
                <w:color w:val="auto"/>
                <w:kern w:val="0"/>
                <w:sz w:val="24"/>
                <w:szCs w:val="22"/>
                <w:highlight w:val="none"/>
              </w:rPr>
              <w:t>电解液</w:t>
            </w:r>
            <w:r>
              <w:rPr>
                <w:rFonts w:cs="Times New Roman" w:hint="eastAsia"/>
                <w:bCs/>
                <w:color w:val="auto"/>
                <w:kern w:val="0"/>
                <w:sz w:val="24"/>
                <w:szCs w:val="22"/>
                <w:lang w:eastAsia="zh-CN"/>
                <w:highlight w:val="none"/>
              </w:rPr>
              <w:t>占</w:t>
            </w:r>
            <w:r>
              <w:rPr>
                <w:rFonts w:ascii="Times New Roman" w:eastAsia="宋体" w:cs="Times New Roman" w:hAnsi="Times New Roman" w:hint="eastAsia"/>
                <w:bCs/>
                <w:color w:val="auto"/>
                <w:kern w:val="0"/>
                <w:sz w:val="24"/>
                <w:szCs w:val="22"/>
                <w:highlight w:val="none"/>
              </w:rPr>
              <w:t>电池重量的</w:t>
            </w:r>
            <w:r>
              <w:rPr>
                <w:rFonts w:cs="Times New Roman" w:hint="eastAsia"/>
                <w:bCs/>
                <w:color w:val="auto"/>
                <w:kern w:val="0"/>
                <w:sz w:val="24"/>
                <w:szCs w:val="22"/>
                <w:lang w:val="en-US" w:eastAsia="zh-CN"/>
                <w:highlight w:val="none"/>
              </w:rPr>
              <w:t>15</w:t>
            </w:r>
            <w:r>
              <w:rPr>
                <w:rFonts w:ascii="Times New Roman" w:eastAsia="宋体" w:cs="Times New Roman" w:hAnsi="Times New Roman" w:hint="eastAsia"/>
                <w:bCs/>
                <w:color w:val="auto"/>
                <w:kern w:val="0"/>
                <w:sz w:val="24"/>
                <w:szCs w:val="22"/>
                <w:highlight w:val="none"/>
              </w:rPr>
              <w:t>%</w:t>
            </w:r>
            <w:r>
              <w:rPr>
                <w:rFonts w:cs="Times New Roman" w:hint="eastAsia"/>
                <w:bCs/>
                <w:color w:val="auto"/>
                <w:kern w:val="0"/>
                <w:sz w:val="24"/>
                <w:szCs w:val="22"/>
                <w:lang w:eastAsia="zh-CN"/>
                <w:highlight w:val="none"/>
              </w:rPr>
              <w:t>，</w:t>
            </w:r>
            <w:r>
              <w:rPr>
                <w:rFonts w:ascii="Times New Roman" w:eastAsia="宋体" w:cs="Times New Roman" w:hAnsi="Times New Roman" w:hint="eastAsia"/>
                <w:bCs/>
                <w:color w:val="auto"/>
                <w:kern w:val="0"/>
                <w:sz w:val="24"/>
                <w:szCs w:val="22"/>
                <w:highlight w:val="none"/>
              </w:rPr>
              <w:t>硫酸</w:t>
            </w:r>
            <w:r>
              <w:rPr>
                <w:rFonts w:cs="Times New Roman" w:hint="eastAsia"/>
                <w:bCs/>
                <w:color w:val="auto"/>
                <w:kern w:val="0"/>
                <w:sz w:val="24"/>
                <w:szCs w:val="22"/>
                <w:lang w:eastAsia="zh-CN"/>
                <w:highlight w:val="none"/>
              </w:rPr>
              <w:t>占电解液</w:t>
            </w:r>
            <w:r>
              <w:rPr>
                <w:rFonts w:ascii="Times New Roman" w:eastAsia="宋体" w:cs="Times New Roman" w:hAnsi="Times New Roman" w:hint="eastAsia"/>
                <w:bCs/>
                <w:color w:val="auto"/>
                <w:kern w:val="0"/>
                <w:sz w:val="24"/>
                <w:szCs w:val="22"/>
                <w:highlight w:val="none"/>
              </w:rPr>
              <w:t>比例为40%，则电解液中的硫酸总量为</w:t>
            </w:r>
            <w:r>
              <w:rPr>
                <w:rFonts w:cs="Times New Roman" w:hint="eastAsia"/>
                <w:bCs/>
                <w:color w:val="auto"/>
                <w:kern w:val="0"/>
                <w:sz w:val="24"/>
                <w:szCs w:val="22"/>
                <w:lang w:val="en-US" w:eastAsia="zh-CN"/>
                <w:highlight w:val="none"/>
              </w:rPr>
              <w:t>1.8</w:t>
            </w:r>
            <w:r>
              <w:rPr>
                <w:rFonts w:ascii="Times New Roman" w:eastAsia="宋体" w:cs="Times New Roman" w:hAnsi="Times New Roman" w:hint="eastAsia"/>
                <w:bCs/>
                <w:color w:val="auto"/>
                <w:kern w:val="0"/>
                <w:sz w:val="24"/>
                <w:szCs w:val="22"/>
                <w:highlight w:val="none"/>
              </w:rPr>
              <w:t>t。硫酸雾产生量取决于电解液泄漏量、挥发条件及贮存环境，通常按‌泄漏电解液总量的1%–5%估算硫酸雾挥发量‌。</w:t>
            </w:r>
            <w:r>
              <w:rPr>
                <w:rFonts w:cs="Times New Roman" w:hint="eastAsia"/>
                <w:bCs/>
                <w:color w:val="auto"/>
                <w:kern w:val="0"/>
                <w:sz w:val="24"/>
                <w:szCs w:val="22"/>
                <w:lang w:eastAsia="zh-CN"/>
                <w:highlight w:val="none"/>
              </w:rPr>
              <w:t>本项目取</w:t>
            </w:r>
            <w:r>
              <w:rPr>
                <w:rFonts w:cs="Times New Roman" w:hint="eastAsia"/>
                <w:bCs/>
                <w:color w:val="auto"/>
                <w:kern w:val="0"/>
                <w:sz w:val="24"/>
                <w:szCs w:val="22"/>
                <w:lang w:val="en-US" w:eastAsia="zh-CN"/>
                <w:highlight w:val="none"/>
              </w:rPr>
              <w:t>5%，</w:t>
            </w:r>
            <w:r>
              <w:rPr>
                <w:rFonts w:ascii="Times New Roman" w:eastAsia="宋体" w:cs="Times New Roman" w:hAnsi="Times New Roman" w:hint="eastAsia"/>
                <w:bCs/>
                <w:color w:val="auto"/>
                <w:kern w:val="0"/>
                <w:sz w:val="24"/>
                <w:szCs w:val="22"/>
                <w:highlight w:val="none"/>
              </w:rPr>
              <w:t>则硫酸雾</w:t>
            </w:r>
            <w:r>
              <w:rPr>
                <w:rFonts w:cs="Times New Roman" w:hint="eastAsia"/>
                <w:bCs/>
                <w:color w:val="auto"/>
                <w:kern w:val="0"/>
                <w:sz w:val="24"/>
                <w:szCs w:val="22"/>
                <w:lang w:eastAsia="zh-CN"/>
                <w:highlight w:val="none"/>
              </w:rPr>
              <w:t>产生量</w:t>
            </w:r>
            <w:r>
              <w:rPr>
                <w:rFonts w:ascii="Times New Roman" w:eastAsia="宋体" w:cs="Times New Roman" w:hAnsi="Times New Roman" w:hint="eastAsia"/>
                <w:bCs/>
                <w:color w:val="auto"/>
                <w:kern w:val="0"/>
                <w:sz w:val="24"/>
                <w:szCs w:val="22"/>
                <w:highlight w:val="none"/>
              </w:rPr>
              <w:t>约为</w:t>
            </w:r>
            <w:r>
              <w:rPr>
                <w:rFonts w:cs="Times New Roman" w:hint="eastAsia"/>
                <w:bCs/>
                <w:color w:val="auto"/>
                <w:kern w:val="0"/>
                <w:sz w:val="24"/>
                <w:szCs w:val="22"/>
                <w:lang w:val="en-US" w:eastAsia="zh-CN"/>
                <w:highlight w:val="none"/>
              </w:rPr>
              <w:t>0.09t</w:t>
            </w:r>
            <w:r>
              <w:rPr>
                <w:rFonts w:ascii="Times New Roman" w:eastAsia="宋体" w:cs="Times New Roman" w:hAnsi="Times New Roman" w:hint="eastAsia"/>
                <w:bCs/>
                <w:color w:val="auto"/>
                <w:kern w:val="0"/>
                <w:sz w:val="24"/>
                <w:szCs w:val="22"/>
                <w:highlight w:val="none"/>
              </w:rPr>
              <w:t>/a。</w:t>
            </w:r>
          </w:p>
          <w:p>
            <w:pPr>
              <w:keepNext w:val="0"/>
              <w:keepLines w:val="0"/>
              <w:pageBreakBefore w:val="0"/>
              <w:widowControl/>
              <w:kinsoku/>
              <w:wordWrap/>
              <w:overflowPunct/>
              <w:topLinePunct w:val="0"/>
              <w:autoSpaceDE/>
              <w:autoSpaceDN/>
              <w:bidi w:val="0"/>
              <w:adjustRightInd w:val="0"/>
              <w:snapToGrid w:val="0"/>
              <w:spacing w:line="460" w:lineRule="exact"/>
              <w:ind w:firstLineChars="200" w:firstLine="480"/>
              <w:textAlignment w:val="auto"/>
              <w:rPr>
                <w:rFonts w:ascii="Times New Roman" w:eastAsia="宋体" w:cs="Times New Roman" w:hAnsi="Times New Roman"/>
                <w:bCs/>
                <w:color w:val="auto"/>
                <w:kern w:val="0"/>
                <w:sz w:val="24"/>
                <w:szCs w:val="22"/>
                <w:lang w:val="en-US" w:eastAsia="zh-CN"/>
                <w:highlight w:val="none"/>
              </w:rPr>
            </w:pPr>
            <w:r>
              <w:rPr>
                <w:rFonts w:ascii="Times New Roman" w:eastAsia="宋体" w:cs="Times New Roman" w:hAnsi="Times New Roman" w:hint="eastAsia"/>
                <w:bCs/>
                <w:color w:val="auto"/>
                <w:kern w:val="0"/>
                <w:sz w:val="24"/>
                <w:szCs w:val="22"/>
                <w:highlight w:val="none"/>
              </w:rPr>
              <w:t>破损电池薄膜缠绕后放入PE桶内并盖上顶盖，存放于破损电池间，破损电池间为密闭空间并配设排风装置，废气经碱液喷</w:t>
            </w:r>
            <w:r>
              <w:rPr>
                <w:rFonts w:cs="Times New Roman" w:hint="eastAsia"/>
                <w:bCs/>
                <w:color w:val="auto"/>
                <w:kern w:val="0"/>
                <w:sz w:val="24"/>
                <w:szCs w:val="22"/>
                <w:lang w:eastAsia="zh-CN"/>
                <w:highlight w:val="none"/>
              </w:rPr>
              <w:t>装置</w:t>
            </w:r>
            <w:r>
              <w:rPr>
                <w:rFonts w:ascii="Times New Roman" w:eastAsia="宋体" w:cs="Times New Roman" w:hAnsi="Times New Roman" w:hint="eastAsia"/>
                <w:bCs/>
                <w:color w:val="auto"/>
                <w:kern w:val="0"/>
                <w:sz w:val="24"/>
                <w:szCs w:val="22"/>
                <w:highlight w:val="none"/>
              </w:rPr>
              <w:t>处理后通过</w:t>
            </w:r>
            <w:r>
              <w:rPr>
                <w:rFonts w:cs="Times New Roman" w:hint="eastAsia"/>
                <w:bCs/>
                <w:color w:val="auto"/>
                <w:kern w:val="0"/>
                <w:sz w:val="24"/>
                <w:szCs w:val="22"/>
                <w:lang w:val="en-US" w:eastAsia="zh-CN"/>
                <w:highlight w:val="none"/>
              </w:rPr>
              <w:t>1</w:t>
            </w:r>
            <w:r>
              <w:rPr>
                <w:rFonts w:ascii="Times New Roman" w:eastAsia="宋体" w:cs="Times New Roman" w:hAnsi="Times New Roman" w:hint="eastAsia"/>
                <w:bCs/>
                <w:color w:val="auto"/>
                <w:kern w:val="0"/>
                <w:sz w:val="24"/>
                <w:szCs w:val="22"/>
                <w:highlight w:val="none"/>
              </w:rPr>
              <w:t>5m高排气筒排放（DA001）。</w:t>
            </w:r>
            <w:r>
              <w:rPr>
                <w:rFonts w:cs="Times New Roman" w:hint="eastAsia"/>
                <w:bCs/>
                <w:color w:val="auto"/>
                <w:kern w:val="0"/>
                <w:sz w:val="24"/>
                <w:szCs w:val="22"/>
                <w:lang w:eastAsia="zh-CN"/>
                <w:highlight w:val="none"/>
              </w:rPr>
              <w:t>本项目破损电池贮存间和危废间容积约</w:t>
            </w:r>
            <w:r>
              <w:rPr>
                <w:rFonts w:cs="Times New Roman" w:hint="eastAsia"/>
                <w:bCs/>
                <w:color w:val="auto"/>
                <w:kern w:val="0"/>
                <w:sz w:val="24"/>
                <w:szCs w:val="22"/>
                <w:lang w:val="en-US" w:eastAsia="zh-CN"/>
                <w:highlight w:val="none"/>
              </w:rPr>
              <w:t>200m</w:t>
            </w:r>
            <w:r>
              <w:rPr>
                <w:rFonts w:cs="Times New Roman" w:hint="eastAsia"/>
                <w:bCs/>
                <w:color w:val="auto"/>
                <w:kern w:val="0"/>
                <w:sz w:val="24"/>
                <w:szCs w:val="22"/>
                <w:vertAlign w:val="superscript"/>
                <w:lang w:val="en-US" w:eastAsia="zh-CN"/>
                <w:highlight w:val="none"/>
              </w:rPr>
              <w:t>3</w:t>
            </w:r>
            <w:r>
              <w:rPr>
                <w:rFonts w:cs="Times New Roman" w:hint="eastAsia"/>
                <w:bCs/>
                <w:color w:val="auto"/>
                <w:kern w:val="0"/>
                <w:sz w:val="24"/>
                <w:szCs w:val="22"/>
                <w:lang w:val="en-US" w:eastAsia="zh-CN"/>
                <w:highlight w:val="none"/>
              </w:rPr>
              <w:t>，按每小时换气12次，同时考虑风损，则风量为3000m</w:t>
            </w:r>
            <w:r>
              <w:rPr>
                <w:rFonts w:cs="Times New Roman" w:hint="eastAsia"/>
                <w:bCs/>
                <w:color w:val="auto"/>
                <w:kern w:val="0"/>
                <w:sz w:val="24"/>
                <w:szCs w:val="22"/>
                <w:vertAlign w:val="superscript"/>
                <w:lang w:val="en-US" w:eastAsia="zh-CN"/>
                <w:highlight w:val="none"/>
              </w:rPr>
              <w:t>3</w:t>
            </w:r>
            <w:r>
              <w:rPr>
                <w:rFonts w:cs="Times New Roman" w:hint="eastAsia"/>
                <w:bCs/>
                <w:color w:val="auto"/>
                <w:kern w:val="0"/>
                <w:sz w:val="24"/>
                <w:szCs w:val="22"/>
                <w:lang w:val="en-US" w:eastAsia="zh-CN"/>
                <w:highlight w:val="none"/>
              </w:rPr>
              <w:t>/h。</w:t>
            </w:r>
          </w:p>
          <w:p>
            <w:pPr>
              <w:keepNext w:val="0"/>
              <w:keepLines w:val="0"/>
              <w:pageBreakBefore w:val="0"/>
              <w:widowControl/>
              <w:kinsoku/>
              <w:wordWrap/>
              <w:overflowPunct/>
              <w:topLinePunct w:val="0"/>
              <w:autoSpaceDE/>
              <w:autoSpaceDN/>
              <w:bidi w:val="0"/>
              <w:adjustRightInd w:val="0"/>
              <w:snapToGrid w:val="0"/>
              <w:spacing w:line="460" w:lineRule="exact"/>
              <w:ind w:firstLineChars="200" w:firstLine="480"/>
              <w:textAlignment w:val="auto"/>
              <w:rPr>
                <w:rFonts w:ascii="Times New Roman" w:eastAsia="宋体" w:cs="Times New Roman" w:hAnsi="Times New Roman" w:hint="eastAsia"/>
                <w:bCs/>
                <w:color w:val="auto"/>
                <w:kern w:val="0"/>
                <w:sz w:val="24"/>
                <w:szCs w:val="22"/>
                <w:lang w:eastAsia="zh-CN"/>
                <w:highlight w:val="none"/>
              </w:rPr>
            </w:pPr>
            <w:r>
              <w:rPr>
                <w:rFonts w:ascii="Times New Roman" w:eastAsia="宋体" w:cs="Times New Roman" w:hAnsi="Times New Roman" w:hint="eastAsia"/>
                <w:bCs/>
                <w:color w:val="auto"/>
                <w:kern w:val="0"/>
                <w:sz w:val="24"/>
                <w:szCs w:val="22"/>
                <w:highlight w:val="none"/>
              </w:rPr>
              <w:t>破损电池检出几率较低，</w:t>
            </w:r>
            <w:r>
              <w:rPr>
                <w:rFonts w:cs="Times New Roman" w:hint="eastAsia"/>
                <w:bCs/>
                <w:color w:val="auto"/>
                <w:kern w:val="0"/>
                <w:sz w:val="24"/>
                <w:szCs w:val="22"/>
                <w:lang w:eastAsia="zh-CN"/>
                <w:highlight w:val="none"/>
              </w:rPr>
              <w:t>且废电池中转周期平均约为</w:t>
            </w:r>
            <w:r>
              <w:rPr>
                <w:rFonts w:cs="Times New Roman" w:hint="eastAsia"/>
                <w:bCs/>
                <w:color w:val="auto"/>
                <w:kern w:val="0"/>
                <w:sz w:val="24"/>
                <w:szCs w:val="22"/>
                <w:lang w:val="en-US" w:eastAsia="zh-CN"/>
                <w:highlight w:val="none"/>
              </w:rPr>
              <w:t>5天，废电解液随废电池一同中转，厂区内暂存时间按4天（96h）每批次计，年工作小时为240天（5760h）</w:t>
            </w:r>
            <w:r>
              <w:rPr>
                <w:rFonts w:ascii="Times New Roman" w:eastAsia="宋体" w:cs="Times New Roman" w:hAnsi="Times New Roman" w:hint="eastAsia"/>
                <w:bCs/>
                <w:color w:val="auto"/>
                <w:kern w:val="0"/>
                <w:sz w:val="24"/>
                <w:szCs w:val="22"/>
                <w:highlight w:val="none"/>
              </w:rPr>
              <w:t>。硫酸雾量详见表4.1</w:t>
            </w:r>
            <w:r>
              <w:rPr>
                <w:rFonts w:cs="Times New Roman" w:hint="eastAsia"/>
                <w:bCs/>
                <w:color w:val="auto"/>
                <w:kern w:val="0"/>
                <w:sz w:val="24"/>
                <w:szCs w:val="22"/>
                <w:lang w:eastAsia="zh-CN"/>
                <w:highlight w:val="none"/>
              </w:rPr>
              <w:t>。</w:t>
            </w:r>
          </w:p>
          <w:p>
            <w:pPr>
              <w:adjustRightInd w:val="0"/>
              <w:snapToGrid w:val="0"/>
              <w:jc w:val="center"/>
              <w:rPr>
                <w:rFonts w:hint="eastAsia"/>
                <w:b/>
                <w:color w:val="auto"/>
                <w:sz w:val="24"/>
                <w:highlight w:val="none"/>
              </w:rPr>
            </w:pPr>
            <w:r>
              <w:rPr>
                <w:rFonts w:hint="eastAsia"/>
                <w:b/>
                <w:color w:val="auto"/>
                <w:sz w:val="24"/>
                <w:highlight w:val="none"/>
              </w:rPr>
              <w:t>表4-1  废气产排污情况汇总</w:t>
            </w:r>
          </w:p>
          <w:tbl>
            <w:tblPr>
              <w:jc w:val="center"/>
              <w:tblW w:w="4997" w:type="pct"/>
              <w:tblBorders>
                <w:top w:val="single" w:sz="12" w:space="0" w:color="auto"/>
                <w:left w:val="none" w:sz="0" w:space="0" w:color="auto"/>
                <w:bottom w:val="single" w:sz="12" w:space="0" w:color="auto"/>
                <w:right w:val="none" w:sz="0" w:space="0" w:color="auto"/>
                <w:insideH w:val="single" w:sz="4" w:space="0" w:color="auto"/>
                <w:insideV w:val="single" w:sz="4" w:space="0" w:color="auto"/>
              </w:tblBorders>
              <w:tblLayout w:type="fixed"/>
              <w:tblCellMar>
                <w:top w:w="0" w:type="dxa"/>
                <w:left w:w="0" w:type="dxa"/>
                <w:bottom w:w="0" w:type="dxa"/>
                <w:right w:w="0" w:type="dxa"/>
              </w:tblCellMar>
              <w:tblLook w:val="0600" w:firstRow="0" w:lastRow="0" w:firstColumn="0" w:lastColumn="0" w:noHBand="1" w:noVBand="1"/>
            </w:tblPr>
            <w:tblGrid>
              <w:gridCol w:w="1045"/>
              <w:gridCol w:w="540"/>
              <w:gridCol w:w="616"/>
              <w:gridCol w:w="674"/>
              <w:gridCol w:w="567"/>
              <w:gridCol w:w="2045"/>
              <w:gridCol w:w="531"/>
              <w:gridCol w:w="634"/>
              <w:gridCol w:w="469"/>
              <w:gridCol w:w="634"/>
              <w:gridCol w:w="589"/>
              <w:gridCol w:w="580"/>
            </w:tblGrid>
            <w:tr>
              <w:trPr>
                <w:trHeight w:val="397"/>
              </w:trPr>
              <w:tc>
                <w:tcPr>
                  <w:tcW w:w="234" w:type="dxa"/>
                  <w:vMerge w:val="restart"/>
                  <w:tcBorders>
                    <w:tl2br w:val="nil"/>
                    <w:tr2bl w:val="nil"/>
                  </w:tcBorders>
                  <w:vAlign w:val="center"/>
                </w:tcPr>
                <w:p>
                  <w:pPr>
                    <w:widowControl/>
                    <w:adjustRightInd w:val="0"/>
                    <w:snapToGrid w:val="0"/>
                    <w:jc w:val="center"/>
                    <w:rPr>
                      <w:rFonts w:ascii="Times New Roman" w:eastAsia="宋体" w:cs="Times New Roman" w:hAnsi="Times New Roman"/>
                      <w:bCs/>
                      <w:color w:val="auto"/>
                      <w:kern w:val="0"/>
                      <w:sz w:val="21"/>
                      <w:szCs w:val="21"/>
                      <w:highlight w:val="none"/>
                    </w:rPr>
                  </w:pPr>
                  <w:r>
                    <w:rPr>
                      <w:rFonts w:ascii="Times New Roman" w:eastAsia="宋体" w:cs="Times New Roman" w:hAnsi="Times New Roman"/>
                      <w:bCs/>
                      <w:color w:val="auto"/>
                      <w:kern w:val="0"/>
                      <w:sz w:val="21"/>
                      <w:szCs w:val="21"/>
                      <w:highlight w:val="none"/>
                    </w:rPr>
                    <w:t>产排污环节</w:t>
                  </w:r>
                </w:p>
              </w:tc>
              <w:tc>
                <w:tcPr>
                  <w:tcW w:w="121" w:type="dxa"/>
                  <w:vMerge w:val="restart"/>
                  <w:tcBorders>
                    <w:tl2br w:val="nil"/>
                    <w:tr2bl w:val="nil"/>
                  </w:tcBorders>
                  <w:vAlign w:val="center"/>
                </w:tcPr>
                <w:p>
                  <w:pPr>
                    <w:widowControl/>
                    <w:adjustRightInd w:val="0"/>
                    <w:snapToGrid w:val="0"/>
                    <w:jc w:val="center"/>
                    <w:rPr>
                      <w:bCs/>
                      <w:color w:val="auto"/>
                      <w:kern w:val="0"/>
                      <w:sz w:val="21"/>
                      <w:szCs w:val="21"/>
                      <w:highlight w:val="none"/>
                    </w:rPr>
                  </w:pPr>
                  <w:r>
                    <w:rPr>
                      <w:bCs/>
                      <w:color w:val="auto"/>
                      <w:kern w:val="0"/>
                      <w:sz w:val="21"/>
                      <w:szCs w:val="21"/>
                      <w:highlight w:val="none"/>
                    </w:rPr>
                    <w:t>污染物种类</w:t>
                  </w:r>
                </w:p>
              </w:tc>
              <w:tc>
                <w:tcPr>
                  <w:tcW w:w="138" w:type="dxa"/>
                  <w:vMerge w:val="restart"/>
                  <w:tcBorders>
                    <w:tl2br w:val="nil"/>
                    <w:tr2bl w:val="nil"/>
                  </w:tcBorders>
                  <w:vAlign w:val="center"/>
                </w:tcPr>
                <w:p>
                  <w:pPr>
                    <w:widowControl/>
                    <w:adjustRightInd w:val="0"/>
                    <w:snapToGrid w:val="0"/>
                    <w:jc w:val="center"/>
                    <w:rPr>
                      <w:bCs/>
                      <w:color w:val="auto"/>
                      <w:kern w:val="0"/>
                      <w:sz w:val="21"/>
                      <w:szCs w:val="21"/>
                      <w:highlight w:val="none"/>
                    </w:rPr>
                  </w:pPr>
                  <w:r>
                    <w:rPr>
                      <w:bCs/>
                      <w:color w:val="auto"/>
                      <w:kern w:val="0"/>
                      <w:sz w:val="21"/>
                      <w:szCs w:val="21"/>
                      <w:highlight w:val="none"/>
                    </w:rPr>
                    <w:t>产生量</w:t>
                  </w:r>
                </w:p>
                <w:p>
                  <w:pPr>
                    <w:widowControl/>
                    <w:adjustRightInd w:val="0"/>
                    <w:snapToGrid w:val="0"/>
                    <w:jc w:val="center"/>
                    <w:rPr>
                      <w:bCs/>
                      <w:color w:val="auto"/>
                      <w:kern w:val="0"/>
                      <w:sz w:val="21"/>
                      <w:szCs w:val="21"/>
                      <w:highlight w:val="none"/>
                    </w:rPr>
                  </w:pPr>
                  <w:r>
                    <w:rPr>
                      <w:rFonts w:hint="eastAsia"/>
                      <w:bCs/>
                      <w:color w:val="auto"/>
                      <w:kern w:val="0"/>
                      <w:sz w:val="21"/>
                      <w:szCs w:val="21"/>
                      <w:lang w:val="en-US" w:eastAsia="zh-CN"/>
                      <w:highlight w:val="none"/>
                    </w:rPr>
                    <w:t>t</w:t>
                  </w:r>
                  <w:r>
                    <w:rPr>
                      <w:bCs/>
                      <w:color w:val="auto"/>
                      <w:kern w:val="0"/>
                      <w:sz w:val="21"/>
                      <w:szCs w:val="21"/>
                      <w:highlight w:val="none"/>
                    </w:rPr>
                    <w:t>/a</w:t>
                  </w:r>
                </w:p>
              </w:tc>
              <w:tc>
                <w:tcPr>
                  <w:tcW w:w="151" w:type="dxa"/>
                  <w:vMerge w:val="restart"/>
                  <w:tcBorders>
                    <w:tl2br w:val="nil"/>
                    <w:tr2bl w:val="nil"/>
                  </w:tcBorders>
                  <w:vAlign w:val="center"/>
                </w:tcPr>
                <w:p>
                  <w:pPr>
                    <w:widowControl/>
                    <w:adjustRightInd w:val="0"/>
                    <w:snapToGrid w:val="0"/>
                    <w:jc w:val="center"/>
                    <w:rPr>
                      <w:bCs/>
                      <w:color w:val="auto"/>
                      <w:kern w:val="0"/>
                      <w:sz w:val="21"/>
                      <w:szCs w:val="21"/>
                      <w:highlight w:val="none"/>
                    </w:rPr>
                  </w:pPr>
                  <w:r>
                    <w:rPr>
                      <w:rFonts w:hint="eastAsia"/>
                      <w:bCs/>
                      <w:color w:val="auto"/>
                      <w:kern w:val="0"/>
                      <w:sz w:val="21"/>
                      <w:szCs w:val="21"/>
                      <w:highlight w:val="none"/>
                    </w:rPr>
                    <w:t>产生速率kg/h</w:t>
                  </w:r>
                </w:p>
              </w:tc>
              <w:tc>
                <w:tcPr>
                  <w:tcW w:w="127" w:type="dxa"/>
                  <w:vMerge w:val="restart"/>
                  <w:tcBorders>
                    <w:tl2br w:val="nil"/>
                    <w:tr2bl w:val="nil"/>
                  </w:tcBorders>
                  <w:vAlign w:val="center"/>
                </w:tcPr>
                <w:p>
                  <w:pPr>
                    <w:widowControl/>
                    <w:adjustRightInd w:val="0"/>
                    <w:snapToGrid w:val="0"/>
                    <w:jc w:val="center"/>
                    <w:rPr>
                      <w:bCs/>
                      <w:color w:val="auto"/>
                      <w:kern w:val="0"/>
                      <w:sz w:val="21"/>
                      <w:szCs w:val="21"/>
                      <w:highlight w:val="none"/>
                    </w:rPr>
                  </w:pPr>
                  <w:r>
                    <w:rPr>
                      <w:bCs/>
                      <w:color w:val="auto"/>
                      <w:kern w:val="0"/>
                      <w:sz w:val="21"/>
                      <w:szCs w:val="21"/>
                      <w:highlight w:val="none"/>
                    </w:rPr>
                    <w:t>产生浓度</w:t>
                  </w:r>
                </w:p>
                <w:p>
                  <w:pPr>
                    <w:widowControl/>
                    <w:adjustRightInd w:val="0"/>
                    <w:snapToGrid w:val="0"/>
                    <w:jc w:val="center"/>
                    <w:rPr>
                      <w:bCs/>
                      <w:color w:val="auto"/>
                      <w:kern w:val="0"/>
                      <w:sz w:val="21"/>
                      <w:szCs w:val="21"/>
                      <w:highlight w:val="none"/>
                    </w:rPr>
                  </w:pPr>
                  <w:r>
                    <w:rPr>
                      <w:bCs/>
                      <w:color w:val="auto"/>
                      <w:kern w:val="0"/>
                      <w:sz w:val="21"/>
                      <w:szCs w:val="21"/>
                      <w:highlight w:val="none"/>
                    </w:rPr>
                    <w:t>mg/m</w:t>
                  </w:r>
                  <w:r>
                    <w:rPr>
                      <w:bCs/>
                      <w:color w:val="auto"/>
                      <w:kern w:val="0"/>
                      <w:sz w:val="21"/>
                      <w:szCs w:val="21"/>
                      <w:vertAlign w:val="superscript"/>
                      <w:highlight w:val="none"/>
                    </w:rPr>
                    <w:t>3</w:t>
                  </w:r>
                </w:p>
              </w:tc>
              <w:tc>
                <w:tcPr>
                  <w:tcW w:w="824" w:type="dxa"/>
                  <w:gridSpan w:val="4"/>
                  <w:tcBorders>
                    <w:tl2br w:val="nil"/>
                    <w:tr2bl w:val="nil"/>
                  </w:tcBorders>
                  <w:vAlign w:val="center"/>
                </w:tcPr>
                <w:p>
                  <w:pPr>
                    <w:widowControl/>
                    <w:adjustRightInd w:val="0"/>
                    <w:snapToGrid w:val="0"/>
                    <w:jc w:val="center"/>
                    <w:rPr>
                      <w:bCs/>
                      <w:color w:val="auto"/>
                      <w:kern w:val="0"/>
                      <w:sz w:val="21"/>
                      <w:szCs w:val="21"/>
                      <w:highlight w:val="none"/>
                    </w:rPr>
                  </w:pPr>
                  <w:r>
                    <w:rPr>
                      <w:bCs/>
                      <w:color w:val="auto"/>
                      <w:kern w:val="0"/>
                      <w:sz w:val="21"/>
                      <w:szCs w:val="21"/>
                      <w:highlight w:val="none"/>
                    </w:rPr>
                    <w:t>污染防治措施</w:t>
                  </w:r>
                </w:p>
              </w:tc>
              <w:tc>
                <w:tcPr>
                  <w:tcW w:w="142" w:type="dxa"/>
                  <w:vMerge w:val="restart"/>
                  <w:tcBorders>
                    <w:tl2br w:val="nil"/>
                    <w:tr2bl w:val="nil"/>
                  </w:tcBorders>
                  <w:vAlign w:val="center"/>
                </w:tcPr>
                <w:p>
                  <w:pPr>
                    <w:widowControl/>
                    <w:adjustRightInd w:val="0"/>
                    <w:snapToGrid w:val="0"/>
                    <w:jc w:val="center"/>
                    <w:rPr>
                      <w:bCs/>
                      <w:color w:val="auto"/>
                      <w:kern w:val="0"/>
                      <w:sz w:val="21"/>
                      <w:szCs w:val="21"/>
                      <w:highlight w:val="none"/>
                    </w:rPr>
                  </w:pPr>
                  <w:r>
                    <w:rPr>
                      <w:bCs/>
                      <w:color w:val="auto"/>
                      <w:kern w:val="0"/>
                      <w:sz w:val="21"/>
                      <w:szCs w:val="21"/>
                      <w:highlight w:val="none"/>
                    </w:rPr>
                    <w:t>排放量</w:t>
                  </w:r>
                </w:p>
                <w:p>
                  <w:pPr>
                    <w:widowControl/>
                    <w:adjustRightInd w:val="0"/>
                    <w:snapToGrid w:val="0"/>
                    <w:jc w:val="center"/>
                    <w:rPr>
                      <w:bCs/>
                      <w:color w:val="auto"/>
                      <w:kern w:val="0"/>
                      <w:sz w:val="21"/>
                      <w:szCs w:val="21"/>
                      <w:highlight w:val="none"/>
                    </w:rPr>
                  </w:pPr>
                  <w:r>
                    <w:rPr>
                      <w:rFonts w:hint="eastAsia"/>
                      <w:bCs/>
                      <w:color w:val="auto"/>
                      <w:kern w:val="0"/>
                      <w:sz w:val="21"/>
                      <w:szCs w:val="21"/>
                      <w:lang w:val="en-US" w:eastAsia="zh-CN"/>
                      <w:highlight w:val="none"/>
                    </w:rPr>
                    <w:t>t</w:t>
                  </w:r>
                  <w:r>
                    <w:rPr>
                      <w:bCs/>
                      <w:color w:val="auto"/>
                      <w:kern w:val="0"/>
                      <w:sz w:val="21"/>
                      <w:szCs w:val="21"/>
                      <w:highlight w:val="none"/>
                    </w:rPr>
                    <w:t>/a</w:t>
                  </w:r>
                </w:p>
              </w:tc>
              <w:tc>
                <w:tcPr>
                  <w:tcW w:w="132" w:type="dxa"/>
                  <w:vMerge w:val="restart"/>
                  <w:tcBorders>
                    <w:tl2br w:val="nil"/>
                    <w:tr2bl w:val="nil"/>
                  </w:tcBorders>
                  <w:vAlign w:val="center"/>
                </w:tcPr>
                <w:p>
                  <w:pPr>
                    <w:widowControl/>
                    <w:adjustRightInd w:val="0"/>
                    <w:snapToGrid w:val="0"/>
                    <w:jc w:val="center"/>
                    <w:rPr>
                      <w:bCs/>
                      <w:color w:val="auto"/>
                      <w:kern w:val="0"/>
                      <w:sz w:val="21"/>
                      <w:szCs w:val="21"/>
                      <w:highlight w:val="none"/>
                    </w:rPr>
                  </w:pPr>
                  <w:r>
                    <w:rPr>
                      <w:rFonts w:hint="eastAsia"/>
                      <w:bCs/>
                      <w:color w:val="auto"/>
                      <w:kern w:val="0"/>
                      <w:sz w:val="21"/>
                      <w:szCs w:val="21"/>
                      <w:highlight w:val="none"/>
                    </w:rPr>
                    <w:t>排放速率kg/h</w:t>
                  </w:r>
                </w:p>
              </w:tc>
              <w:tc>
                <w:tcPr>
                  <w:tcW w:w="130" w:type="dxa"/>
                  <w:vMerge w:val="restart"/>
                  <w:tcBorders>
                    <w:tl2br w:val="nil"/>
                    <w:tr2bl w:val="nil"/>
                  </w:tcBorders>
                  <w:vAlign w:val="center"/>
                </w:tcPr>
                <w:p>
                  <w:pPr>
                    <w:widowControl/>
                    <w:adjustRightInd w:val="0"/>
                    <w:snapToGrid w:val="0"/>
                    <w:jc w:val="center"/>
                    <w:rPr>
                      <w:bCs/>
                      <w:color w:val="auto"/>
                      <w:kern w:val="0"/>
                      <w:sz w:val="21"/>
                      <w:szCs w:val="21"/>
                      <w:highlight w:val="none"/>
                    </w:rPr>
                  </w:pPr>
                  <w:r>
                    <w:rPr>
                      <w:bCs/>
                      <w:color w:val="auto"/>
                      <w:kern w:val="0"/>
                      <w:sz w:val="21"/>
                      <w:szCs w:val="21"/>
                      <w:highlight w:val="none"/>
                    </w:rPr>
                    <w:t>排放浓度mg/m</w:t>
                  </w:r>
                  <w:r>
                    <w:rPr>
                      <w:bCs/>
                      <w:color w:val="auto"/>
                      <w:kern w:val="0"/>
                      <w:sz w:val="21"/>
                      <w:szCs w:val="21"/>
                      <w:vertAlign w:val="superscript"/>
                      <w:highlight w:val="none"/>
                    </w:rPr>
                    <w:t>3</w:t>
                  </w:r>
                </w:p>
              </w:tc>
            </w:tr>
            <w:tr>
              <w:trPr>
                <w:trHeight w:val="397"/>
              </w:trPr>
              <w:tc>
                <w:tcPr>
                  <w:tcW w:w="234" w:type="dxa"/>
                  <w:vMerge/>
                  <w:tcBorders>
                    <w:tl2br w:val="nil"/>
                    <w:tr2bl w:val="nil"/>
                  </w:tcBorders>
                  <w:vAlign w:val="center"/>
                </w:tcPr>
                <w:p/>
              </w:tc>
              <w:tc>
                <w:tcPr>
                  <w:tcW w:w="121" w:type="dxa"/>
                  <w:vMerge/>
                  <w:tcBorders>
                    <w:tl2br w:val="nil"/>
                    <w:tr2bl w:val="nil"/>
                  </w:tcBorders>
                  <w:vAlign w:val="center"/>
                </w:tcPr>
                <w:p/>
              </w:tc>
              <w:tc>
                <w:tcPr>
                  <w:tcW w:w="138" w:type="dxa"/>
                  <w:vMerge/>
                  <w:tcBorders>
                    <w:tl2br w:val="nil"/>
                    <w:tr2bl w:val="nil"/>
                  </w:tcBorders>
                  <w:vAlign w:val="center"/>
                </w:tcPr>
                <w:p/>
              </w:tc>
              <w:tc>
                <w:tcPr>
                  <w:tcW w:w="151" w:type="dxa"/>
                  <w:vMerge/>
                  <w:tcBorders>
                    <w:tl2br w:val="nil"/>
                    <w:tr2bl w:val="nil"/>
                  </w:tcBorders>
                  <w:vAlign w:val="center"/>
                </w:tcPr>
                <w:p/>
              </w:tc>
              <w:tc>
                <w:tcPr>
                  <w:tcW w:w="127" w:type="dxa"/>
                  <w:vMerge/>
                  <w:tcBorders>
                    <w:tl2br w:val="nil"/>
                    <w:tr2bl w:val="nil"/>
                  </w:tcBorders>
                  <w:vAlign w:val="center"/>
                </w:tcPr>
                <w:p/>
              </w:tc>
              <w:tc>
                <w:tcPr>
                  <w:tcW w:w="458" w:type="dxa"/>
                  <w:tcBorders>
                    <w:tl2br w:val="nil"/>
                    <w:tr2bl w:val="nil"/>
                  </w:tcBorders>
                  <w:vAlign w:val="center"/>
                </w:tcPr>
                <w:p>
                  <w:pPr>
                    <w:widowControl/>
                    <w:adjustRightInd w:val="0"/>
                    <w:snapToGrid w:val="0"/>
                    <w:jc w:val="center"/>
                    <w:rPr>
                      <w:bCs/>
                      <w:color w:val="auto"/>
                      <w:kern w:val="0"/>
                      <w:sz w:val="21"/>
                      <w:szCs w:val="21"/>
                      <w:highlight w:val="none"/>
                    </w:rPr>
                  </w:pPr>
                  <w:r>
                    <w:rPr>
                      <w:bCs/>
                      <w:color w:val="auto"/>
                      <w:kern w:val="0"/>
                      <w:sz w:val="21"/>
                      <w:szCs w:val="21"/>
                      <w:highlight w:val="none"/>
                    </w:rPr>
                    <w:t>名称</w:t>
                  </w:r>
                </w:p>
              </w:tc>
              <w:tc>
                <w:tcPr>
                  <w:tcW w:w="119" w:type="dxa"/>
                  <w:tcBorders>
                    <w:tl2br w:val="nil"/>
                    <w:tr2bl w:val="nil"/>
                  </w:tcBorders>
                  <w:vAlign w:val="center"/>
                </w:tcPr>
                <w:p>
                  <w:pPr>
                    <w:widowControl/>
                    <w:adjustRightInd w:val="0"/>
                    <w:snapToGrid w:val="0"/>
                    <w:jc w:val="center"/>
                    <w:rPr>
                      <w:bCs/>
                      <w:color w:val="auto"/>
                      <w:kern w:val="0"/>
                      <w:sz w:val="21"/>
                      <w:szCs w:val="21"/>
                      <w:highlight w:val="none"/>
                    </w:rPr>
                  </w:pPr>
                  <w:r>
                    <w:rPr>
                      <w:rFonts w:hint="eastAsia"/>
                      <w:bCs/>
                      <w:color w:val="auto"/>
                      <w:kern w:val="0"/>
                      <w:sz w:val="21"/>
                      <w:szCs w:val="21"/>
                      <w:highlight w:val="none"/>
                    </w:rPr>
                    <w:t>收集效率%</w:t>
                  </w:r>
                </w:p>
              </w:tc>
              <w:tc>
                <w:tcPr>
                  <w:tcW w:w="142" w:type="dxa"/>
                  <w:tcBorders>
                    <w:tl2br w:val="nil"/>
                    <w:tr2bl w:val="nil"/>
                  </w:tcBorders>
                  <w:vAlign w:val="center"/>
                </w:tcPr>
                <w:p>
                  <w:pPr>
                    <w:widowControl/>
                    <w:adjustRightInd w:val="0"/>
                    <w:snapToGrid w:val="0"/>
                    <w:jc w:val="center"/>
                    <w:rPr>
                      <w:bCs/>
                      <w:color w:val="auto"/>
                      <w:kern w:val="0"/>
                      <w:sz w:val="21"/>
                      <w:szCs w:val="21"/>
                      <w:highlight w:val="none"/>
                    </w:rPr>
                  </w:pPr>
                  <w:r>
                    <w:rPr>
                      <w:bCs/>
                      <w:color w:val="auto"/>
                      <w:kern w:val="0"/>
                      <w:sz w:val="21"/>
                      <w:szCs w:val="21"/>
                      <w:highlight w:val="none"/>
                    </w:rPr>
                    <w:t>去除率</w:t>
                  </w:r>
                  <w:r>
                    <w:rPr>
                      <w:rFonts w:hint="eastAsia"/>
                      <w:bCs/>
                      <w:color w:val="auto"/>
                      <w:kern w:val="0"/>
                      <w:sz w:val="21"/>
                      <w:szCs w:val="21"/>
                      <w:highlight w:val="none"/>
                    </w:rPr>
                    <w:t>处理能力</w:t>
                  </w:r>
                  <w:r>
                    <w:rPr>
                      <w:bCs/>
                      <w:color w:val="auto"/>
                      <w:kern w:val="0"/>
                      <w:sz w:val="21"/>
                      <w:szCs w:val="21"/>
                      <w:highlight w:val="none"/>
                    </w:rPr>
                    <w:t>%</w:t>
                  </w:r>
                </w:p>
              </w:tc>
              <w:tc>
                <w:tcPr>
                  <w:tcW w:w="104" w:type="dxa"/>
                  <w:tcBorders>
                    <w:tl2br w:val="nil"/>
                    <w:tr2bl w:val="nil"/>
                  </w:tcBorders>
                  <w:vAlign w:val="center"/>
                </w:tcPr>
                <w:p>
                  <w:pPr>
                    <w:widowControl/>
                    <w:adjustRightInd w:val="0"/>
                    <w:snapToGrid w:val="0"/>
                    <w:jc w:val="center"/>
                    <w:rPr>
                      <w:bCs/>
                      <w:color w:val="auto"/>
                      <w:kern w:val="0"/>
                      <w:sz w:val="21"/>
                      <w:szCs w:val="21"/>
                      <w:highlight w:val="none"/>
                    </w:rPr>
                  </w:pPr>
                  <w:r>
                    <w:rPr>
                      <w:bCs/>
                      <w:color w:val="auto"/>
                      <w:kern w:val="0"/>
                      <w:sz w:val="21"/>
                      <w:szCs w:val="21"/>
                      <w:highlight w:val="none"/>
                    </w:rPr>
                    <w:t>是否为可行技术</w:t>
                  </w:r>
                </w:p>
              </w:tc>
              <w:tc>
                <w:tcPr>
                  <w:tcW w:w="142" w:type="dxa"/>
                  <w:vMerge/>
                  <w:tcBorders>
                    <w:tl2br w:val="nil"/>
                    <w:tr2bl w:val="nil"/>
                  </w:tcBorders>
                  <w:vAlign w:val="center"/>
                </w:tcPr>
                <w:p/>
              </w:tc>
              <w:tc>
                <w:tcPr>
                  <w:tcW w:w="132" w:type="dxa"/>
                  <w:vMerge/>
                  <w:tcBorders>
                    <w:tl2br w:val="nil"/>
                    <w:tr2bl w:val="nil"/>
                  </w:tcBorders>
                  <w:vAlign w:val="center"/>
                </w:tcPr>
                <w:p/>
              </w:tc>
              <w:tc>
                <w:tcPr>
                  <w:tcW w:w="130" w:type="dxa"/>
                  <w:vMerge/>
                  <w:tcBorders>
                    <w:tl2br w:val="nil"/>
                    <w:tr2bl w:val="nil"/>
                  </w:tcBorders>
                  <w:vAlign w:val="center"/>
                </w:tcPr>
                <w:p/>
              </w:tc>
            </w:tr>
            <w:tr>
              <w:trPr>
                <w:trHeight w:val="397"/>
              </w:trPr>
              <w:tc>
                <w:tcPr>
                  <w:tcW w:w="234" w:type="dxa"/>
                  <w:tcBorders>
                    <w:tl2br w:val="nil"/>
                    <w:tr2bl w:val="nil"/>
                  </w:tcBorders>
                  <w:vAlign w:val="center"/>
                </w:tcPr>
                <w:p>
                  <w:pPr>
                    <w:widowControl/>
                    <w:adjustRightInd w:val="0"/>
                    <w:snapToGrid w:val="0"/>
                    <w:jc w:val="center"/>
                    <w:rPr>
                      <w:rFonts w:ascii="Times New Roman" w:eastAsia="宋体" w:cs="Times New Roman" w:hAnsi="Times New Roman" w:hint="eastAsia"/>
                      <w:bCs/>
                      <w:color w:val="auto"/>
                      <w:kern w:val="0"/>
                      <w:sz w:val="21"/>
                      <w:szCs w:val="21"/>
                      <w:lang w:eastAsia="zh-CN"/>
                      <w:highlight w:val="none"/>
                    </w:rPr>
                  </w:pPr>
                  <w:r>
                    <w:rPr>
                      <w:rFonts w:cs="Times New Roman" w:hint="eastAsia"/>
                      <w:bCs/>
                      <w:color w:val="auto"/>
                      <w:kern w:val="0"/>
                      <w:sz w:val="21"/>
                      <w:szCs w:val="21"/>
                      <w:lang w:eastAsia="zh-CN"/>
                      <w:highlight w:val="none"/>
                    </w:rPr>
                    <w:t>破损电池贮存</w:t>
                  </w:r>
                </w:p>
              </w:tc>
              <w:tc>
                <w:tcPr>
                  <w:tcW w:w="121" w:type="dxa"/>
                  <w:tcBorders>
                    <w:tl2br w:val="nil"/>
                    <w:tr2bl w:val="nil"/>
                  </w:tcBorders>
                  <w:vAlign w:val="center"/>
                </w:tcPr>
                <w:p>
                  <w:pPr>
                    <w:widowControl/>
                    <w:adjustRightInd w:val="0"/>
                    <w:snapToGrid w:val="0"/>
                    <w:jc w:val="center"/>
                    <w:rPr>
                      <w:rFonts w:hint="eastAsia"/>
                      <w:bCs/>
                      <w:color w:val="auto"/>
                      <w:kern w:val="0"/>
                      <w:sz w:val="21"/>
                      <w:szCs w:val="21"/>
                      <w:highlight w:val="none"/>
                    </w:rPr>
                  </w:pPr>
                  <w:r>
                    <w:rPr>
                      <w:rFonts w:cs="Times New Roman" w:hint="eastAsia"/>
                      <w:bCs/>
                      <w:color w:val="auto"/>
                      <w:kern w:val="0"/>
                      <w:sz w:val="21"/>
                      <w:szCs w:val="21"/>
                      <w:lang w:val="en-US" w:eastAsia="zh-CN"/>
                      <w:highlight w:val="none"/>
                    </w:rPr>
                    <w:t>硫酸雾</w:t>
                  </w:r>
                </w:p>
              </w:tc>
              <w:tc>
                <w:tcPr>
                  <w:tcW w:w="138" w:type="dxa"/>
                  <w:tcBorders>
                    <w:tl2br w:val="nil"/>
                    <w:tr2bl w:val="nil"/>
                  </w:tcBorders>
                  <w:vAlign w:val="center"/>
                </w:tcPr>
                <w:p>
                  <w:pPr>
                    <w:keepNext w:val="0"/>
                    <w:keepLines w:val="0"/>
                    <w:widowControl/>
                    <w:suppressLineNumbers w:val="0"/>
                    <w:jc w:val="center"/>
                    <w:textAlignment w:val="center"/>
                    <w:rPr>
                      <w:rFonts w:ascii="Times New Roman" w:eastAsia="宋体" w:cs="Times New Roman" w:hAnsi="Times New Roman"/>
                      <w:i w:val="0"/>
                      <w:iCs w:val="0"/>
                      <w:color w:val="auto"/>
                      <w:kern w:val="0"/>
                      <w:sz w:val="21"/>
                      <w:szCs w:val="21"/>
                      <w:u w:val="none"/>
                      <w:lang w:val="en-US" w:eastAsia="zh-CN"/>
                      <w:highlight w:val="none"/>
                    </w:rPr>
                  </w:pPr>
                  <w:r>
                    <w:rPr>
                      <w:rFonts w:ascii="Times New Roman" w:eastAsia="宋体" w:cs="Times New Roman" w:hAnsi="Times New Roman"/>
                      <w:i w:val="0"/>
                      <w:iCs w:val="0"/>
                      <w:color w:val="auto"/>
                      <w:kern w:val="0"/>
                      <w:sz w:val="21"/>
                      <w:szCs w:val="21"/>
                      <w:u w:val="none"/>
                      <w:lang w:val="en-US" w:eastAsia="zh-CN"/>
                      <w:highlight w:val="none"/>
                    </w:rPr>
                    <w:t>0.</w:t>
                  </w:r>
                  <w:r>
                    <w:rPr>
                      <w:rFonts w:cs="Times New Roman" w:hint="eastAsia"/>
                      <w:i w:val="0"/>
                      <w:iCs w:val="0"/>
                      <w:color w:val="auto"/>
                      <w:kern w:val="0"/>
                      <w:sz w:val="21"/>
                      <w:szCs w:val="21"/>
                      <w:u w:val="none"/>
                      <w:lang w:val="en-US" w:eastAsia="zh-CN"/>
                      <w:highlight w:val="none"/>
                    </w:rPr>
                    <w:t>09</w:t>
                  </w:r>
                  <w:r>
                    <w:rPr>
                      <w:rFonts w:ascii="Times New Roman" w:eastAsia="宋体" w:cs="Times New Roman" w:hAnsi="Times New Roman"/>
                      <w:i w:val="0"/>
                      <w:iCs w:val="0"/>
                      <w:color w:val="auto"/>
                      <w:kern w:val="0"/>
                      <w:sz w:val="21"/>
                      <w:szCs w:val="21"/>
                      <w:u w:val="none"/>
                      <w:lang w:val="en-US" w:eastAsia="zh-CN"/>
                      <w:highlight w:val="none"/>
                    </w:rPr>
                    <w:t xml:space="preserve"> </w:t>
                  </w:r>
                </w:p>
              </w:tc>
              <w:tc>
                <w:tcPr>
                  <w:tcW w:w="151" w:type="dxa"/>
                  <w:tcBorders>
                    <w:tl2br w:val="nil"/>
                    <w:tr2bl w:val="nil"/>
                  </w:tcBorders>
                  <w:vAlign w:val="center"/>
                </w:tcPr>
                <w:p>
                  <w:pPr>
                    <w:keepNext w:val="0"/>
                    <w:keepLines w:val="0"/>
                    <w:widowControl/>
                    <w:suppressLineNumbers w:val="0"/>
                    <w:jc w:val="center"/>
                    <w:textAlignment w:val="center"/>
                    <w:rPr>
                      <w:rFonts w:ascii="Times New Roman" w:eastAsia="宋体" w:cs="Times New Roman" w:hAnsi="Times New Roman"/>
                      <w:i w:val="0"/>
                      <w:iCs w:val="0"/>
                      <w:color w:val="auto"/>
                      <w:kern w:val="0"/>
                      <w:sz w:val="21"/>
                      <w:szCs w:val="21"/>
                      <w:u w:val="none"/>
                      <w:lang w:val="en-US" w:eastAsia="zh-CN"/>
                      <w:highlight w:val="none"/>
                    </w:rPr>
                  </w:pPr>
                  <w:r>
                    <w:rPr>
                      <w:rFonts w:cs="Times New Roman" w:hint="eastAsia"/>
                      <w:i w:val="0"/>
                      <w:iCs w:val="0"/>
                      <w:color w:val="auto"/>
                      <w:kern w:val="0"/>
                      <w:sz w:val="21"/>
                      <w:szCs w:val="21"/>
                      <w:u w:val="none"/>
                      <w:lang w:val="en-US" w:eastAsia="zh-CN"/>
                      <w:highlight w:val="none"/>
                    </w:rPr>
                    <w:t>0.016</w:t>
                  </w:r>
                </w:p>
              </w:tc>
              <w:tc>
                <w:tcPr>
                  <w:tcW w:w="127" w:type="dxa"/>
                  <w:tcBorders>
                    <w:tl2br w:val="nil"/>
                    <w:tr2bl w:val="nil"/>
                  </w:tcBorders>
                  <w:vAlign w:val="center"/>
                </w:tcPr>
                <w:p>
                  <w:pPr>
                    <w:widowControl/>
                    <w:adjustRightInd w:val="0"/>
                    <w:snapToGrid w:val="0"/>
                    <w:jc w:val="center"/>
                    <w:rPr>
                      <w:rFonts w:eastAsia="宋体"/>
                      <w:bCs/>
                      <w:color w:val="auto"/>
                      <w:kern w:val="0"/>
                      <w:sz w:val="21"/>
                      <w:szCs w:val="21"/>
                      <w:lang w:val="en-US" w:eastAsia="zh-CN"/>
                      <w:highlight w:val="none"/>
                    </w:rPr>
                  </w:pPr>
                  <w:r>
                    <w:rPr>
                      <w:rFonts w:hint="eastAsia"/>
                      <w:bCs/>
                      <w:color w:val="auto"/>
                      <w:kern w:val="0"/>
                      <w:sz w:val="21"/>
                      <w:szCs w:val="21"/>
                      <w:lang w:val="en-US" w:eastAsia="zh-CN"/>
                      <w:highlight w:val="none"/>
                    </w:rPr>
                    <w:t>5.3</w:t>
                  </w:r>
                </w:p>
              </w:tc>
              <w:tc>
                <w:tcPr>
                  <w:tcW w:w="458" w:type="dxa"/>
                  <w:tcBorders>
                    <w:tl2br w:val="nil"/>
                    <w:tr2bl w:val="nil"/>
                  </w:tcBorders>
                  <w:vAlign w:val="center"/>
                </w:tcPr>
                <w:p>
                  <w:pPr>
                    <w:widowControl/>
                    <w:adjustRightInd w:val="0"/>
                    <w:snapToGrid w:val="0"/>
                    <w:jc w:val="center"/>
                    <w:rPr>
                      <w:rFonts w:ascii="Times New Roman" w:eastAsia="宋体" w:cs="Times New Roman" w:hAnsi="Times New Roman"/>
                      <w:bCs/>
                      <w:color w:val="auto"/>
                      <w:kern w:val="0"/>
                      <w:sz w:val="21"/>
                      <w:szCs w:val="21"/>
                      <w:lang w:val="en-US" w:eastAsia="zh-CN"/>
                      <w:highlight w:val="none"/>
                    </w:rPr>
                  </w:pPr>
                  <w:r>
                    <w:rPr>
                      <w:rFonts w:ascii="Times New Roman" w:eastAsia="宋体" w:cs="Times New Roman" w:hAnsi="Times New Roman"/>
                      <w:bCs/>
                      <w:color w:val="auto"/>
                      <w:kern w:val="0"/>
                      <w:sz w:val="21"/>
                      <w:szCs w:val="21"/>
                      <w:lang w:val="en-US" w:eastAsia="zh-CN"/>
                      <w:highlight w:val="none"/>
                    </w:rPr>
                    <w:t>经碱液喷装置处理后通过15m高排气筒排放</w:t>
                  </w:r>
                </w:p>
              </w:tc>
              <w:tc>
                <w:tcPr>
                  <w:tcW w:w="119" w:type="dxa"/>
                  <w:tcBorders>
                    <w:tl2br w:val="nil"/>
                    <w:tr2bl w:val="nil"/>
                  </w:tcBorders>
                  <w:vAlign w:val="center"/>
                </w:tcPr>
                <w:p>
                  <w:pPr>
                    <w:widowControl/>
                    <w:adjustRightInd w:val="0"/>
                    <w:snapToGrid w:val="0"/>
                    <w:jc w:val="center"/>
                    <w:rPr>
                      <w:rFonts w:ascii="Times New Roman" w:eastAsia="宋体" w:cs="Times New Roman" w:hAnsi="Times New Roman"/>
                      <w:bCs/>
                      <w:color w:val="auto"/>
                      <w:kern w:val="0"/>
                      <w:sz w:val="21"/>
                      <w:szCs w:val="21"/>
                      <w:lang w:val="en-US" w:eastAsia="zh-CN"/>
                      <w:highlight w:val="none"/>
                    </w:rPr>
                  </w:pPr>
                  <w:r>
                    <w:rPr>
                      <w:rFonts w:cs="Times New Roman" w:hint="eastAsia"/>
                      <w:bCs/>
                      <w:color w:val="auto"/>
                      <w:kern w:val="0"/>
                      <w:sz w:val="21"/>
                      <w:szCs w:val="21"/>
                      <w:lang w:val="en-US" w:eastAsia="zh-CN"/>
                      <w:highlight w:val="none"/>
                    </w:rPr>
                    <w:t>70</w:t>
                  </w:r>
                </w:p>
              </w:tc>
              <w:tc>
                <w:tcPr>
                  <w:tcW w:w="142" w:type="dxa"/>
                  <w:tcBorders>
                    <w:tl2br w:val="nil"/>
                    <w:tr2bl w:val="nil"/>
                  </w:tcBorders>
                  <w:vAlign w:val="center"/>
                </w:tcPr>
                <w:p>
                  <w:pPr>
                    <w:widowControl/>
                    <w:adjustRightInd w:val="0"/>
                    <w:snapToGrid w:val="0"/>
                    <w:jc w:val="center"/>
                    <w:rPr>
                      <w:rFonts w:eastAsia="宋体"/>
                      <w:bCs/>
                      <w:color w:val="auto"/>
                      <w:kern w:val="0"/>
                      <w:sz w:val="21"/>
                      <w:szCs w:val="21"/>
                      <w:lang w:val="en-US" w:eastAsia="zh-CN"/>
                      <w:highlight w:val="none"/>
                    </w:rPr>
                  </w:pPr>
                  <w:r>
                    <w:rPr>
                      <w:rFonts w:hint="eastAsia"/>
                      <w:bCs/>
                      <w:color w:val="auto"/>
                      <w:kern w:val="0"/>
                      <w:sz w:val="21"/>
                      <w:szCs w:val="21"/>
                      <w:lang w:val="en-US" w:eastAsia="zh-CN"/>
                      <w:highlight w:val="none"/>
                    </w:rPr>
                    <w:t>85</w:t>
                  </w:r>
                </w:p>
              </w:tc>
              <w:tc>
                <w:tcPr>
                  <w:tcW w:w="104" w:type="dxa"/>
                  <w:tcBorders>
                    <w:tl2br w:val="nil"/>
                    <w:tr2bl w:val="nil"/>
                  </w:tcBorders>
                  <w:vAlign w:val="center"/>
                </w:tcPr>
                <w:p>
                  <w:pPr>
                    <w:widowControl/>
                    <w:adjustRightInd w:val="0"/>
                    <w:snapToGrid w:val="0"/>
                    <w:jc w:val="center"/>
                    <w:rPr>
                      <w:rFonts w:hint="eastAsia"/>
                      <w:bCs/>
                      <w:color w:val="auto"/>
                      <w:kern w:val="0"/>
                      <w:sz w:val="21"/>
                      <w:szCs w:val="21"/>
                      <w:highlight w:val="none"/>
                    </w:rPr>
                  </w:pPr>
                  <w:r>
                    <w:rPr>
                      <w:rFonts w:hint="eastAsia"/>
                      <w:bCs/>
                      <w:color w:val="auto"/>
                      <w:kern w:val="0"/>
                      <w:sz w:val="21"/>
                      <w:szCs w:val="21"/>
                      <w:highlight w:val="none"/>
                    </w:rPr>
                    <w:t>是</w:t>
                  </w:r>
                </w:p>
              </w:tc>
              <w:tc>
                <w:tcPr>
                  <w:tcW w:w="142" w:type="dxa"/>
                  <w:tcBorders>
                    <w:tl2br w:val="nil"/>
                    <w:tr2bl w:val="nil"/>
                  </w:tcBorders>
                  <w:vAlign w:val="center"/>
                </w:tcPr>
                <w:p>
                  <w:pPr>
                    <w:keepNext w:val="0"/>
                    <w:keepLines w:val="0"/>
                    <w:widowControl/>
                    <w:suppressLineNumbers w:val="0"/>
                    <w:jc w:val="center"/>
                    <w:textAlignment w:val="center"/>
                    <w:rPr>
                      <w:rFonts w:ascii="Times New Roman" w:eastAsia="宋体" w:cs="Times New Roman" w:hAnsi="Times New Roman"/>
                      <w:i w:val="0"/>
                      <w:iCs w:val="0"/>
                      <w:color w:val="auto"/>
                      <w:kern w:val="0"/>
                      <w:sz w:val="21"/>
                      <w:szCs w:val="21"/>
                      <w:u w:val="none"/>
                      <w:lang w:val="en-US" w:eastAsia="zh-CN"/>
                      <w:highlight w:val="none"/>
                    </w:rPr>
                  </w:pPr>
                  <w:r>
                    <w:rPr>
                      <w:rFonts w:cs="Times New Roman" w:hint="eastAsia"/>
                      <w:i w:val="0"/>
                      <w:iCs w:val="0"/>
                      <w:color w:val="auto"/>
                      <w:kern w:val="0"/>
                      <w:sz w:val="21"/>
                      <w:szCs w:val="21"/>
                      <w:u w:val="none"/>
                      <w:lang w:val="en-US" w:eastAsia="zh-CN"/>
                      <w:highlight w:val="none"/>
                    </w:rPr>
                    <w:t>0.009</w:t>
                  </w:r>
                  <w:r>
                    <w:rPr>
                      <w:rFonts w:ascii="Times New Roman" w:eastAsia="宋体" w:cs="Times New Roman" w:hAnsi="Times New Roman"/>
                      <w:i w:val="0"/>
                      <w:iCs w:val="0"/>
                      <w:color w:val="auto"/>
                      <w:kern w:val="0"/>
                      <w:sz w:val="21"/>
                      <w:szCs w:val="21"/>
                      <w:u w:val="none"/>
                      <w:lang w:val="en-US" w:eastAsia="zh-CN"/>
                      <w:highlight w:val="none"/>
                    </w:rPr>
                    <w:t xml:space="preserve"> </w:t>
                  </w:r>
                </w:p>
              </w:tc>
              <w:tc>
                <w:tcPr>
                  <w:tcW w:w="132" w:type="dxa"/>
                  <w:tcBorders>
                    <w:tl2br w:val="nil"/>
                    <w:tr2bl w:val="nil"/>
                  </w:tcBorders>
                  <w:vAlign w:val="center"/>
                </w:tcPr>
                <w:p>
                  <w:pPr>
                    <w:keepNext w:val="0"/>
                    <w:keepLines w:val="0"/>
                    <w:widowControl/>
                    <w:suppressLineNumbers w:val="0"/>
                    <w:jc w:val="center"/>
                    <w:textAlignment w:val="center"/>
                    <w:rPr>
                      <w:rFonts w:ascii="Times New Roman" w:eastAsia="宋体" w:cs="Times New Roman" w:hAnsi="Times New Roman"/>
                      <w:i w:val="0"/>
                      <w:iCs w:val="0"/>
                      <w:color w:val="auto"/>
                      <w:kern w:val="0"/>
                      <w:sz w:val="21"/>
                      <w:szCs w:val="21"/>
                      <w:u w:val="none"/>
                      <w:lang w:val="en-US" w:eastAsia="zh-CN"/>
                      <w:highlight w:val="none"/>
                    </w:rPr>
                  </w:pPr>
                  <w:r>
                    <w:rPr>
                      <w:rFonts w:ascii="Times New Roman" w:eastAsia="宋体" w:cs="Times New Roman" w:hAnsi="Times New Roman" w:hint="eastAsia"/>
                      <w:i w:val="0"/>
                      <w:iCs w:val="0"/>
                      <w:color w:val="auto"/>
                      <w:kern w:val="0"/>
                      <w:sz w:val="21"/>
                      <w:szCs w:val="21"/>
                      <w:u w:val="none"/>
                      <w:lang w:val="en-US" w:eastAsia="zh-CN"/>
                      <w:highlight w:val="none"/>
                    </w:rPr>
                    <w:t>0.00</w:t>
                  </w:r>
                  <w:r>
                    <w:rPr>
                      <w:rFonts w:cs="Times New Roman" w:hint="eastAsia"/>
                      <w:i w:val="0"/>
                      <w:iCs w:val="0"/>
                      <w:color w:val="auto"/>
                      <w:kern w:val="0"/>
                      <w:sz w:val="21"/>
                      <w:szCs w:val="21"/>
                      <w:u w:val="none"/>
                      <w:lang w:val="en-US" w:eastAsia="zh-CN"/>
                      <w:highlight w:val="none"/>
                    </w:rPr>
                    <w:t>17</w:t>
                  </w:r>
                </w:p>
              </w:tc>
              <w:tc>
                <w:tcPr>
                  <w:tcW w:w="130" w:type="dxa"/>
                  <w:tcBorders>
                    <w:tl2br w:val="nil"/>
                    <w:tr2bl w:val="nil"/>
                  </w:tcBorders>
                  <w:vAlign w:val="center"/>
                </w:tcPr>
                <w:p>
                  <w:pPr>
                    <w:widowControl/>
                    <w:adjustRightInd w:val="0"/>
                    <w:snapToGrid w:val="0"/>
                    <w:jc w:val="center"/>
                    <w:rPr>
                      <w:rFonts w:eastAsia="宋体"/>
                      <w:bCs/>
                      <w:color w:val="auto"/>
                      <w:kern w:val="0"/>
                      <w:sz w:val="21"/>
                      <w:szCs w:val="21"/>
                      <w:lang w:val="en-US" w:eastAsia="zh-CN"/>
                      <w:highlight w:val="none"/>
                    </w:rPr>
                  </w:pPr>
                  <w:r>
                    <w:rPr>
                      <w:rFonts w:hint="eastAsia"/>
                      <w:bCs/>
                      <w:color w:val="auto"/>
                      <w:kern w:val="0"/>
                      <w:sz w:val="21"/>
                      <w:szCs w:val="21"/>
                      <w:lang w:val="en-US" w:eastAsia="zh-CN"/>
                      <w:highlight w:val="none"/>
                    </w:rPr>
                    <w:t>0.567</w:t>
                  </w:r>
                </w:p>
              </w:tc>
            </w:tr>
          </w:tbl>
          <w:p>
            <w:pPr>
              <w:keepNext w:val="0"/>
              <w:keepLines w:val="0"/>
              <w:pageBreakBefore w:val="0"/>
              <w:widowControl/>
              <w:kinsoku/>
              <w:wordWrap/>
              <w:overflowPunct/>
              <w:topLinePunct w:val="0"/>
              <w:autoSpaceDE/>
              <w:autoSpaceDN/>
              <w:bidi w:val="0"/>
              <w:adjustRightInd/>
              <w:snapToGrid/>
              <w:spacing w:line="460" w:lineRule="exact"/>
              <w:ind w:left="0" w:firstLineChars="200" w:firstLine="480"/>
              <w:textAlignment w:val="auto"/>
              <w:rPr>
                <w:rFonts w:hint="eastAsia"/>
                <w:color w:val="auto"/>
                <w:sz w:val="24"/>
                <w:lang w:eastAsia="zh-CN"/>
                <w:highlight w:val="none"/>
              </w:rPr>
            </w:pPr>
            <w:r>
              <w:rPr>
                <w:rFonts w:hint="eastAsia"/>
                <w:color w:val="auto"/>
                <w:sz w:val="24"/>
                <w:lang w:eastAsia="zh-CN"/>
                <w:highlight w:val="none"/>
              </w:rPr>
              <w:t>（</w:t>
            </w:r>
            <w:r>
              <w:rPr>
                <w:rFonts w:hint="eastAsia"/>
                <w:color w:val="auto"/>
                <w:sz w:val="24"/>
                <w:lang w:val="en-US" w:eastAsia="zh-CN"/>
                <w:highlight w:val="none"/>
              </w:rPr>
              <w:t>2</w:t>
            </w:r>
            <w:r>
              <w:rPr>
                <w:rFonts w:hint="eastAsia"/>
                <w:color w:val="auto"/>
                <w:sz w:val="24"/>
                <w:lang w:eastAsia="zh-CN"/>
                <w:highlight w:val="none"/>
              </w:rPr>
              <w:t>）排放口</w:t>
            </w:r>
          </w:p>
          <w:p>
            <w:pPr>
              <w:keepNext w:val="0"/>
              <w:keepLines w:val="0"/>
              <w:pageBreakBefore w:val="0"/>
              <w:widowControl/>
              <w:kinsoku/>
              <w:wordWrap/>
              <w:overflowPunct/>
              <w:topLinePunct w:val="0"/>
              <w:autoSpaceDE/>
              <w:autoSpaceDN/>
              <w:bidi w:val="0"/>
              <w:adjustRightInd w:val="0"/>
              <w:snapToGrid w:val="0"/>
              <w:spacing w:line="460" w:lineRule="exact"/>
              <w:ind w:firstLineChars="200" w:firstLine="480"/>
              <w:textAlignment w:val="auto"/>
              <w:rPr>
                <w:rFonts w:ascii="Times New Roman" w:eastAsia="宋体" w:cs="Times New Roman" w:hAnsi="Times New Roman" w:hint="eastAsia"/>
                <w:bCs/>
                <w:color w:val="auto"/>
                <w:kern w:val="0"/>
                <w:sz w:val="24"/>
                <w:szCs w:val="22"/>
                <w:highlight w:val="none"/>
              </w:rPr>
            </w:pPr>
            <w:r>
              <w:rPr>
                <w:rFonts w:ascii="Times New Roman" w:eastAsia="宋体" w:cs="Times New Roman" w:hAnsi="Times New Roman" w:hint="eastAsia"/>
                <w:bCs/>
                <w:color w:val="auto"/>
                <w:kern w:val="0"/>
                <w:sz w:val="24"/>
                <w:szCs w:val="22"/>
                <w:highlight w:val="none"/>
              </w:rPr>
              <w:t>本项目共设 1 个废气有组织排放口，排放口基本情况详见表 4-</w:t>
            </w:r>
            <w:r>
              <w:rPr>
                <w:rFonts w:cs="Times New Roman" w:hint="eastAsia"/>
                <w:bCs/>
                <w:color w:val="auto"/>
                <w:kern w:val="0"/>
                <w:sz w:val="24"/>
                <w:szCs w:val="22"/>
                <w:lang w:val="en-US" w:eastAsia="zh-CN"/>
                <w:highlight w:val="none"/>
              </w:rPr>
              <w:t>2</w:t>
            </w:r>
            <w:r>
              <w:rPr>
                <w:rFonts w:ascii="Times New Roman" w:eastAsia="宋体" w:cs="Times New Roman" w:hAnsi="Times New Roman" w:hint="eastAsia"/>
                <w:bCs/>
                <w:color w:val="auto"/>
                <w:kern w:val="0"/>
                <w:sz w:val="24"/>
                <w:szCs w:val="22"/>
                <w:highlight w:val="none"/>
              </w:rPr>
              <w:t>。</w:t>
            </w:r>
          </w:p>
          <w:p>
            <w:pPr>
              <w:keepNext w:val="0"/>
              <w:keepLines w:val="0"/>
              <w:pageBreakBefore w:val="0"/>
              <w:widowControl/>
              <w:kinsoku/>
              <w:wordWrap/>
              <w:overflowPunct/>
              <w:topLinePunct w:val="0"/>
              <w:autoSpaceDE/>
              <w:autoSpaceDN/>
              <w:bidi w:val="0"/>
              <w:adjustRightInd w:val="0"/>
              <w:snapToGrid w:val="0"/>
              <w:spacing w:line="460" w:lineRule="exact"/>
              <w:ind w:firstLineChars="200" w:firstLine="480"/>
              <w:jc w:val="center"/>
              <w:textAlignment w:val="auto"/>
              <w:rPr>
                <w:rFonts w:ascii="Times New Roman" w:eastAsia="宋体" w:cs="Times New Roman" w:hAnsi="Times New Roman" w:hint="eastAsia"/>
                <w:b/>
                <w:bCs w:val="0"/>
                <w:color w:val="auto"/>
                <w:kern w:val="0"/>
                <w:sz w:val="24"/>
                <w:szCs w:val="22"/>
                <w:lang w:eastAsia="zh-CN"/>
                <w:highlight w:val="none"/>
              </w:rPr>
            </w:pPr>
            <w:r>
              <w:rPr>
                <w:rFonts w:ascii="Times New Roman" w:eastAsia="宋体" w:cs="Times New Roman" w:hAnsi="Times New Roman" w:hint="eastAsia"/>
                <w:b/>
                <w:bCs w:val="0"/>
                <w:color w:val="auto"/>
                <w:kern w:val="0"/>
                <w:sz w:val="24"/>
                <w:szCs w:val="22"/>
                <w:lang w:eastAsia="zh-CN"/>
                <w:highlight w:val="none"/>
              </w:rPr>
              <w:t>表 4-</w:t>
            </w:r>
            <w:r>
              <w:rPr>
                <w:rFonts w:cs="Times New Roman" w:hint="eastAsia"/>
                <w:b/>
                <w:bCs w:val="0"/>
                <w:color w:val="auto"/>
                <w:kern w:val="0"/>
                <w:sz w:val="24"/>
                <w:szCs w:val="22"/>
                <w:lang w:val="en-US" w:eastAsia="zh-CN"/>
                <w:highlight w:val="none"/>
              </w:rPr>
              <w:t>2</w:t>
            </w:r>
            <w:r>
              <w:rPr>
                <w:rFonts w:ascii="Times New Roman" w:eastAsia="宋体" w:cs="Times New Roman" w:hAnsi="Times New Roman" w:hint="eastAsia"/>
                <w:b/>
                <w:bCs w:val="0"/>
                <w:color w:val="auto"/>
                <w:kern w:val="0"/>
                <w:sz w:val="24"/>
                <w:szCs w:val="22"/>
                <w:lang w:eastAsia="zh-CN"/>
                <w:highlight w:val="none"/>
              </w:rPr>
              <w:t xml:space="preserve">  项目废气排放口基本情况一览表</w:t>
            </w:r>
          </w:p>
          <w:tbl>
            <w:tblPr>
              <w:jc w:val="left"/>
              <w:tblInd w:w="0" w:type="dxa"/>
              <w:tblW w:w="4988" w:type="pct"/>
              <w:tblBorders>
                <w:top w:val="single" w:sz="12" w:space="0" w:color="000000"/>
                <w:left w:val="none" w:sz="0" w:space="0" w:color="auto"/>
                <w:bottom w:val="single" w:sz="12" w:space="0" w:color="000000"/>
                <w:right w:val="none" w:sz="0" w:space="0" w:color="auto"/>
                <w:insideH w:val="single" w:sz="4" w:space="0" w:color="000000"/>
                <w:insideV w:val="single" w:sz="4" w:space="0" w:color="000000"/>
              </w:tblBorders>
              <w:tblLayout w:type="fixed"/>
              <w:tblCellMar>
                <w:top w:w="0" w:type="dxa"/>
                <w:left w:w="0" w:type="dxa"/>
                <w:bottom w:w="0" w:type="dxa"/>
                <w:right w:w="0" w:type="dxa"/>
              </w:tblCellMar>
              <w:tblLook w:val="0600" w:firstRow="0" w:lastRow="0" w:firstColumn="0" w:lastColumn="0" w:noHBand="1" w:noVBand="1"/>
            </w:tblPr>
            <w:tblGrid>
              <w:gridCol w:w="668"/>
              <w:gridCol w:w="1115"/>
              <w:gridCol w:w="670"/>
              <w:gridCol w:w="1818"/>
              <w:gridCol w:w="946"/>
              <w:gridCol w:w="850"/>
              <w:gridCol w:w="934"/>
              <w:gridCol w:w="1900"/>
            </w:tblGrid>
            <w:tr>
              <w:trPr>
                <w:trHeight w:val="627"/>
              </w:trPr>
              <w:tc>
                <w:tcPr>
                  <w:tcW w:w="375" w:type="pct"/>
                  <w:tcBorders>
                    <w:tl2br w:val="nil"/>
                    <w:tr2bl w:val="nil"/>
                  </w:tcBorders>
                  <w:vAlign w:val="center"/>
                </w:tcPr>
                <w:p>
                  <w:pPr>
                    <w:widowControl/>
                    <w:adjustRightInd w:val="0"/>
                    <w:snapToGrid w:val="0"/>
                    <w:jc w:val="center"/>
                    <w:rPr>
                      <w:rFonts w:ascii="Times New Roman" w:eastAsia="宋体" w:cs="Times New Roman" w:hAnsi="Times New Roman"/>
                      <w:bCs/>
                      <w:color w:val="auto"/>
                      <w:kern w:val="0"/>
                      <w:sz w:val="21"/>
                      <w:szCs w:val="21"/>
                      <w:highlight w:val="none"/>
                    </w:rPr>
                  </w:pPr>
                  <w:r>
                    <w:rPr>
                      <w:rFonts w:ascii="Times New Roman" w:eastAsia="宋体" w:cs="Times New Roman" w:hAnsi="Times New Roman"/>
                      <w:bCs/>
                      <w:color w:val="auto"/>
                      <w:kern w:val="0"/>
                      <w:sz w:val="21"/>
                      <w:szCs w:val="21"/>
                      <w:highlight w:val="none"/>
                    </w:rPr>
                    <w:t>排气</w:t>
                  </w:r>
                </w:p>
                <w:p>
                  <w:pPr>
                    <w:widowControl/>
                    <w:adjustRightInd w:val="0"/>
                    <w:snapToGrid w:val="0"/>
                    <w:jc w:val="center"/>
                    <w:rPr>
                      <w:rFonts w:ascii="Times New Roman" w:eastAsia="宋体" w:cs="Times New Roman" w:hAnsi="Times New Roman"/>
                      <w:bCs/>
                      <w:color w:val="auto"/>
                      <w:kern w:val="0"/>
                      <w:sz w:val="21"/>
                      <w:szCs w:val="21"/>
                      <w:highlight w:val="none"/>
                    </w:rPr>
                  </w:pPr>
                  <w:r>
                    <w:rPr>
                      <w:rFonts w:ascii="Times New Roman" w:eastAsia="宋体" w:cs="Times New Roman" w:hAnsi="Times New Roman"/>
                      <w:bCs/>
                      <w:color w:val="auto"/>
                      <w:kern w:val="0"/>
                      <w:sz w:val="21"/>
                      <w:szCs w:val="21"/>
                      <w:highlight w:val="none"/>
                    </w:rPr>
                    <w:t>筒编号</w:t>
                  </w:r>
                </w:p>
              </w:tc>
              <w:tc>
                <w:tcPr>
                  <w:tcW w:w="626" w:type="pct"/>
                  <w:tcBorders>
                    <w:tl2br w:val="nil"/>
                    <w:tr2bl w:val="nil"/>
                  </w:tcBorders>
                  <w:vAlign w:val="center"/>
                </w:tcPr>
                <w:p>
                  <w:pPr>
                    <w:widowControl/>
                    <w:adjustRightInd w:val="0"/>
                    <w:snapToGrid w:val="0"/>
                    <w:jc w:val="center"/>
                    <w:rPr>
                      <w:rFonts w:ascii="Times New Roman" w:eastAsia="宋体" w:cs="Times New Roman" w:hAnsi="Times New Roman"/>
                      <w:bCs/>
                      <w:color w:val="auto"/>
                      <w:kern w:val="0"/>
                      <w:sz w:val="21"/>
                      <w:szCs w:val="21"/>
                      <w:highlight w:val="none"/>
                    </w:rPr>
                  </w:pPr>
                  <w:r>
                    <w:rPr>
                      <w:rFonts w:ascii="Times New Roman" w:eastAsia="宋体" w:cs="Times New Roman" w:hAnsi="Times New Roman"/>
                      <w:bCs/>
                      <w:color w:val="auto"/>
                      <w:kern w:val="0"/>
                      <w:sz w:val="21"/>
                      <w:szCs w:val="21"/>
                      <w:highlight w:val="none"/>
                    </w:rPr>
                    <w:t>排放</w:t>
                  </w:r>
                </w:p>
                <w:p>
                  <w:pPr>
                    <w:widowControl/>
                    <w:adjustRightInd w:val="0"/>
                    <w:snapToGrid w:val="0"/>
                    <w:jc w:val="center"/>
                    <w:rPr>
                      <w:rFonts w:ascii="Times New Roman" w:eastAsia="宋体" w:cs="Times New Roman" w:hAnsi="Times New Roman"/>
                      <w:bCs/>
                      <w:color w:val="auto"/>
                      <w:kern w:val="0"/>
                      <w:sz w:val="21"/>
                      <w:szCs w:val="21"/>
                      <w:highlight w:val="none"/>
                    </w:rPr>
                  </w:pPr>
                  <w:r>
                    <w:rPr>
                      <w:rFonts w:ascii="Times New Roman" w:eastAsia="宋体" w:cs="Times New Roman" w:hAnsi="Times New Roman"/>
                      <w:bCs/>
                      <w:color w:val="auto"/>
                      <w:kern w:val="0"/>
                      <w:sz w:val="21"/>
                      <w:szCs w:val="21"/>
                      <w:highlight w:val="none"/>
                    </w:rPr>
                    <w:t>口类型</w:t>
                  </w:r>
                </w:p>
              </w:tc>
              <w:tc>
                <w:tcPr>
                  <w:tcW w:w="376" w:type="pct"/>
                  <w:tcBorders>
                    <w:tl2br w:val="nil"/>
                    <w:tr2bl w:val="nil"/>
                  </w:tcBorders>
                  <w:vAlign w:val="center"/>
                </w:tcPr>
                <w:p>
                  <w:pPr>
                    <w:widowControl/>
                    <w:adjustRightInd w:val="0"/>
                    <w:snapToGrid w:val="0"/>
                    <w:jc w:val="center"/>
                    <w:rPr>
                      <w:rFonts w:ascii="Times New Roman" w:eastAsia="宋体" w:cs="Times New Roman" w:hAnsi="Times New Roman"/>
                      <w:bCs/>
                      <w:color w:val="auto"/>
                      <w:kern w:val="0"/>
                      <w:sz w:val="21"/>
                      <w:szCs w:val="21"/>
                      <w:highlight w:val="none"/>
                    </w:rPr>
                  </w:pPr>
                  <w:r>
                    <w:rPr>
                      <w:rFonts w:ascii="Times New Roman" w:eastAsia="宋体" w:cs="Times New Roman" w:hAnsi="Times New Roman"/>
                      <w:bCs/>
                      <w:color w:val="auto"/>
                      <w:kern w:val="0"/>
                      <w:sz w:val="21"/>
                      <w:szCs w:val="21"/>
                      <w:highlight w:val="none"/>
                    </w:rPr>
                    <w:t>污染</w:t>
                  </w:r>
                </w:p>
                <w:p>
                  <w:pPr>
                    <w:widowControl/>
                    <w:adjustRightInd w:val="0"/>
                    <w:snapToGrid w:val="0"/>
                    <w:jc w:val="center"/>
                    <w:rPr>
                      <w:rFonts w:ascii="Times New Roman" w:eastAsia="宋体" w:cs="Times New Roman" w:hAnsi="Times New Roman"/>
                      <w:bCs/>
                      <w:color w:val="auto"/>
                      <w:kern w:val="0"/>
                      <w:sz w:val="21"/>
                      <w:szCs w:val="21"/>
                      <w:highlight w:val="none"/>
                    </w:rPr>
                  </w:pPr>
                  <w:r>
                    <w:rPr>
                      <w:rFonts w:ascii="Times New Roman" w:eastAsia="宋体" w:cs="Times New Roman" w:hAnsi="Times New Roman"/>
                      <w:bCs/>
                      <w:color w:val="auto"/>
                      <w:kern w:val="0"/>
                      <w:sz w:val="21"/>
                      <w:szCs w:val="21"/>
                      <w:highlight w:val="none"/>
                    </w:rPr>
                    <w:t>物名称</w:t>
                  </w:r>
                </w:p>
              </w:tc>
              <w:tc>
                <w:tcPr>
                  <w:tcW w:w="1020" w:type="pct"/>
                  <w:tcBorders>
                    <w:tl2br w:val="nil"/>
                    <w:tr2bl w:val="nil"/>
                  </w:tcBorders>
                  <w:vAlign w:val="center"/>
                </w:tcPr>
                <w:p>
                  <w:pPr>
                    <w:widowControl/>
                    <w:adjustRightInd w:val="0"/>
                    <w:snapToGrid w:val="0"/>
                    <w:jc w:val="center"/>
                    <w:rPr>
                      <w:rFonts w:ascii="Times New Roman" w:eastAsia="宋体" w:cs="Times New Roman" w:hAnsi="Times New Roman"/>
                      <w:bCs/>
                      <w:color w:val="auto"/>
                      <w:kern w:val="0"/>
                      <w:sz w:val="21"/>
                      <w:szCs w:val="21"/>
                      <w:highlight w:val="none"/>
                    </w:rPr>
                  </w:pPr>
                </w:p>
                <w:p>
                  <w:pPr>
                    <w:widowControl/>
                    <w:adjustRightInd w:val="0"/>
                    <w:snapToGrid w:val="0"/>
                    <w:jc w:val="center"/>
                    <w:rPr>
                      <w:rFonts w:ascii="Times New Roman" w:eastAsia="宋体" w:cs="Times New Roman" w:hAnsi="Times New Roman"/>
                      <w:bCs/>
                      <w:color w:val="auto"/>
                      <w:kern w:val="0"/>
                      <w:sz w:val="21"/>
                      <w:szCs w:val="21"/>
                      <w:highlight w:val="none"/>
                    </w:rPr>
                  </w:pPr>
                  <w:r>
                    <w:rPr>
                      <w:rFonts w:ascii="Times New Roman" w:eastAsia="宋体" w:cs="Times New Roman" w:hAnsi="Times New Roman"/>
                      <w:bCs/>
                      <w:color w:val="auto"/>
                      <w:kern w:val="0"/>
                      <w:sz w:val="21"/>
                      <w:szCs w:val="21"/>
                      <w:highlight w:val="none"/>
                    </w:rPr>
                    <w:t>排放口地理坐标</w:t>
                  </w:r>
                </w:p>
              </w:tc>
              <w:tc>
                <w:tcPr>
                  <w:tcW w:w="531" w:type="pct"/>
                  <w:tcBorders>
                    <w:tl2br w:val="nil"/>
                    <w:tr2bl w:val="nil"/>
                  </w:tcBorders>
                  <w:vAlign w:val="center"/>
                </w:tcPr>
                <w:p>
                  <w:pPr>
                    <w:widowControl/>
                    <w:adjustRightInd w:val="0"/>
                    <w:snapToGrid w:val="0"/>
                    <w:jc w:val="center"/>
                    <w:rPr>
                      <w:rFonts w:ascii="Times New Roman" w:eastAsia="宋体" w:cs="Times New Roman" w:hAnsi="Times New Roman"/>
                      <w:bCs/>
                      <w:color w:val="auto"/>
                      <w:kern w:val="0"/>
                      <w:sz w:val="21"/>
                      <w:szCs w:val="21"/>
                      <w:highlight w:val="none"/>
                    </w:rPr>
                  </w:pPr>
                  <w:r>
                    <w:rPr>
                      <w:rFonts w:ascii="Times New Roman" w:eastAsia="宋体" w:cs="Times New Roman" w:hAnsi="Times New Roman"/>
                      <w:bCs/>
                      <w:color w:val="auto"/>
                      <w:kern w:val="0"/>
                      <w:sz w:val="21"/>
                      <w:szCs w:val="21"/>
                      <w:highlight w:val="none"/>
                    </w:rPr>
                    <w:t xml:space="preserve">排气筒高度 </w:t>
                  </w:r>
                  <w:r>
                    <w:rPr>
                      <w:rFonts w:cs="Times New Roman" w:hint="eastAsia"/>
                      <w:bCs/>
                      <w:color w:val="auto"/>
                      <w:kern w:val="0"/>
                      <w:sz w:val="21"/>
                      <w:szCs w:val="21"/>
                      <w:lang w:eastAsia="zh-CN"/>
                      <w:highlight w:val="none"/>
                    </w:rPr>
                    <w:t>（</w:t>
                  </w:r>
                  <w:r>
                    <w:rPr>
                      <w:rFonts w:ascii="Times New Roman" w:eastAsia="宋体" w:cs="Times New Roman" w:hAnsi="Times New Roman"/>
                      <w:bCs/>
                      <w:color w:val="auto"/>
                      <w:kern w:val="0"/>
                      <w:sz w:val="21"/>
                      <w:szCs w:val="21"/>
                      <w:highlight w:val="none"/>
                    </w:rPr>
                    <w:t>m</w:t>
                  </w:r>
                  <w:r>
                    <w:rPr>
                      <w:rFonts w:cs="Times New Roman" w:hint="eastAsia"/>
                      <w:bCs/>
                      <w:color w:val="auto"/>
                      <w:kern w:val="0"/>
                      <w:sz w:val="21"/>
                      <w:szCs w:val="21"/>
                      <w:lang w:eastAsia="zh-CN"/>
                      <w:highlight w:val="none"/>
                    </w:rPr>
                    <w:t>）</w:t>
                  </w:r>
                </w:p>
              </w:tc>
              <w:tc>
                <w:tcPr>
                  <w:tcW w:w="477" w:type="pct"/>
                  <w:tcBorders>
                    <w:tl2br w:val="nil"/>
                    <w:tr2bl w:val="nil"/>
                  </w:tcBorders>
                  <w:vAlign w:val="center"/>
                </w:tcPr>
                <w:p>
                  <w:pPr>
                    <w:widowControl/>
                    <w:adjustRightInd w:val="0"/>
                    <w:snapToGrid w:val="0"/>
                    <w:jc w:val="center"/>
                    <w:rPr>
                      <w:rFonts w:ascii="Times New Roman" w:eastAsia="宋体" w:cs="Times New Roman" w:hAnsi="Times New Roman" w:hint="eastAsia"/>
                      <w:bCs/>
                      <w:color w:val="auto"/>
                      <w:kern w:val="0"/>
                      <w:sz w:val="21"/>
                      <w:szCs w:val="21"/>
                      <w:lang w:eastAsia="zh-CN"/>
                      <w:highlight w:val="none"/>
                    </w:rPr>
                  </w:pPr>
                  <w:r>
                    <w:rPr>
                      <w:rFonts w:ascii="Times New Roman" w:eastAsia="宋体" w:cs="Times New Roman" w:hAnsi="Times New Roman"/>
                      <w:bCs/>
                      <w:color w:val="auto"/>
                      <w:kern w:val="0"/>
                      <w:sz w:val="21"/>
                      <w:szCs w:val="21"/>
                      <w:highlight w:val="none"/>
                    </w:rPr>
                    <w:t>出口内径</w:t>
                  </w:r>
                  <w:r>
                    <w:rPr>
                      <w:rFonts w:cs="Times New Roman" w:hint="eastAsia"/>
                      <w:bCs/>
                      <w:color w:val="auto"/>
                      <w:kern w:val="0"/>
                      <w:sz w:val="21"/>
                      <w:szCs w:val="21"/>
                      <w:lang w:eastAsia="zh-CN"/>
                      <w:highlight w:val="none"/>
                    </w:rPr>
                    <w:t>（</w:t>
                  </w:r>
                  <w:r>
                    <w:rPr>
                      <w:rFonts w:cs="Times New Roman" w:hint="eastAsia"/>
                      <w:bCs/>
                      <w:color w:val="auto"/>
                      <w:kern w:val="0"/>
                      <w:sz w:val="21"/>
                      <w:szCs w:val="21"/>
                      <w:lang w:val="en-US" w:eastAsia="zh-CN"/>
                      <w:highlight w:val="none"/>
                    </w:rPr>
                    <w:t>m</w:t>
                  </w:r>
                  <w:r>
                    <w:rPr>
                      <w:rFonts w:cs="Times New Roman" w:hint="eastAsia"/>
                      <w:bCs/>
                      <w:color w:val="auto"/>
                      <w:kern w:val="0"/>
                      <w:sz w:val="21"/>
                      <w:szCs w:val="21"/>
                      <w:lang w:eastAsia="zh-CN"/>
                      <w:highlight w:val="none"/>
                    </w:rPr>
                    <w:t>）</w:t>
                  </w:r>
                </w:p>
              </w:tc>
              <w:tc>
                <w:tcPr>
                  <w:tcW w:w="524" w:type="pct"/>
                  <w:tcBorders>
                    <w:tl2br w:val="nil"/>
                    <w:tr2bl w:val="nil"/>
                  </w:tcBorders>
                  <w:vAlign w:val="center"/>
                </w:tcPr>
                <w:p>
                  <w:pPr>
                    <w:widowControl/>
                    <w:adjustRightInd w:val="0"/>
                    <w:snapToGrid w:val="0"/>
                    <w:jc w:val="center"/>
                    <w:rPr>
                      <w:rFonts w:ascii="Times New Roman" w:eastAsia="宋体" w:cs="Times New Roman" w:hAnsi="Times New Roman" w:hint="eastAsia"/>
                      <w:bCs/>
                      <w:color w:val="auto"/>
                      <w:kern w:val="0"/>
                      <w:sz w:val="21"/>
                      <w:szCs w:val="21"/>
                      <w:lang w:eastAsia="zh-CN"/>
                      <w:highlight w:val="none"/>
                    </w:rPr>
                  </w:pPr>
                  <w:r>
                    <w:rPr>
                      <w:rFonts w:ascii="Times New Roman" w:eastAsia="宋体" w:cs="Times New Roman" w:hAnsi="Times New Roman"/>
                      <w:bCs/>
                      <w:color w:val="auto"/>
                      <w:kern w:val="0"/>
                      <w:sz w:val="21"/>
                      <w:szCs w:val="21"/>
                      <w:highlight w:val="none"/>
                    </w:rPr>
                    <w:t>烟气温度</w:t>
                  </w:r>
                  <w:r>
                    <w:rPr>
                      <w:rFonts w:cs="Times New Roman" w:hint="eastAsia"/>
                      <w:bCs/>
                      <w:color w:val="auto"/>
                      <w:kern w:val="0"/>
                      <w:sz w:val="21"/>
                      <w:szCs w:val="21"/>
                      <w:lang w:eastAsia="zh-CN"/>
                      <w:highlight w:val="none"/>
                    </w:rPr>
                    <w:t>（℃）</w:t>
                  </w:r>
                </w:p>
              </w:tc>
              <w:tc>
                <w:tcPr>
                  <w:tcW w:w="1066" w:type="pct"/>
                  <w:tcBorders>
                    <w:tl2br w:val="nil"/>
                    <w:tr2bl w:val="nil"/>
                  </w:tcBorders>
                  <w:vAlign w:val="center"/>
                </w:tcPr>
                <w:p>
                  <w:pPr>
                    <w:widowControl/>
                    <w:adjustRightInd w:val="0"/>
                    <w:snapToGrid w:val="0"/>
                    <w:jc w:val="center"/>
                    <w:rPr>
                      <w:rFonts w:ascii="Times New Roman" w:eastAsia="宋体" w:cs="Times New Roman" w:hAnsi="Times New Roman"/>
                      <w:bCs/>
                      <w:color w:val="auto"/>
                      <w:kern w:val="0"/>
                      <w:sz w:val="21"/>
                      <w:szCs w:val="21"/>
                      <w:highlight w:val="none"/>
                    </w:rPr>
                  </w:pPr>
                </w:p>
                <w:p>
                  <w:pPr>
                    <w:widowControl/>
                    <w:adjustRightInd w:val="0"/>
                    <w:snapToGrid w:val="0"/>
                    <w:jc w:val="center"/>
                    <w:rPr>
                      <w:rFonts w:ascii="Times New Roman" w:eastAsia="宋体" w:cs="Times New Roman" w:hAnsi="Times New Roman"/>
                      <w:bCs/>
                      <w:color w:val="auto"/>
                      <w:kern w:val="0"/>
                      <w:sz w:val="21"/>
                      <w:szCs w:val="21"/>
                      <w:highlight w:val="none"/>
                    </w:rPr>
                  </w:pPr>
                  <w:r>
                    <w:rPr>
                      <w:rFonts w:ascii="Times New Roman" w:eastAsia="宋体" w:cs="Times New Roman" w:hAnsi="Times New Roman"/>
                      <w:bCs/>
                      <w:color w:val="auto"/>
                      <w:kern w:val="0"/>
                      <w:sz w:val="21"/>
                      <w:szCs w:val="21"/>
                      <w:highlight w:val="none"/>
                    </w:rPr>
                    <w:t>备注</w:t>
                  </w:r>
                </w:p>
              </w:tc>
            </w:tr>
            <w:tr>
              <w:trPr>
                <w:trHeight w:val="1467"/>
              </w:trPr>
              <w:tc>
                <w:tcPr>
                  <w:tcW w:w="375" w:type="pct"/>
                  <w:tcBorders>
                    <w:tl2br w:val="nil"/>
                    <w:tr2bl w:val="nil"/>
                  </w:tcBorders>
                  <w:vAlign w:val="center"/>
                </w:tcPr>
                <w:p>
                  <w:pPr>
                    <w:widowControl/>
                    <w:adjustRightInd w:val="0"/>
                    <w:snapToGrid w:val="0"/>
                    <w:jc w:val="center"/>
                    <w:rPr>
                      <w:rFonts w:ascii="Times New Roman" w:eastAsia="宋体" w:cs="Times New Roman" w:hAnsi="Times New Roman"/>
                      <w:bCs/>
                      <w:color w:val="auto"/>
                      <w:kern w:val="0"/>
                      <w:sz w:val="21"/>
                      <w:szCs w:val="21"/>
                      <w:lang w:val="en-US" w:eastAsia="zh-CN"/>
                      <w:highlight w:val="none"/>
                    </w:rPr>
                  </w:pPr>
                  <w:r>
                    <w:rPr>
                      <w:rFonts w:cs="Times New Roman" w:hint="eastAsia"/>
                      <w:bCs/>
                      <w:color w:val="auto"/>
                      <w:kern w:val="0"/>
                      <w:sz w:val="21"/>
                      <w:szCs w:val="21"/>
                      <w:lang w:val="en-US" w:eastAsia="zh-CN"/>
                      <w:highlight w:val="none"/>
                    </w:rPr>
                    <w:t>DA001</w:t>
                  </w:r>
                </w:p>
              </w:tc>
              <w:tc>
                <w:tcPr>
                  <w:tcW w:w="626" w:type="pct"/>
                  <w:tcBorders>
                    <w:tl2br w:val="nil"/>
                    <w:tr2bl w:val="nil"/>
                  </w:tcBorders>
                  <w:vAlign w:val="center"/>
                </w:tcPr>
                <w:p>
                  <w:pPr>
                    <w:widowControl/>
                    <w:adjustRightInd w:val="0"/>
                    <w:snapToGrid w:val="0"/>
                    <w:jc w:val="center"/>
                    <w:rPr>
                      <w:rFonts w:ascii="Times New Roman" w:eastAsia="宋体" w:cs="Times New Roman" w:hAnsi="Times New Roman"/>
                      <w:bCs/>
                      <w:color w:val="auto"/>
                      <w:kern w:val="0"/>
                      <w:sz w:val="21"/>
                      <w:szCs w:val="21"/>
                      <w:highlight w:val="none"/>
                    </w:rPr>
                  </w:pPr>
                  <w:r>
                    <w:rPr>
                      <w:rFonts w:ascii="Times New Roman" w:eastAsia="宋体" w:cs="Times New Roman" w:hAnsi="Times New Roman"/>
                      <w:bCs/>
                      <w:color w:val="auto"/>
                      <w:kern w:val="0"/>
                      <w:sz w:val="21"/>
                      <w:szCs w:val="21"/>
                      <w:highlight w:val="none"/>
                    </w:rPr>
                    <w:t>一般排放口</w:t>
                  </w:r>
                </w:p>
              </w:tc>
              <w:tc>
                <w:tcPr>
                  <w:tcW w:w="376" w:type="pct"/>
                  <w:tcBorders>
                    <w:tl2br w:val="nil"/>
                    <w:tr2bl w:val="nil"/>
                  </w:tcBorders>
                  <w:vAlign w:val="center"/>
                </w:tcPr>
                <w:p>
                  <w:pPr>
                    <w:widowControl/>
                    <w:adjustRightInd w:val="0"/>
                    <w:snapToGrid w:val="0"/>
                    <w:jc w:val="center"/>
                    <w:rPr>
                      <w:rFonts w:ascii="Times New Roman" w:eastAsia="宋体" w:cs="Times New Roman" w:hAnsi="Times New Roman"/>
                      <w:bCs/>
                      <w:color w:val="auto"/>
                      <w:kern w:val="0"/>
                      <w:sz w:val="21"/>
                      <w:szCs w:val="21"/>
                      <w:highlight w:val="none"/>
                    </w:rPr>
                  </w:pPr>
                  <w:r>
                    <w:rPr>
                      <w:rFonts w:ascii="Times New Roman" w:eastAsia="宋体" w:cs="Times New Roman" w:hAnsi="Times New Roman"/>
                      <w:bCs/>
                      <w:color w:val="auto"/>
                      <w:kern w:val="0"/>
                      <w:sz w:val="21"/>
                      <w:szCs w:val="21"/>
                      <w:highlight w:val="none"/>
                    </w:rPr>
                    <w:t>硫酸雾</w:t>
                  </w:r>
                </w:p>
              </w:tc>
              <w:tc>
                <w:tcPr>
                  <w:tcW w:w="1020" w:type="pct"/>
                  <w:tcBorders>
                    <w:tl2br w:val="nil"/>
                    <w:tr2bl w:val="nil"/>
                  </w:tcBorders>
                  <w:vAlign w:val="center"/>
                </w:tcPr>
                <w:p>
                  <w:pPr>
                    <w:widowControl/>
                    <w:adjustRightInd w:val="0"/>
                    <w:snapToGrid w:val="0"/>
                    <w:jc w:val="center"/>
                    <w:rPr>
                      <w:rFonts w:ascii="Times New Roman" w:eastAsia="宋体" w:cs="Times New Roman" w:hAnsi="Times New Roman"/>
                      <w:bCs/>
                      <w:color w:val="auto"/>
                      <w:kern w:val="0"/>
                      <w:sz w:val="21"/>
                      <w:szCs w:val="21"/>
                      <w:highlight w:val="none"/>
                    </w:rPr>
                  </w:pPr>
                  <w:r>
                    <w:rPr>
                      <w:rFonts w:ascii="Times New Roman" w:eastAsia="宋体" w:cs="Times New Roman" w:hAnsi="Times New Roman"/>
                      <w:bCs/>
                      <w:color w:val="auto"/>
                      <w:kern w:val="0"/>
                      <w:sz w:val="21"/>
                      <w:szCs w:val="21"/>
                      <w:highlight w:val="none"/>
                    </w:rPr>
                    <w:t>E：</w:t>
                  </w:r>
                  <w:r>
                    <w:rPr>
                      <w:rFonts w:cs="Times New Roman" w:hint="eastAsia"/>
                      <w:bCs/>
                      <w:color w:val="auto"/>
                      <w:kern w:val="0"/>
                      <w:sz w:val="21"/>
                      <w:szCs w:val="21"/>
                      <w:lang w:val="en-US" w:eastAsia="zh-CN"/>
                      <w:highlight w:val="none"/>
                    </w:rPr>
                    <w:t>114</w:t>
                  </w:r>
                  <w:r>
                    <w:rPr>
                      <w:rFonts w:ascii="Times New Roman" w:eastAsia="宋体" w:cs="Times New Roman" w:hAnsi="Times New Roman"/>
                      <w:bCs/>
                      <w:color w:val="auto"/>
                      <w:kern w:val="0"/>
                      <w:sz w:val="21"/>
                      <w:szCs w:val="21"/>
                      <w:highlight w:val="none"/>
                    </w:rPr>
                    <w:t xml:space="preserve"> °</w:t>
                  </w:r>
                  <w:r>
                    <w:rPr>
                      <w:rFonts w:cs="Times New Roman" w:hint="eastAsia"/>
                      <w:bCs/>
                      <w:color w:val="auto"/>
                      <w:kern w:val="0"/>
                      <w:sz w:val="21"/>
                      <w:szCs w:val="21"/>
                      <w:lang w:val="en-US" w:eastAsia="zh-CN"/>
                      <w:highlight w:val="none"/>
                    </w:rPr>
                    <w:t>31</w:t>
                  </w:r>
                  <w:r>
                    <w:rPr>
                      <w:rFonts w:ascii="Times New Roman" w:eastAsia="宋体" w:cs="Times New Roman" w:hAnsi="Times New Roman"/>
                      <w:bCs/>
                      <w:color w:val="auto"/>
                      <w:kern w:val="0"/>
                      <w:sz w:val="21"/>
                      <w:szCs w:val="21"/>
                      <w:highlight w:val="none"/>
                    </w:rPr>
                    <w:t>′</w:t>
                  </w:r>
                  <w:r>
                    <w:rPr>
                      <w:rFonts w:cs="Times New Roman" w:hint="eastAsia"/>
                      <w:bCs/>
                      <w:color w:val="auto"/>
                      <w:kern w:val="0"/>
                      <w:sz w:val="21"/>
                      <w:szCs w:val="21"/>
                      <w:lang w:val="en-US" w:eastAsia="zh-CN"/>
                      <w:highlight w:val="none"/>
                    </w:rPr>
                    <w:t>34.643</w:t>
                  </w:r>
                  <w:r>
                    <w:rPr>
                      <w:rFonts w:ascii="Times New Roman" w:eastAsia="宋体" w:cs="Times New Roman" w:hAnsi="Times New Roman"/>
                      <w:bCs/>
                      <w:color w:val="auto"/>
                      <w:kern w:val="0"/>
                      <w:sz w:val="21"/>
                      <w:szCs w:val="21"/>
                      <w:highlight w:val="none"/>
                    </w:rPr>
                    <w:t>"</w:t>
                  </w:r>
                </w:p>
                <w:p>
                  <w:pPr>
                    <w:widowControl/>
                    <w:adjustRightInd w:val="0"/>
                    <w:snapToGrid w:val="0"/>
                    <w:jc w:val="center"/>
                    <w:rPr>
                      <w:rFonts w:ascii="Times New Roman" w:eastAsia="宋体" w:cs="Times New Roman" w:hAnsi="Times New Roman"/>
                      <w:bCs/>
                      <w:color w:val="auto"/>
                      <w:kern w:val="0"/>
                      <w:sz w:val="21"/>
                      <w:szCs w:val="21"/>
                      <w:highlight w:val="none"/>
                    </w:rPr>
                  </w:pPr>
                  <w:r>
                    <w:rPr>
                      <w:rFonts w:ascii="Times New Roman" w:eastAsia="宋体" w:cs="Times New Roman" w:hAnsi="Times New Roman"/>
                      <w:bCs/>
                      <w:color w:val="auto"/>
                      <w:kern w:val="0"/>
                      <w:sz w:val="21"/>
                      <w:szCs w:val="21"/>
                      <w:highlight w:val="none"/>
                    </w:rPr>
                    <w:t>N：</w:t>
                  </w:r>
                  <w:r>
                    <w:rPr>
                      <w:rFonts w:cs="Times New Roman" w:hint="eastAsia"/>
                      <w:bCs/>
                      <w:color w:val="auto"/>
                      <w:kern w:val="0"/>
                      <w:sz w:val="21"/>
                      <w:szCs w:val="21"/>
                      <w:lang w:val="en-US" w:eastAsia="zh-CN"/>
                      <w:highlight w:val="none"/>
                    </w:rPr>
                    <w:t>37</w:t>
                  </w:r>
                  <w:r>
                    <w:rPr>
                      <w:rFonts w:ascii="Times New Roman" w:eastAsia="宋体" w:cs="Times New Roman" w:hAnsi="Times New Roman"/>
                      <w:bCs/>
                      <w:color w:val="auto"/>
                      <w:kern w:val="0"/>
                      <w:sz w:val="21"/>
                      <w:szCs w:val="21"/>
                      <w:highlight w:val="none"/>
                    </w:rPr>
                    <w:t xml:space="preserve"> °</w:t>
                  </w:r>
                  <w:r>
                    <w:rPr>
                      <w:rFonts w:cs="Times New Roman" w:hint="eastAsia"/>
                      <w:bCs/>
                      <w:color w:val="auto"/>
                      <w:kern w:val="0"/>
                      <w:sz w:val="21"/>
                      <w:szCs w:val="21"/>
                      <w:lang w:val="en-US" w:eastAsia="zh-CN"/>
                      <w:highlight w:val="none"/>
                    </w:rPr>
                    <w:t>54</w:t>
                  </w:r>
                  <w:r>
                    <w:rPr>
                      <w:rFonts w:ascii="Times New Roman" w:eastAsia="宋体" w:cs="Times New Roman" w:hAnsi="Times New Roman"/>
                      <w:bCs/>
                      <w:color w:val="auto"/>
                      <w:kern w:val="0"/>
                      <w:sz w:val="21"/>
                      <w:szCs w:val="21"/>
                      <w:highlight w:val="none"/>
                    </w:rPr>
                    <w:t xml:space="preserve"> ′5</w:t>
                  </w:r>
                  <w:r>
                    <w:rPr>
                      <w:rFonts w:cs="Times New Roman" w:hint="eastAsia"/>
                      <w:bCs/>
                      <w:color w:val="auto"/>
                      <w:kern w:val="0"/>
                      <w:sz w:val="21"/>
                      <w:szCs w:val="21"/>
                      <w:lang w:val="en-US" w:eastAsia="zh-CN"/>
                      <w:highlight w:val="none"/>
                    </w:rPr>
                    <w:t>2.687</w:t>
                  </w:r>
                  <w:r>
                    <w:rPr>
                      <w:rFonts w:ascii="Times New Roman" w:eastAsia="宋体" w:cs="Times New Roman" w:hAnsi="Times New Roman"/>
                      <w:bCs/>
                      <w:color w:val="auto"/>
                      <w:kern w:val="0"/>
                      <w:sz w:val="21"/>
                      <w:szCs w:val="21"/>
                      <w:highlight w:val="none"/>
                    </w:rPr>
                    <w:t>"</w:t>
                  </w:r>
                </w:p>
              </w:tc>
              <w:tc>
                <w:tcPr>
                  <w:tcW w:w="531" w:type="pct"/>
                  <w:tcBorders>
                    <w:tl2br w:val="nil"/>
                    <w:tr2bl w:val="nil"/>
                  </w:tcBorders>
                  <w:vAlign w:val="center"/>
                </w:tcPr>
                <w:p>
                  <w:pPr>
                    <w:widowControl/>
                    <w:adjustRightInd w:val="0"/>
                    <w:snapToGrid w:val="0"/>
                    <w:jc w:val="center"/>
                    <w:rPr>
                      <w:rFonts w:ascii="Times New Roman" w:eastAsia="宋体" w:cs="Times New Roman" w:hAnsi="Times New Roman"/>
                      <w:bCs/>
                      <w:color w:val="auto"/>
                      <w:kern w:val="0"/>
                      <w:sz w:val="21"/>
                      <w:szCs w:val="21"/>
                      <w:lang w:val="en-US" w:eastAsia="zh-CN"/>
                      <w:highlight w:val="none"/>
                    </w:rPr>
                  </w:pPr>
                  <w:r>
                    <w:rPr>
                      <w:rFonts w:cs="Times New Roman" w:hint="eastAsia"/>
                      <w:bCs/>
                      <w:color w:val="auto"/>
                      <w:kern w:val="0"/>
                      <w:sz w:val="21"/>
                      <w:szCs w:val="21"/>
                      <w:lang w:val="en-US" w:eastAsia="zh-CN"/>
                      <w:highlight w:val="none"/>
                    </w:rPr>
                    <w:t>15</w:t>
                  </w:r>
                </w:p>
              </w:tc>
              <w:tc>
                <w:tcPr>
                  <w:tcW w:w="477" w:type="pct"/>
                  <w:tcBorders>
                    <w:tl2br w:val="nil"/>
                    <w:tr2bl w:val="nil"/>
                  </w:tcBorders>
                  <w:vAlign w:val="center"/>
                </w:tcPr>
                <w:p>
                  <w:pPr>
                    <w:widowControl/>
                    <w:adjustRightInd w:val="0"/>
                    <w:snapToGrid w:val="0"/>
                    <w:jc w:val="center"/>
                    <w:rPr>
                      <w:rFonts w:ascii="Times New Roman" w:eastAsia="宋体" w:cs="Times New Roman" w:hAnsi="Times New Roman" w:hint="eastAsia"/>
                      <w:bCs/>
                      <w:color w:val="auto"/>
                      <w:kern w:val="0"/>
                      <w:sz w:val="21"/>
                      <w:szCs w:val="21"/>
                      <w:lang w:val="en-US" w:eastAsia="zh-CN"/>
                      <w:highlight w:val="none"/>
                    </w:rPr>
                  </w:pPr>
                  <w:r>
                    <w:rPr>
                      <w:rFonts w:ascii="Times New Roman" w:eastAsia="宋体" w:cs="Times New Roman" w:hAnsi="Times New Roman"/>
                      <w:bCs/>
                      <w:color w:val="auto"/>
                      <w:kern w:val="0"/>
                      <w:sz w:val="21"/>
                      <w:szCs w:val="21"/>
                      <w:highlight w:val="none"/>
                    </w:rPr>
                    <w:t>0.</w:t>
                  </w:r>
                  <w:r>
                    <w:rPr>
                      <w:rFonts w:cs="Times New Roman" w:hint="eastAsia"/>
                      <w:bCs/>
                      <w:color w:val="auto"/>
                      <w:kern w:val="0"/>
                      <w:sz w:val="21"/>
                      <w:szCs w:val="21"/>
                      <w:lang w:val="en-US" w:eastAsia="zh-CN"/>
                      <w:highlight w:val="none"/>
                    </w:rPr>
                    <w:t>3</w:t>
                  </w:r>
                </w:p>
              </w:tc>
              <w:tc>
                <w:tcPr>
                  <w:tcW w:w="524" w:type="pct"/>
                  <w:tcBorders>
                    <w:tl2br w:val="nil"/>
                    <w:tr2bl w:val="nil"/>
                  </w:tcBorders>
                  <w:vAlign w:val="center"/>
                </w:tcPr>
                <w:p>
                  <w:pPr>
                    <w:widowControl/>
                    <w:adjustRightInd w:val="0"/>
                    <w:snapToGrid w:val="0"/>
                    <w:jc w:val="center"/>
                    <w:rPr>
                      <w:rFonts w:ascii="Times New Roman" w:eastAsia="宋体" w:cs="Times New Roman" w:hAnsi="Times New Roman"/>
                      <w:bCs/>
                      <w:color w:val="auto"/>
                      <w:kern w:val="0"/>
                      <w:sz w:val="21"/>
                      <w:szCs w:val="21"/>
                      <w:highlight w:val="none"/>
                    </w:rPr>
                  </w:pPr>
                  <w:r>
                    <w:rPr>
                      <w:rFonts w:ascii="Times New Roman" w:eastAsia="宋体" w:cs="Times New Roman" w:hAnsi="Times New Roman"/>
                      <w:bCs/>
                      <w:color w:val="auto"/>
                      <w:kern w:val="0"/>
                      <w:sz w:val="21"/>
                      <w:szCs w:val="21"/>
                      <w:highlight w:val="none"/>
                    </w:rPr>
                    <w:t>常温</w:t>
                  </w:r>
                </w:p>
              </w:tc>
              <w:tc>
                <w:tcPr>
                  <w:tcW w:w="1066" w:type="pct"/>
                  <w:tcBorders>
                    <w:tl2br w:val="nil"/>
                    <w:tr2bl w:val="nil"/>
                  </w:tcBorders>
                  <w:vAlign w:val="center"/>
                </w:tcPr>
                <w:p>
                  <w:pPr>
                    <w:widowControl/>
                    <w:adjustRightInd w:val="0"/>
                    <w:snapToGrid w:val="0"/>
                    <w:jc w:val="center"/>
                    <w:rPr>
                      <w:rFonts w:ascii="Times New Roman" w:eastAsia="宋体" w:cs="Times New Roman" w:hAnsi="Times New Roman"/>
                      <w:bCs/>
                      <w:color w:val="auto"/>
                      <w:kern w:val="0"/>
                      <w:sz w:val="21"/>
                      <w:szCs w:val="21"/>
                      <w:highlight w:val="none"/>
                    </w:rPr>
                  </w:pPr>
                  <w:r>
                    <w:rPr>
                      <w:rFonts w:ascii="Times New Roman" w:eastAsia="宋体" w:cs="Times New Roman" w:hAnsi="Times New Roman"/>
                      <w:bCs/>
                      <w:color w:val="auto"/>
                      <w:kern w:val="0"/>
                      <w:sz w:val="21"/>
                      <w:szCs w:val="21"/>
                      <w:highlight w:val="none"/>
                    </w:rPr>
                    <w:t>排气筒高度</w:t>
                  </w:r>
                  <w:r>
                    <w:rPr>
                      <w:rFonts w:cs="Times New Roman" w:hint="eastAsia"/>
                      <w:bCs/>
                      <w:color w:val="auto"/>
                      <w:kern w:val="0"/>
                      <w:sz w:val="21"/>
                      <w:szCs w:val="21"/>
                      <w:lang w:eastAsia="zh-CN"/>
                      <w:highlight w:val="none"/>
                    </w:rPr>
                    <w:t>不</w:t>
                  </w:r>
                  <w:r>
                    <w:rPr>
                      <w:rFonts w:ascii="Times New Roman" w:eastAsia="宋体" w:cs="Times New Roman" w:hAnsi="Times New Roman"/>
                      <w:bCs/>
                      <w:color w:val="auto"/>
                      <w:kern w:val="0"/>
                      <w:sz w:val="21"/>
                      <w:szCs w:val="21"/>
                      <w:highlight w:val="none"/>
                    </w:rPr>
                    <w:t>满足</w:t>
                  </w:r>
                  <w:r>
                    <w:rPr>
                      <w:rFonts w:cs="Times New Roman" w:hint="eastAsia"/>
                      <w:bCs/>
                      <w:color w:val="auto"/>
                      <w:kern w:val="0"/>
                      <w:sz w:val="21"/>
                      <w:szCs w:val="21"/>
                      <w:lang w:eastAsia="zh-CN"/>
                      <w:highlight w:val="none"/>
                    </w:rPr>
                    <w:t>“</w:t>
                  </w:r>
                  <w:r>
                    <w:rPr>
                      <w:rFonts w:ascii="宋体" w:eastAsia="宋体" w:cs="宋体" w:hAnsi="宋体" w:hint="eastAsia"/>
                      <w:color w:val="auto"/>
                      <w:spacing w:val="0"/>
                      <w:position w:val="0"/>
                      <w:sz w:val="19"/>
                      <w:szCs w:val="19"/>
                    </w:rPr>
                    <w:t>高出周围</w:t>
                  </w:r>
                  <w:r>
                    <w:rPr>
                      <w:rFonts w:ascii="Times New Roman" w:cs="Times New Roman" w:hAnsi="Times New Roman"/>
                      <w:color w:val="auto"/>
                      <w:spacing w:val="0"/>
                      <w:position w:val="0"/>
                      <w:sz w:val="19"/>
                      <w:szCs w:val="19"/>
                    </w:rPr>
                    <w:t>200 m</w:t>
                  </w:r>
                  <w:r>
                    <w:rPr>
                      <w:rFonts w:ascii="宋体" w:eastAsia="宋体" w:cs="宋体" w:hAnsi="宋体" w:hint="eastAsia"/>
                      <w:color w:val="auto"/>
                      <w:spacing w:val="0"/>
                      <w:position w:val="0"/>
                      <w:sz w:val="19"/>
                      <w:szCs w:val="19"/>
                    </w:rPr>
                    <w:t>半径范围的建筑</w:t>
                  </w:r>
                  <w:r>
                    <w:rPr>
                      <w:rFonts w:ascii="Times New Roman" w:cs="Times New Roman" w:hAnsi="Times New Roman"/>
                      <w:color w:val="auto"/>
                      <w:spacing w:val="0"/>
                      <w:position w:val="0"/>
                      <w:sz w:val="19"/>
                      <w:szCs w:val="19"/>
                    </w:rPr>
                    <w:t>5 m</w:t>
                  </w:r>
                  <w:r>
                    <w:rPr>
                      <w:rFonts w:ascii="宋体" w:eastAsia="宋体" w:cs="宋体" w:hAnsi="宋体" w:hint="eastAsia"/>
                      <w:color w:val="auto"/>
                      <w:spacing w:val="0"/>
                      <w:position w:val="0"/>
                      <w:sz w:val="19"/>
                      <w:szCs w:val="19"/>
                    </w:rPr>
                    <w:t>以上</w:t>
                  </w:r>
                  <w:r>
                    <w:rPr>
                      <w:rFonts w:cs="Times New Roman" w:hint="eastAsia"/>
                      <w:bCs/>
                      <w:color w:val="auto"/>
                      <w:kern w:val="0"/>
                      <w:sz w:val="21"/>
                      <w:szCs w:val="21"/>
                      <w:lang w:eastAsia="zh-CN"/>
                      <w:highlight w:val="none"/>
                    </w:rPr>
                    <w:t>”，排放速率执行标准需严格</w:t>
                  </w:r>
                  <w:r>
                    <w:rPr>
                      <w:rFonts w:cs="Times New Roman" w:hint="eastAsia"/>
                      <w:bCs/>
                      <w:color w:val="auto"/>
                      <w:kern w:val="0"/>
                      <w:sz w:val="21"/>
                      <w:szCs w:val="21"/>
                      <w:lang w:val="en-US" w:eastAsia="zh-CN"/>
                      <w:highlight w:val="none"/>
                    </w:rPr>
                    <w:t>50%</w:t>
                  </w:r>
                  <w:r>
                    <w:rPr>
                      <w:rFonts w:ascii="Times New Roman" w:eastAsia="宋体" w:cs="Times New Roman" w:hAnsi="Times New Roman"/>
                      <w:bCs/>
                      <w:color w:val="auto"/>
                      <w:kern w:val="0"/>
                      <w:sz w:val="21"/>
                      <w:szCs w:val="21"/>
                      <w:highlight w:val="none"/>
                    </w:rPr>
                    <w:t>。</w:t>
                  </w:r>
                </w:p>
              </w:tc>
            </w:tr>
          </w:tbl>
          <w:p>
            <w:pPr>
              <w:keepNext w:val="0"/>
              <w:keepLines w:val="0"/>
              <w:pageBreakBefore w:val="0"/>
              <w:widowControl/>
              <w:kinsoku/>
              <w:wordWrap/>
              <w:overflowPunct/>
              <w:topLinePunct w:val="0"/>
              <w:autoSpaceDE/>
              <w:autoSpaceDN/>
              <w:bidi w:val="0"/>
              <w:adjustRightInd/>
              <w:snapToGrid/>
              <w:spacing w:line="460" w:lineRule="exact"/>
              <w:ind w:firstLineChars="200" w:firstLine="480"/>
              <w:textAlignment w:val="auto"/>
              <w:rPr>
                <w:rFonts w:hint="eastAsia"/>
                <w:color w:val="auto"/>
                <w:sz w:val="24"/>
                <w:highlight w:val="none"/>
              </w:rPr>
            </w:pPr>
            <w:r>
              <w:rPr>
                <w:rFonts w:hint="eastAsia"/>
                <w:color w:val="auto"/>
                <w:sz w:val="24"/>
                <w:highlight w:val="none"/>
              </w:rPr>
              <w:t>（</w:t>
            </w:r>
            <w:r>
              <w:rPr>
                <w:rFonts w:hint="eastAsia"/>
                <w:color w:val="auto"/>
                <w:sz w:val="24"/>
                <w:lang w:val="en-US" w:eastAsia="zh-CN"/>
                <w:highlight w:val="none"/>
              </w:rPr>
              <w:t>3</w:t>
            </w:r>
            <w:r>
              <w:rPr>
                <w:rFonts w:hint="eastAsia"/>
                <w:color w:val="auto"/>
                <w:sz w:val="24"/>
                <w:highlight w:val="none"/>
              </w:rPr>
              <w:t>）监测要求</w:t>
            </w:r>
          </w:p>
          <w:p>
            <w:pPr>
              <w:keepNext w:val="0"/>
              <w:keepLines w:val="0"/>
              <w:pageBreakBefore w:val="0"/>
              <w:widowControl/>
              <w:kinsoku/>
              <w:wordWrap/>
              <w:overflowPunct/>
              <w:topLinePunct w:val="0"/>
              <w:autoSpaceDE/>
              <w:autoSpaceDN/>
              <w:bidi w:val="0"/>
              <w:adjustRightInd/>
              <w:snapToGrid/>
              <w:spacing w:line="460" w:lineRule="exact"/>
              <w:ind w:firstLineChars="200" w:firstLine="480"/>
              <w:textAlignment w:val="auto"/>
              <w:rPr>
                <w:rFonts w:hint="eastAsia"/>
                <w:color w:val="auto"/>
                <w:sz w:val="24"/>
                <w:highlight w:val="none"/>
              </w:rPr>
            </w:pPr>
            <w:r>
              <w:rPr>
                <w:rFonts w:ascii="Times New Roman" w:eastAsia="宋体" w:cs="Times New Roman" w:hAnsi="Times New Roman" w:hint="eastAsia"/>
                <w:b w:val="0"/>
                <w:bCs/>
                <w:color w:val="auto"/>
                <w:sz w:val="24"/>
                <w:lang w:val="en-US" w:eastAsia="zh-CN"/>
                <w:highlight w:val="none"/>
              </w:rPr>
              <w:t>参照《排污单位自行监测技术指南 总则》（HJ 819-2017）、《排污许可证申请与核发技术规范 总则》（HJ942-2018）、《排污单位自行监测技术指南 工业固体废物和危险废物治理》（HJ1250-2022）要求，</w:t>
            </w:r>
            <w:r>
              <w:rPr>
                <w:rFonts w:hint="eastAsia"/>
                <w:color w:val="auto"/>
                <w:sz w:val="24"/>
                <w:highlight w:val="none"/>
              </w:rPr>
              <w:t>项目废气监测要求见下表。</w:t>
            </w:r>
          </w:p>
          <w:p>
            <w:pPr>
              <w:keepNext w:val="0"/>
              <w:keepLines w:val="0"/>
              <w:pageBreakBefore w:val="0"/>
              <w:widowControl/>
              <w:kinsoku/>
              <w:wordWrap/>
              <w:overflowPunct/>
              <w:topLinePunct w:val="0"/>
              <w:autoSpaceDE/>
              <w:autoSpaceDN/>
              <w:bidi w:val="0"/>
              <w:adjustRightInd w:val="0"/>
              <w:snapToGrid w:val="0"/>
              <w:spacing w:line="460" w:lineRule="exact"/>
              <w:ind w:firstLineChars="200" w:firstLine="480"/>
              <w:jc w:val="center"/>
              <w:textAlignment w:val="auto"/>
              <w:rPr>
                <w:rFonts w:ascii="Times New Roman" w:eastAsia="宋体" w:cs="Times New Roman" w:hAnsi="Times New Roman" w:hint="eastAsia"/>
                <w:b/>
                <w:bCs w:val="0"/>
                <w:color w:val="auto"/>
                <w:kern w:val="0"/>
                <w:sz w:val="24"/>
                <w:szCs w:val="22"/>
                <w:lang w:eastAsia="zh-CN"/>
                <w:highlight w:val="none"/>
              </w:rPr>
            </w:pPr>
            <w:r>
              <w:rPr>
                <w:rFonts w:ascii="Times New Roman" w:eastAsia="宋体" w:cs="Times New Roman" w:hAnsi="Times New Roman" w:hint="eastAsia"/>
                <w:b/>
                <w:bCs w:val="0"/>
                <w:color w:val="auto"/>
                <w:kern w:val="0"/>
                <w:sz w:val="24"/>
                <w:szCs w:val="22"/>
                <w:lang w:eastAsia="zh-CN"/>
                <w:highlight w:val="none"/>
              </w:rPr>
              <w:t>表4-</w:t>
            </w:r>
            <w:r>
              <w:rPr>
                <w:rFonts w:cs="Times New Roman" w:hint="eastAsia"/>
                <w:b/>
                <w:bCs w:val="0"/>
                <w:color w:val="auto"/>
                <w:kern w:val="0"/>
                <w:sz w:val="24"/>
                <w:szCs w:val="22"/>
                <w:lang w:val="en-US" w:eastAsia="zh-CN"/>
                <w:highlight w:val="none"/>
              </w:rPr>
              <w:t>3</w:t>
            </w:r>
            <w:r>
              <w:rPr>
                <w:rFonts w:ascii="Times New Roman" w:eastAsia="宋体" w:cs="Times New Roman" w:hAnsi="Times New Roman" w:hint="eastAsia"/>
                <w:b/>
                <w:bCs w:val="0"/>
                <w:color w:val="auto"/>
                <w:kern w:val="0"/>
                <w:sz w:val="24"/>
                <w:szCs w:val="22"/>
                <w:lang w:eastAsia="zh-CN"/>
                <w:highlight w:val="none"/>
              </w:rPr>
              <w:t xml:space="preserve">   废气监测要求一览表</w:t>
            </w:r>
          </w:p>
          <w:tbl>
            <w:tblPr>
              <w:jc w:val="center"/>
              <w:tblW w:w="4996" w:type="pct"/>
              <w:tblBorders>
                <w:top w:val="single" w:sz="12" w:space="0" w:color="auto"/>
                <w:left w:val="none" w:sz="0" w:space="0" w:color="auto"/>
                <w:bottom w:val="single" w:sz="12" w:space="0" w:color="auto"/>
                <w:right w:val="none" w:sz="0" w:space="0" w:color="auto"/>
                <w:insideH w:val="single" w:sz="4" w:space="0" w:color="auto"/>
                <w:insideV w:val="single" w:sz="4" w:space="0" w:color="auto"/>
              </w:tblBorders>
              <w:tblLayout w:type="fixed"/>
              <w:tblCellMar>
                <w:top w:w="0" w:type="dxa"/>
                <w:left w:w="28" w:type="dxa"/>
                <w:bottom w:w="0" w:type="dxa"/>
                <w:right w:w="28" w:type="dxa"/>
              </w:tblCellMar>
              <w:tblLook w:val="0600" w:firstRow="0" w:lastRow="0" w:firstColumn="0" w:lastColumn="0" w:noHBand="1" w:noVBand="1"/>
            </w:tblPr>
            <w:tblGrid>
              <w:gridCol w:w="1114"/>
              <w:gridCol w:w="1701"/>
              <w:gridCol w:w="1485"/>
              <w:gridCol w:w="4621"/>
            </w:tblGrid>
            <w:tr>
              <w:trPr>
                <w:trHeight w:val="397"/>
              </w:trPr>
              <w:tc>
                <w:tcPr>
                  <w:tcW w:w="624" w:type="pct"/>
                  <w:tcBorders>
                    <w:tl2br w:val="nil"/>
                    <w:tr2bl w:val="nil"/>
                  </w:tcBorders>
                  <w:vAlign w:val="center"/>
                </w:tcPr>
                <w:p>
                  <w:pPr>
                    <w:pStyle w:val="62"/>
                    <w:keepNext w:val="0"/>
                    <w:keepLines w:val="0"/>
                    <w:pageBreakBefore w:val="0"/>
                    <w:widowControl w:val="0"/>
                    <w:kinsoku/>
                    <w:wordWrap/>
                    <w:overflowPunct/>
                    <w:topLinePunct w:val="0"/>
                    <w:autoSpaceDE/>
                    <w:autoSpaceDN/>
                    <w:bidi w:val="0"/>
                    <w:adjustRightInd w:val="0"/>
                    <w:snapToGrid w:val="0"/>
                    <w:spacing w:after="0" w:line="240" w:lineRule="auto"/>
                    <w:ind w:leftChars="0" w:left="0" w:firstLineChars="0" w:firstLine="0"/>
                    <w:textAlignment w:val="auto"/>
                    <w:rPr>
                      <w:rFonts w:ascii="Times New Roman" w:eastAsia="宋体" w:cs="Times New Roman" w:hAnsi="Times New Roman"/>
                      <w:bCs/>
                      <w:color w:val="auto"/>
                      <w:kern w:val="0"/>
                      <w:sz w:val="21"/>
                      <w:szCs w:val="21"/>
                      <w:lang w:val="en-US" w:eastAsia="zh-CN" w:bidi="ar-SA"/>
                      <w:highlight w:val="none"/>
                    </w:rPr>
                  </w:pPr>
                  <w:r>
                    <w:rPr>
                      <w:rFonts w:ascii="Times New Roman" w:eastAsia="宋体" w:cs="Times New Roman" w:hAnsi="Times New Roman"/>
                      <w:bCs/>
                      <w:color w:val="auto"/>
                      <w:kern w:val="0"/>
                      <w:sz w:val="21"/>
                      <w:szCs w:val="21"/>
                      <w:lang w:val="en-US" w:eastAsia="zh-CN" w:bidi="ar-SA"/>
                      <w:highlight w:val="none"/>
                    </w:rPr>
                    <w:t>监测点位</w:t>
                  </w:r>
                </w:p>
              </w:tc>
              <w:tc>
                <w:tcPr>
                  <w:tcW w:w="953" w:type="pct"/>
                  <w:tcBorders>
                    <w:tl2br w:val="nil"/>
                    <w:tr2bl w:val="nil"/>
                  </w:tcBorders>
                  <w:vAlign w:val="center"/>
                </w:tcPr>
                <w:p>
                  <w:pPr>
                    <w:pStyle w:val="62"/>
                    <w:keepNext w:val="0"/>
                    <w:keepLines w:val="0"/>
                    <w:pageBreakBefore w:val="0"/>
                    <w:widowControl w:val="0"/>
                    <w:kinsoku/>
                    <w:wordWrap/>
                    <w:overflowPunct/>
                    <w:topLinePunct w:val="0"/>
                    <w:autoSpaceDE/>
                    <w:autoSpaceDN/>
                    <w:bidi w:val="0"/>
                    <w:adjustRightInd w:val="0"/>
                    <w:snapToGrid w:val="0"/>
                    <w:spacing w:after="0" w:line="240" w:lineRule="auto"/>
                    <w:ind w:leftChars="0" w:left="0" w:firstLineChars="0" w:firstLine="0"/>
                    <w:textAlignment w:val="auto"/>
                    <w:rPr>
                      <w:rFonts w:ascii="Times New Roman" w:eastAsia="宋体" w:cs="Times New Roman" w:hAnsi="Times New Roman"/>
                      <w:bCs/>
                      <w:color w:val="auto"/>
                      <w:kern w:val="0"/>
                      <w:sz w:val="21"/>
                      <w:szCs w:val="21"/>
                      <w:lang w:val="en-US" w:eastAsia="zh-CN" w:bidi="ar-SA"/>
                      <w:highlight w:val="none"/>
                    </w:rPr>
                  </w:pPr>
                  <w:r>
                    <w:rPr>
                      <w:rFonts w:ascii="Times New Roman" w:eastAsia="宋体" w:cs="Times New Roman" w:hAnsi="Times New Roman"/>
                      <w:bCs/>
                      <w:color w:val="auto"/>
                      <w:kern w:val="0"/>
                      <w:sz w:val="21"/>
                      <w:szCs w:val="21"/>
                      <w:lang w:val="en-US" w:eastAsia="zh-CN" w:bidi="ar-SA"/>
                      <w:highlight w:val="none"/>
                    </w:rPr>
                    <w:t>监测指标</w:t>
                  </w:r>
                </w:p>
              </w:tc>
              <w:tc>
                <w:tcPr>
                  <w:tcW w:w="832" w:type="pct"/>
                  <w:tcBorders>
                    <w:tl2br w:val="nil"/>
                    <w:tr2bl w:val="nil"/>
                  </w:tcBorders>
                  <w:vAlign w:val="center"/>
                </w:tcPr>
                <w:p>
                  <w:pPr>
                    <w:pStyle w:val="62"/>
                    <w:keepNext w:val="0"/>
                    <w:keepLines w:val="0"/>
                    <w:pageBreakBefore w:val="0"/>
                    <w:widowControl w:val="0"/>
                    <w:kinsoku/>
                    <w:wordWrap/>
                    <w:overflowPunct/>
                    <w:topLinePunct w:val="0"/>
                    <w:autoSpaceDE/>
                    <w:autoSpaceDN/>
                    <w:bidi w:val="0"/>
                    <w:adjustRightInd w:val="0"/>
                    <w:snapToGrid w:val="0"/>
                    <w:spacing w:after="0" w:line="240" w:lineRule="auto"/>
                    <w:ind w:leftChars="0" w:left="0" w:firstLineChars="0" w:firstLine="0"/>
                    <w:textAlignment w:val="auto"/>
                    <w:rPr>
                      <w:rFonts w:ascii="Times New Roman" w:eastAsia="宋体" w:cs="Times New Roman" w:hAnsi="Times New Roman"/>
                      <w:bCs/>
                      <w:color w:val="auto"/>
                      <w:kern w:val="0"/>
                      <w:sz w:val="21"/>
                      <w:szCs w:val="21"/>
                      <w:lang w:val="en-US" w:eastAsia="zh-CN" w:bidi="ar-SA"/>
                      <w:highlight w:val="none"/>
                    </w:rPr>
                  </w:pPr>
                  <w:r>
                    <w:rPr>
                      <w:rFonts w:ascii="Times New Roman" w:eastAsia="宋体" w:cs="Times New Roman" w:hAnsi="Times New Roman"/>
                      <w:bCs/>
                      <w:color w:val="auto"/>
                      <w:kern w:val="0"/>
                      <w:sz w:val="21"/>
                      <w:szCs w:val="21"/>
                      <w:lang w:val="en-US" w:eastAsia="zh-CN" w:bidi="ar-SA"/>
                      <w:highlight w:val="none"/>
                    </w:rPr>
                    <w:t>监测频次</w:t>
                  </w:r>
                </w:p>
              </w:tc>
              <w:tc>
                <w:tcPr>
                  <w:tcW w:w="2589" w:type="pct"/>
                  <w:tcBorders>
                    <w:tl2br w:val="nil"/>
                    <w:tr2bl w:val="nil"/>
                  </w:tcBorders>
                  <w:vAlign w:val="center"/>
                </w:tcPr>
                <w:p>
                  <w:pPr>
                    <w:pStyle w:val="62"/>
                    <w:keepNext w:val="0"/>
                    <w:keepLines w:val="0"/>
                    <w:pageBreakBefore w:val="0"/>
                    <w:widowControl w:val="0"/>
                    <w:kinsoku/>
                    <w:wordWrap/>
                    <w:overflowPunct/>
                    <w:topLinePunct w:val="0"/>
                    <w:autoSpaceDE/>
                    <w:autoSpaceDN/>
                    <w:bidi w:val="0"/>
                    <w:adjustRightInd w:val="0"/>
                    <w:snapToGrid w:val="0"/>
                    <w:spacing w:after="0" w:line="240" w:lineRule="auto"/>
                    <w:ind w:leftChars="0" w:left="0" w:firstLineChars="0" w:firstLine="0"/>
                    <w:textAlignment w:val="auto"/>
                    <w:rPr>
                      <w:rFonts w:ascii="Times New Roman" w:eastAsia="宋体" w:cs="Times New Roman" w:hAnsi="Times New Roman"/>
                      <w:bCs/>
                      <w:color w:val="auto"/>
                      <w:kern w:val="0"/>
                      <w:sz w:val="21"/>
                      <w:szCs w:val="21"/>
                      <w:lang w:val="zh-CN" w:eastAsia="zh-CN" w:bidi="ar-SA"/>
                      <w:highlight w:val="none"/>
                    </w:rPr>
                  </w:pPr>
                  <w:r>
                    <w:rPr>
                      <w:rFonts w:ascii="Times New Roman" w:eastAsia="宋体" w:cs="Times New Roman" w:hAnsi="Times New Roman"/>
                      <w:bCs/>
                      <w:color w:val="auto"/>
                      <w:kern w:val="0"/>
                      <w:sz w:val="21"/>
                      <w:szCs w:val="21"/>
                      <w:lang w:val="zh-CN" w:eastAsia="zh-CN" w:bidi="ar-SA"/>
                      <w:highlight w:val="none"/>
                    </w:rPr>
                    <w:t>执行排放标准</w:t>
                  </w:r>
                </w:p>
              </w:tc>
            </w:tr>
            <w:tr>
              <w:trPr>
                <w:trHeight w:val="244"/>
              </w:trPr>
              <w:tc>
                <w:tcPr>
                  <w:tcW w:w="624" w:type="pct"/>
                  <w:tcBorders>
                    <w:tl2br w:val="nil"/>
                    <w:tr2bl w:val="nil"/>
                  </w:tcBorders>
                  <w:vAlign w:val="center"/>
                </w:tcPr>
                <w:p>
                  <w:pPr>
                    <w:pStyle w:val="62"/>
                    <w:keepNext w:val="0"/>
                    <w:keepLines w:val="0"/>
                    <w:pageBreakBefore w:val="0"/>
                    <w:widowControl w:val="0"/>
                    <w:kinsoku/>
                    <w:wordWrap/>
                    <w:overflowPunct/>
                    <w:topLinePunct w:val="0"/>
                    <w:autoSpaceDE/>
                    <w:autoSpaceDN/>
                    <w:bidi w:val="0"/>
                    <w:adjustRightInd w:val="0"/>
                    <w:snapToGrid w:val="0"/>
                    <w:spacing w:after="0" w:line="240" w:lineRule="auto"/>
                    <w:ind w:leftChars="0" w:left="0" w:firstLineChars="0" w:firstLine="0"/>
                    <w:textAlignment w:val="auto"/>
                    <w:rPr>
                      <w:rFonts w:ascii="Times New Roman" w:eastAsia="宋体" w:cs="Times New Roman" w:hAnsi="Times New Roman"/>
                      <w:bCs/>
                      <w:color w:val="auto"/>
                      <w:kern w:val="0"/>
                      <w:sz w:val="21"/>
                      <w:szCs w:val="21"/>
                      <w:lang w:val="en-US" w:eastAsia="zh-CN" w:bidi="ar-SA"/>
                      <w:highlight w:val="none"/>
                    </w:rPr>
                  </w:pPr>
                  <w:r>
                    <w:rPr>
                      <w:rFonts w:ascii="Times New Roman" w:eastAsia="宋体" w:cs="Times New Roman" w:hAnsi="Times New Roman"/>
                      <w:bCs/>
                      <w:color w:val="auto"/>
                      <w:kern w:val="0"/>
                      <w:sz w:val="21"/>
                      <w:szCs w:val="21"/>
                      <w:lang w:val="en-US" w:eastAsia="zh-CN" w:bidi="ar-SA"/>
                      <w:highlight w:val="none"/>
                    </w:rPr>
                    <w:t>DA001 排气筒</w:t>
                  </w:r>
                </w:p>
              </w:tc>
              <w:tc>
                <w:tcPr>
                  <w:tcW w:w="953" w:type="pct"/>
                  <w:tcBorders>
                    <w:tl2br w:val="nil"/>
                    <w:tr2bl w:val="nil"/>
                  </w:tcBorders>
                  <w:vAlign w:val="center"/>
                </w:tcPr>
                <w:p>
                  <w:pPr>
                    <w:pStyle w:val="62"/>
                    <w:keepNext w:val="0"/>
                    <w:keepLines w:val="0"/>
                    <w:pageBreakBefore w:val="0"/>
                    <w:widowControl w:val="0"/>
                    <w:kinsoku/>
                    <w:wordWrap/>
                    <w:overflowPunct/>
                    <w:topLinePunct w:val="0"/>
                    <w:autoSpaceDE/>
                    <w:autoSpaceDN/>
                    <w:bidi w:val="0"/>
                    <w:adjustRightInd w:val="0"/>
                    <w:snapToGrid w:val="0"/>
                    <w:spacing w:after="0" w:line="240" w:lineRule="auto"/>
                    <w:ind w:leftChars="0" w:left="0" w:firstLineChars="0" w:firstLine="0"/>
                    <w:textAlignment w:val="auto"/>
                    <w:rPr>
                      <w:rFonts w:ascii="Times New Roman" w:eastAsia="宋体" w:cs="Times New Roman" w:hAnsi="Times New Roman"/>
                      <w:bCs/>
                      <w:color w:val="auto"/>
                      <w:kern w:val="0"/>
                      <w:sz w:val="21"/>
                      <w:szCs w:val="21"/>
                      <w:lang w:val="en-US" w:eastAsia="zh-CN" w:bidi="ar-SA"/>
                      <w:highlight w:val="none"/>
                    </w:rPr>
                  </w:pPr>
                  <w:r>
                    <w:rPr>
                      <w:rFonts w:cs="Times New Roman" w:hint="eastAsia"/>
                      <w:bCs/>
                      <w:color w:val="auto"/>
                      <w:kern w:val="0"/>
                      <w:sz w:val="21"/>
                      <w:szCs w:val="21"/>
                      <w:lang w:val="en-US" w:eastAsia="zh-CN" w:bidi="ar-SA"/>
                      <w:highlight w:val="none"/>
                    </w:rPr>
                    <w:t>硫酸雾</w:t>
                  </w:r>
                </w:p>
              </w:tc>
              <w:tc>
                <w:tcPr>
                  <w:tcW w:w="832" w:type="pct"/>
                  <w:tcBorders>
                    <w:tl2br w:val="nil"/>
                    <w:tr2bl w:val="nil"/>
                  </w:tcBorders>
                  <w:vAlign w:val="center"/>
                </w:tcPr>
                <w:p>
                  <w:pPr>
                    <w:pStyle w:val="62"/>
                    <w:keepNext w:val="0"/>
                    <w:keepLines w:val="0"/>
                    <w:pageBreakBefore w:val="0"/>
                    <w:widowControl w:val="0"/>
                    <w:kinsoku/>
                    <w:wordWrap/>
                    <w:overflowPunct/>
                    <w:topLinePunct w:val="0"/>
                    <w:autoSpaceDE/>
                    <w:autoSpaceDN/>
                    <w:bidi w:val="0"/>
                    <w:adjustRightInd w:val="0"/>
                    <w:snapToGrid w:val="0"/>
                    <w:spacing w:after="0" w:line="240" w:lineRule="auto"/>
                    <w:ind w:leftChars="0" w:left="0" w:firstLineChars="0" w:firstLine="0"/>
                    <w:textAlignment w:val="auto"/>
                    <w:rPr>
                      <w:rFonts w:ascii="Times New Roman" w:eastAsia="宋体" w:cs="Times New Roman" w:hAnsi="Times New Roman" w:hint="eastAsia"/>
                      <w:bCs/>
                      <w:color w:val="auto"/>
                      <w:kern w:val="0"/>
                      <w:sz w:val="21"/>
                      <w:szCs w:val="21"/>
                      <w:lang w:val="en-US" w:eastAsia="zh-CN" w:bidi="ar-SA"/>
                      <w:highlight w:val="none"/>
                    </w:rPr>
                  </w:pPr>
                  <w:r>
                    <w:rPr>
                      <w:rFonts w:ascii="Times New Roman" w:eastAsia="宋体" w:cs="Times New Roman" w:hAnsi="Times New Roman"/>
                      <w:bCs/>
                      <w:color w:val="auto"/>
                      <w:kern w:val="0"/>
                      <w:sz w:val="21"/>
                      <w:szCs w:val="21"/>
                      <w:lang w:val="en-US" w:eastAsia="zh-CN" w:bidi="ar-SA"/>
                      <w:highlight w:val="none"/>
                    </w:rPr>
                    <w:t>1次/</w:t>
                  </w:r>
                  <w:r>
                    <w:rPr>
                      <w:rFonts w:cs="Times New Roman" w:hint="eastAsia"/>
                      <w:bCs/>
                      <w:color w:val="auto"/>
                      <w:kern w:val="0"/>
                      <w:sz w:val="21"/>
                      <w:szCs w:val="21"/>
                      <w:lang w:val="en-US" w:eastAsia="zh-CN" w:bidi="ar-SA"/>
                      <w:highlight w:val="none"/>
                    </w:rPr>
                    <w:t>半</w:t>
                  </w:r>
                  <w:r>
                    <w:rPr>
                      <w:rFonts w:ascii="Times New Roman" w:eastAsia="宋体" w:cs="Times New Roman" w:hAnsi="Times New Roman" w:hint="eastAsia"/>
                      <w:bCs/>
                      <w:color w:val="auto"/>
                      <w:kern w:val="0"/>
                      <w:sz w:val="21"/>
                      <w:szCs w:val="21"/>
                      <w:lang w:val="en-US" w:eastAsia="zh-CN" w:bidi="ar-SA"/>
                      <w:highlight w:val="none"/>
                    </w:rPr>
                    <w:t>年</w:t>
                  </w:r>
                </w:p>
              </w:tc>
              <w:tc>
                <w:tcPr>
                  <w:tcW w:w="2589" w:type="pct"/>
                  <w:tcBorders>
                    <w:tl2br w:val="nil"/>
                    <w:tr2bl w:val="nil"/>
                  </w:tcBorders>
                  <w:vAlign w:val="center"/>
                </w:tcPr>
                <w:p>
                  <w:pPr>
                    <w:pStyle w:val="62"/>
                    <w:keepNext w:val="0"/>
                    <w:keepLines w:val="0"/>
                    <w:pageBreakBefore w:val="0"/>
                    <w:widowControl w:val="0"/>
                    <w:kinsoku/>
                    <w:wordWrap/>
                    <w:overflowPunct/>
                    <w:topLinePunct w:val="0"/>
                    <w:autoSpaceDE/>
                    <w:autoSpaceDN/>
                    <w:bidi w:val="0"/>
                    <w:adjustRightInd w:val="0"/>
                    <w:snapToGrid w:val="0"/>
                    <w:spacing w:after="0" w:line="240" w:lineRule="auto"/>
                    <w:ind w:leftChars="0" w:left="0" w:firstLineChars="0" w:firstLine="0"/>
                    <w:textAlignment w:val="auto"/>
                    <w:rPr>
                      <w:rFonts w:ascii="Times New Roman" w:eastAsia="宋体" w:cs="Times New Roman" w:hAnsi="Times New Roman"/>
                      <w:bCs/>
                      <w:color w:val="auto"/>
                      <w:kern w:val="0"/>
                      <w:sz w:val="21"/>
                      <w:szCs w:val="21"/>
                      <w:lang w:val="zh-CN" w:eastAsia="zh-CN" w:bidi="ar-SA"/>
                      <w:highlight w:val="none"/>
                    </w:rPr>
                  </w:pPr>
                  <w:r>
                    <w:rPr>
                      <w:rFonts w:ascii="Times New Roman" w:eastAsia="宋体" w:cs="Times New Roman" w:hAnsi="Times New Roman"/>
                      <w:bCs/>
                      <w:color w:val="auto"/>
                      <w:kern w:val="0"/>
                      <w:sz w:val="21"/>
                      <w:szCs w:val="21"/>
                      <w:lang w:val="zh-CN" w:eastAsia="zh-CN" w:bidi="ar-SA"/>
                      <w:highlight w:val="none"/>
                    </w:rPr>
                    <w:t>《大气污染物综合排放标准》</w:t>
                  </w:r>
                </w:p>
                <w:p>
                  <w:pPr>
                    <w:pStyle w:val="62"/>
                    <w:keepNext w:val="0"/>
                    <w:keepLines w:val="0"/>
                    <w:pageBreakBefore w:val="0"/>
                    <w:widowControl w:val="0"/>
                    <w:kinsoku/>
                    <w:wordWrap/>
                    <w:overflowPunct/>
                    <w:topLinePunct w:val="0"/>
                    <w:autoSpaceDE/>
                    <w:autoSpaceDN/>
                    <w:bidi w:val="0"/>
                    <w:adjustRightInd w:val="0"/>
                    <w:snapToGrid w:val="0"/>
                    <w:spacing w:after="0" w:line="240" w:lineRule="auto"/>
                    <w:ind w:leftChars="0" w:left="0" w:firstLineChars="0" w:firstLine="0"/>
                    <w:textAlignment w:val="auto"/>
                    <w:rPr>
                      <w:rFonts w:ascii="Times New Roman" w:eastAsia="宋体" w:cs="Times New Roman" w:hAnsi="Times New Roman" w:hint="eastAsia"/>
                      <w:bCs/>
                      <w:color w:val="auto"/>
                      <w:kern w:val="0"/>
                      <w:sz w:val="21"/>
                      <w:szCs w:val="21"/>
                      <w:lang w:val="zh-CN" w:eastAsia="zh-CN" w:bidi="ar-SA"/>
                      <w:highlight w:val="none"/>
                    </w:rPr>
                  </w:pPr>
                  <w:r>
                    <w:rPr>
                      <w:rFonts w:ascii="Times New Roman" w:eastAsia="宋体" w:cs="Times New Roman" w:hAnsi="Times New Roman"/>
                      <w:bCs/>
                      <w:color w:val="auto"/>
                      <w:kern w:val="0"/>
                      <w:sz w:val="21"/>
                      <w:szCs w:val="21"/>
                      <w:lang w:val="zh-CN" w:eastAsia="zh-CN" w:bidi="ar-SA"/>
                      <w:highlight w:val="none"/>
                    </w:rPr>
                    <w:t>（GB16297- 1996）表2新</w:t>
                  </w:r>
                  <w:r>
                    <w:rPr>
                      <w:rFonts w:cs="Times New Roman" w:hint="eastAsia"/>
                      <w:bCs/>
                      <w:color w:val="auto"/>
                      <w:kern w:val="0"/>
                      <w:sz w:val="21"/>
                      <w:szCs w:val="21"/>
                      <w:lang w:val="zh-CN" w:eastAsia="zh-CN" w:bidi="ar-SA"/>
                      <w:highlight w:val="none"/>
                    </w:rPr>
                    <w:t>污染源</w:t>
                  </w:r>
                  <w:r>
                    <w:rPr>
                      <w:rFonts w:ascii="Times New Roman" w:eastAsia="宋体" w:cs="Times New Roman" w:hAnsi="Times New Roman"/>
                      <w:bCs/>
                      <w:color w:val="auto"/>
                      <w:kern w:val="0"/>
                      <w:sz w:val="21"/>
                      <w:szCs w:val="21"/>
                      <w:lang w:val="zh-CN" w:eastAsia="zh-CN" w:bidi="ar-SA"/>
                      <w:highlight w:val="none"/>
                    </w:rPr>
                    <w:t>大气污染物排放限值（45mg/m</w:t>
                  </w:r>
                  <w:r>
                    <w:rPr>
                      <w:rFonts w:ascii="Times New Roman" w:eastAsia="宋体" w:cs="Times New Roman" w:hAnsi="Times New Roman"/>
                      <w:bCs/>
                      <w:color w:val="auto"/>
                      <w:kern w:val="0"/>
                      <w:sz w:val="21"/>
                      <w:szCs w:val="21"/>
                      <w:vertAlign w:val="superscript"/>
                      <w:lang w:val="zh-CN" w:eastAsia="zh-CN" w:bidi="ar-SA"/>
                      <w:highlight w:val="none"/>
                    </w:rPr>
                    <w:t>3</w:t>
                  </w:r>
                  <w:r>
                    <w:rPr>
                      <w:rFonts w:ascii="Times New Roman" w:eastAsia="宋体" w:cs="Times New Roman" w:hAnsi="Times New Roman"/>
                      <w:bCs/>
                      <w:color w:val="auto"/>
                      <w:kern w:val="0"/>
                      <w:sz w:val="21"/>
                      <w:szCs w:val="21"/>
                      <w:lang w:val="zh-CN" w:eastAsia="zh-CN" w:bidi="ar-SA"/>
                      <w:highlight w:val="none"/>
                    </w:rPr>
                    <w:t>、0.75kg/h）</w:t>
                  </w:r>
                  <w:r>
                    <w:rPr>
                      <w:rFonts w:cs="Times New Roman" w:hint="eastAsia"/>
                      <w:bCs/>
                      <w:color w:val="auto"/>
                      <w:kern w:val="0"/>
                      <w:sz w:val="21"/>
                      <w:szCs w:val="21"/>
                      <w:lang w:val="zh-CN" w:eastAsia="zh-CN" w:bidi="ar-SA"/>
                      <w:highlight w:val="none"/>
                    </w:rPr>
                    <w:t>；浓度同时参考</w:t>
                  </w:r>
                  <w:r>
                    <w:rPr>
                      <w:rFonts w:hint="eastAsia"/>
                      <w:color w:val="auto"/>
                    </w:rPr>
                    <w:t>《电池工业污染物排放标准》（GB 30484-2013）</w:t>
                  </w:r>
                  <w:r>
                    <w:rPr>
                      <w:rFonts w:hint="eastAsia"/>
                      <w:color w:val="auto"/>
                      <w:lang w:eastAsia="zh-CN"/>
                    </w:rPr>
                    <w:t>（</w:t>
                  </w:r>
                  <w:r>
                    <w:rPr>
                      <w:rFonts w:ascii="Times New Roman" w:eastAsia="宋体" w:cs="Times New Roman" w:hAnsi="Times New Roman"/>
                      <w:bCs/>
                      <w:color w:val="auto"/>
                      <w:kern w:val="0"/>
                      <w:sz w:val="21"/>
                      <w:szCs w:val="21"/>
                      <w:lang w:val="zh-CN" w:eastAsia="zh-CN" w:bidi="ar-SA"/>
                      <w:highlight w:val="none"/>
                    </w:rPr>
                    <w:t>5mg/m</w:t>
                  </w:r>
                  <w:r>
                    <w:rPr>
                      <w:rFonts w:ascii="Times New Roman" w:eastAsia="宋体" w:cs="Times New Roman" w:hAnsi="Times New Roman"/>
                      <w:bCs/>
                      <w:color w:val="auto"/>
                      <w:kern w:val="0"/>
                      <w:sz w:val="21"/>
                      <w:szCs w:val="21"/>
                      <w:vertAlign w:val="superscript"/>
                      <w:lang w:val="zh-CN" w:eastAsia="zh-CN" w:bidi="ar-SA"/>
                      <w:highlight w:val="none"/>
                    </w:rPr>
                    <w:t>3</w:t>
                  </w:r>
                  <w:r>
                    <w:rPr>
                      <w:rFonts w:hint="eastAsia"/>
                      <w:color w:val="auto"/>
                      <w:lang w:eastAsia="zh-CN"/>
                    </w:rPr>
                    <w:t>）</w:t>
                  </w:r>
                </w:p>
              </w:tc>
            </w:tr>
            <w:tr>
              <w:trPr>
                <w:trHeight w:val="552"/>
              </w:trPr>
              <w:tc>
                <w:tcPr>
                  <w:tcW w:w="624" w:type="pct"/>
                  <w:tcBorders>
                    <w:tl2br w:val="nil"/>
                    <w:tr2bl w:val="nil"/>
                  </w:tcBorders>
                  <w:vAlign w:val="center"/>
                </w:tcPr>
                <w:p>
                  <w:pPr>
                    <w:pStyle w:val="62"/>
                    <w:keepNext w:val="0"/>
                    <w:keepLines w:val="0"/>
                    <w:pageBreakBefore w:val="0"/>
                    <w:widowControl w:val="0"/>
                    <w:kinsoku/>
                    <w:wordWrap/>
                    <w:overflowPunct/>
                    <w:topLinePunct w:val="0"/>
                    <w:autoSpaceDE/>
                    <w:autoSpaceDN/>
                    <w:bidi w:val="0"/>
                    <w:adjustRightInd w:val="0"/>
                    <w:snapToGrid w:val="0"/>
                    <w:spacing w:after="0" w:line="240" w:lineRule="auto"/>
                    <w:ind w:leftChars="0" w:left="0" w:firstLineChars="0" w:firstLine="0"/>
                    <w:textAlignment w:val="auto"/>
                    <w:rPr>
                      <w:rFonts w:ascii="Times New Roman" w:eastAsia="宋体" w:cs="Times New Roman" w:hAnsi="Times New Roman"/>
                      <w:bCs/>
                      <w:color w:val="auto"/>
                      <w:kern w:val="0"/>
                      <w:sz w:val="21"/>
                      <w:szCs w:val="21"/>
                      <w:lang w:val="en-US" w:eastAsia="zh-CN" w:bidi="ar-SA"/>
                      <w:highlight w:val="none"/>
                    </w:rPr>
                  </w:pPr>
                  <w:r>
                    <w:rPr>
                      <w:rFonts w:cs="Times New Roman" w:hint="eastAsia"/>
                      <w:bCs/>
                      <w:color w:val="auto"/>
                      <w:kern w:val="0"/>
                      <w:sz w:val="21"/>
                      <w:szCs w:val="21"/>
                      <w:lang w:val="en-US" w:eastAsia="zh-CN" w:bidi="ar-SA"/>
                      <w:highlight w:val="none"/>
                    </w:rPr>
                    <w:t>厂界</w:t>
                  </w:r>
                </w:p>
              </w:tc>
              <w:tc>
                <w:tcPr>
                  <w:tcW w:w="953" w:type="pct"/>
                  <w:tcBorders>
                    <w:tl2br w:val="nil"/>
                    <w:tr2bl w:val="nil"/>
                  </w:tcBorders>
                  <w:vAlign w:val="center"/>
                </w:tcPr>
                <w:p>
                  <w:pPr>
                    <w:pStyle w:val="62"/>
                    <w:keepNext w:val="0"/>
                    <w:keepLines w:val="0"/>
                    <w:pageBreakBefore w:val="0"/>
                    <w:widowControl w:val="0"/>
                    <w:kinsoku/>
                    <w:wordWrap/>
                    <w:overflowPunct/>
                    <w:topLinePunct w:val="0"/>
                    <w:autoSpaceDE/>
                    <w:autoSpaceDN/>
                    <w:bidi w:val="0"/>
                    <w:adjustRightInd w:val="0"/>
                    <w:snapToGrid w:val="0"/>
                    <w:spacing w:after="0" w:line="240" w:lineRule="auto"/>
                    <w:ind w:leftChars="0" w:left="0" w:firstLineChars="0" w:firstLine="0"/>
                    <w:textAlignment w:val="auto"/>
                    <w:rPr>
                      <w:rFonts w:cs="Times New Roman" w:hint="eastAsia"/>
                      <w:bCs/>
                      <w:color w:val="auto"/>
                      <w:kern w:val="0"/>
                      <w:sz w:val="21"/>
                      <w:szCs w:val="21"/>
                      <w:lang w:val="en-US" w:eastAsia="zh-CN" w:bidi="ar-SA"/>
                      <w:highlight w:val="none"/>
                    </w:rPr>
                  </w:pPr>
                  <w:r>
                    <w:rPr>
                      <w:rFonts w:cs="Times New Roman" w:hint="eastAsia"/>
                      <w:bCs/>
                      <w:color w:val="auto"/>
                      <w:kern w:val="0"/>
                      <w:sz w:val="21"/>
                      <w:szCs w:val="21"/>
                      <w:lang w:val="en-US" w:eastAsia="zh-CN" w:bidi="ar-SA"/>
                      <w:highlight w:val="none"/>
                    </w:rPr>
                    <w:t>硫酸雾</w:t>
                  </w:r>
                </w:p>
              </w:tc>
              <w:tc>
                <w:tcPr>
                  <w:tcW w:w="832" w:type="pct"/>
                  <w:tcBorders>
                    <w:tl2br w:val="nil"/>
                    <w:tr2bl w:val="nil"/>
                  </w:tcBorders>
                  <w:vAlign w:val="center"/>
                </w:tcPr>
                <w:p>
                  <w:pPr>
                    <w:pStyle w:val="62"/>
                    <w:keepNext w:val="0"/>
                    <w:keepLines w:val="0"/>
                    <w:pageBreakBefore w:val="0"/>
                    <w:widowControl w:val="0"/>
                    <w:kinsoku/>
                    <w:wordWrap/>
                    <w:overflowPunct/>
                    <w:topLinePunct w:val="0"/>
                    <w:autoSpaceDE/>
                    <w:autoSpaceDN/>
                    <w:bidi w:val="0"/>
                    <w:adjustRightInd w:val="0"/>
                    <w:snapToGrid w:val="0"/>
                    <w:spacing w:after="0" w:line="240" w:lineRule="auto"/>
                    <w:ind w:leftChars="0" w:left="0" w:firstLineChars="0" w:firstLine="0"/>
                    <w:textAlignment w:val="auto"/>
                    <w:rPr>
                      <w:rFonts w:ascii="Times New Roman" w:eastAsia="宋体" w:cs="Times New Roman" w:hAnsi="Times New Roman"/>
                      <w:bCs/>
                      <w:color w:val="auto"/>
                      <w:kern w:val="0"/>
                      <w:sz w:val="21"/>
                      <w:szCs w:val="21"/>
                      <w:lang w:val="en-US" w:eastAsia="zh-CN" w:bidi="ar-SA"/>
                      <w:highlight w:val="none"/>
                    </w:rPr>
                  </w:pPr>
                  <w:r>
                    <w:rPr>
                      <w:rFonts w:ascii="Times New Roman" w:eastAsia="宋体" w:cs="Times New Roman" w:hAnsi="Times New Roman"/>
                      <w:bCs/>
                      <w:color w:val="auto"/>
                      <w:kern w:val="0"/>
                      <w:sz w:val="21"/>
                      <w:szCs w:val="21"/>
                      <w:lang w:val="en-US" w:eastAsia="zh-CN" w:bidi="ar-SA"/>
                      <w:highlight w:val="none"/>
                    </w:rPr>
                    <w:t>1次/</w:t>
                  </w:r>
                  <w:r>
                    <w:rPr>
                      <w:rFonts w:cs="Times New Roman" w:hint="eastAsia"/>
                      <w:bCs/>
                      <w:color w:val="auto"/>
                      <w:kern w:val="0"/>
                      <w:sz w:val="21"/>
                      <w:szCs w:val="21"/>
                      <w:lang w:val="en-US" w:eastAsia="zh-CN" w:bidi="ar-SA"/>
                      <w:highlight w:val="none"/>
                    </w:rPr>
                    <w:t>半</w:t>
                  </w:r>
                  <w:r>
                    <w:rPr>
                      <w:rFonts w:ascii="Times New Roman" w:eastAsia="宋体" w:cs="Times New Roman" w:hAnsi="Times New Roman" w:hint="eastAsia"/>
                      <w:bCs/>
                      <w:color w:val="auto"/>
                      <w:kern w:val="0"/>
                      <w:sz w:val="21"/>
                      <w:szCs w:val="21"/>
                      <w:lang w:val="en-US" w:eastAsia="zh-CN" w:bidi="ar-SA"/>
                      <w:highlight w:val="none"/>
                    </w:rPr>
                    <w:t>年</w:t>
                  </w:r>
                </w:p>
              </w:tc>
              <w:tc>
                <w:tcPr>
                  <w:tcW w:w="2589" w:type="pct"/>
                  <w:tcBorders>
                    <w:tl2br w:val="nil"/>
                    <w:tr2bl w:val="nil"/>
                  </w:tcBorders>
                  <w:vAlign w:val="center"/>
                </w:tcPr>
                <w:p>
                  <w:pPr>
                    <w:pStyle w:val="62"/>
                    <w:keepNext w:val="0"/>
                    <w:keepLines w:val="0"/>
                    <w:pageBreakBefore w:val="0"/>
                    <w:widowControl w:val="0"/>
                    <w:kinsoku/>
                    <w:wordWrap/>
                    <w:overflowPunct/>
                    <w:topLinePunct w:val="0"/>
                    <w:autoSpaceDE/>
                    <w:autoSpaceDN/>
                    <w:bidi w:val="0"/>
                    <w:adjustRightInd w:val="0"/>
                    <w:snapToGrid w:val="0"/>
                    <w:spacing w:after="0" w:line="240" w:lineRule="auto"/>
                    <w:ind w:leftChars="0" w:left="0" w:firstLineChars="0" w:firstLine="0"/>
                    <w:textAlignment w:val="auto"/>
                    <w:rPr>
                      <w:rFonts w:ascii="Times New Roman" w:eastAsia="宋体" w:cs="Times New Roman" w:hAnsi="Times New Roman"/>
                      <w:bCs/>
                      <w:color w:val="auto"/>
                      <w:kern w:val="0"/>
                      <w:sz w:val="21"/>
                      <w:szCs w:val="21"/>
                      <w:lang w:val="zh-CN" w:eastAsia="zh-CN" w:bidi="ar-SA"/>
                      <w:highlight w:val="none"/>
                    </w:rPr>
                  </w:pPr>
                  <w:r>
                    <w:rPr>
                      <w:rFonts w:ascii="Times New Roman" w:eastAsia="宋体" w:cs="Times New Roman" w:hAnsi="Times New Roman"/>
                      <w:bCs/>
                      <w:color w:val="auto"/>
                      <w:kern w:val="0"/>
                      <w:sz w:val="21"/>
                      <w:szCs w:val="21"/>
                      <w:lang w:val="zh-CN" w:eastAsia="zh-CN" w:bidi="ar-SA"/>
                      <w:highlight w:val="none"/>
                    </w:rPr>
                    <w:t>《大气污染物综合排放标准》</w:t>
                  </w:r>
                </w:p>
                <w:p>
                  <w:pPr>
                    <w:pStyle w:val="62"/>
                    <w:keepNext w:val="0"/>
                    <w:keepLines w:val="0"/>
                    <w:pageBreakBefore w:val="0"/>
                    <w:widowControl w:val="0"/>
                    <w:kinsoku/>
                    <w:wordWrap/>
                    <w:overflowPunct/>
                    <w:topLinePunct w:val="0"/>
                    <w:autoSpaceDE/>
                    <w:autoSpaceDN/>
                    <w:bidi w:val="0"/>
                    <w:adjustRightInd w:val="0"/>
                    <w:snapToGrid w:val="0"/>
                    <w:spacing w:after="0" w:line="240" w:lineRule="auto"/>
                    <w:ind w:leftChars="0" w:left="0" w:firstLineChars="0" w:firstLine="0"/>
                    <w:textAlignment w:val="auto"/>
                    <w:rPr>
                      <w:rFonts w:ascii="Times New Roman" w:eastAsia="宋体" w:cs="Times New Roman" w:hAnsi="Times New Roman"/>
                      <w:bCs/>
                      <w:color w:val="auto"/>
                      <w:kern w:val="0"/>
                      <w:sz w:val="21"/>
                      <w:szCs w:val="21"/>
                      <w:lang w:val="zh-CN" w:eastAsia="zh-CN" w:bidi="ar-SA"/>
                      <w:highlight w:val="none"/>
                    </w:rPr>
                  </w:pPr>
                  <w:r>
                    <w:rPr>
                      <w:rFonts w:ascii="Times New Roman" w:eastAsia="宋体" w:cs="Times New Roman" w:hAnsi="Times New Roman"/>
                      <w:bCs/>
                      <w:color w:val="auto"/>
                      <w:kern w:val="0"/>
                      <w:sz w:val="21"/>
                      <w:szCs w:val="21"/>
                      <w:lang w:val="zh-CN" w:eastAsia="zh-CN" w:bidi="ar-SA"/>
                      <w:highlight w:val="none"/>
                    </w:rPr>
                    <w:t>（GB16297- 1996）表2新</w:t>
                  </w:r>
                  <w:r>
                    <w:rPr>
                      <w:rFonts w:cs="Times New Roman" w:hint="eastAsia"/>
                      <w:bCs/>
                      <w:color w:val="auto"/>
                      <w:kern w:val="0"/>
                      <w:sz w:val="21"/>
                      <w:szCs w:val="21"/>
                      <w:lang w:val="zh-CN" w:eastAsia="zh-CN" w:bidi="ar-SA"/>
                      <w:highlight w:val="none"/>
                    </w:rPr>
                    <w:t>污染源</w:t>
                  </w:r>
                  <w:r>
                    <w:rPr>
                      <w:rFonts w:ascii="Times New Roman" w:eastAsia="宋体" w:cs="Times New Roman" w:hAnsi="Times New Roman"/>
                      <w:bCs/>
                      <w:color w:val="auto"/>
                      <w:kern w:val="0"/>
                      <w:sz w:val="21"/>
                      <w:szCs w:val="21"/>
                      <w:lang w:val="zh-CN" w:eastAsia="zh-CN" w:bidi="ar-SA"/>
                      <w:highlight w:val="none"/>
                    </w:rPr>
                    <w:t>大气污染物排放限值（</w:t>
                  </w:r>
                  <w:r>
                    <w:rPr>
                      <w:rFonts w:cs="Times New Roman" w:hint="eastAsia"/>
                      <w:bCs/>
                      <w:color w:val="auto"/>
                      <w:kern w:val="0"/>
                      <w:sz w:val="21"/>
                      <w:szCs w:val="21"/>
                      <w:lang w:val="en-US" w:eastAsia="zh-CN" w:bidi="ar-SA"/>
                      <w:highlight w:val="none"/>
                    </w:rPr>
                    <w:t>1.2</w:t>
                  </w:r>
                  <w:r>
                    <w:rPr>
                      <w:rFonts w:ascii="Times New Roman" w:eastAsia="宋体" w:cs="Times New Roman" w:hAnsi="Times New Roman"/>
                      <w:bCs/>
                      <w:color w:val="auto"/>
                      <w:kern w:val="0"/>
                      <w:sz w:val="21"/>
                      <w:szCs w:val="21"/>
                      <w:lang w:val="zh-CN" w:eastAsia="zh-CN" w:bidi="ar-SA"/>
                      <w:highlight w:val="none"/>
                    </w:rPr>
                    <w:t>mg/m</w:t>
                  </w:r>
                  <w:r>
                    <w:rPr>
                      <w:rFonts w:ascii="Times New Roman" w:eastAsia="宋体" w:cs="Times New Roman" w:hAnsi="Times New Roman"/>
                      <w:bCs/>
                      <w:color w:val="auto"/>
                      <w:kern w:val="0"/>
                      <w:sz w:val="21"/>
                      <w:szCs w:val="21"/>
                      <w:vertAlign w:val="superscript"/>
                      <w:lang w:val="zh-CN" w:eastAsia="zh-CN" w:bidi="ar-SA"/>
                      <w:highlight w:val="none"/>
                    </w:rPr>
                    <w:t>3</w:t>
                  </w:r>
                  <w:r>
                    <w:rPr>
                      <w:rFonts w:ascii="Times New Roman" w:eastAsia="宋体" w:cs="Times New Roman" w:hAnsi="Times New Roman"/>
                      <w:bCs/>
                      <w:color w:val="auto"/>
                      <w:kern w:val="0"/>
                      <w:sz w:val="21"/>
                      <w:szCs w:val="21"/>
                      <w:lang w:val="zh-CN" w:eastAsia="zh-CN" w:bidi="ar-SA"/>
                      <w:highlight w:val="none"/>
                    </w:rPr>
                    <w:t>）</w:t>
                  </w:r>
                  <w:r>
                    <w:rPr>
                      <w:rFonts w:cs="Times New Roman" w:hint="eastAsia"/>
                      <w:bCs/>
                      <w:color w:val="auto"/>
                      <w:kern w:val="0"/>
                      <w:sz w:val="21"/>
                      <w:szCs w:val="21"/>
                      <w:lang w:val="zh-CN" w:eastAsia="zh-CN" w:bidi="ar-SA"/>
                      <w:highlight w:val="none"/>
                    </w:rPr>
                    <w:t>；同时参考</w:t>
                  </w:r>
                  <w:r>
                    <w:rPr>
                      <w:rFonts w:hint="eastAsia"/>
                      <w:color w:val="auto"/>
                    </w:rPr>
                    <w:t>《电池工业污染物排放标准》（GB 30484-2013）</w:t>
                  </w:r>
                  <w:r>
                    <w:rPr>
                      <w:rFonts w:hint="eastAsia"/>
                      <w:color w:val="auto"/>
                      <w:lang w:eastAsia="zh-CN"/>
                    </w:rPr>
                    <w:t>（</w:t>
                  </w:r>
                  <w:r>
                    <w:rPr>
                      <w:rFonts w:cs="Times New Roman" w:hint="eastAsia"/>
                      <w:bCs/>
                      <w:color w:val="auto"/>
                      <w:kern w:val="0"/>
                      <w:sz w:val="21"/>
                      <w:szCs w:val="21"/>
                      <w:lang w:val="en-US" w:eastAsia="zh-CN" w:bidi="ar-SA"/>
                      <w:highlight w:val="none"/>
                    </w:rPr>
                    <w:t>0.3</w:t>
                  </w:r>
                  <w:r>
                    <w:rPr>
                      <w:rFonts w:ascii="Times New Roman" w:eastAsia="宋体" w:cs="Times New Roman" w:hAnsi="Times New Roman"/>
                      <w:bCs/>
                      <w:color w:val="auto"/>
                      <w:kern w:val="0"/>
                      <w:sz w:val="21"/>
                      <w:szCs w:val="21"/>
                      <w:lang w:val="zh-CN" w:eastAsia="zh-CN" w:bidi="ar-SA"/>
                      <w:highlight w:val="none"/>
                    </w:rPr>
                    <w:t>mg/m</w:t>
                  </w:r>
                  <w:r>
                    <w:rPr>
                      <w:rFonts w:ascii="Times New Roman" w:eastAsia="宋体" w:cs="Times New Roman" w:hAnsi="Times New Roman"/>
                      <w:bCs/>
                      <w:color w:val="auto"/>
                      <w:kern w:val="0"/>
                      <w:sz w:val="21"/>
                      <w:szCs w:val="21"/>
                      <w:vertAlign w:val="superscript"/>
                      <w:lang w:val="zh-CN" w:eastAsia="zh-CN" w:bidi="ar-SA"/>
                      <w:highlight w:val="none"/>
                    </w:rPr>
                    <w:t>3</w:t>
                  </w:r>
                  <w:r>
                    <w:rPr>
                      <w:rFonts w:hint="eastAsia"/>
                      <w:color w:val="auto"/>
                      <w:lang w:eastAsia="zh-CN"/>
                    </w:rPr>
                    <w:t>）</w:t>
                  </w:r>
                </w:p>
              </w:tc>
            </w:tr>
          </w:tbl>
          <w:p>
            <w:pPr>
              <w:keepNext w:val="0"/>
              <w:keepLines w:val="0"/>
              <w:pageBreakBefore w:val="0"/>
              <w:widowControl w:val="0"/>
              <w:kinsoku/>
              <w:wordWrap/>
              <w:overflowPunct/>
              <w:topLinePunct w:val="0"/>
              <w:autoSpaceDE/>
              <w:autoSpaceDN/>
              <w:bidi w:val="0"/>
              <w:adjustRightInd/>
              <w:snapToGrid/>
              <w:spacing w:line="460" w:lineRule="exact"/>
              <w:ind w:firstLineChars="200" w:firstLine="480"/>
              <w:textAlignment w:val="auto"/>
              <w:rPr>
                <w:rFonts w:ascii="Times New Roman" w:eastAsia="宋体" w:cs="Times New Roman" w:hAnsi="Times New Roman" w:hint="eastAsia"/>
                <w:color w:val="auto"/>
                <w:kern w:val="0"/>
                <w:sz w:val="24"/>
                <w:highlight w:val="none"/>
              </w:rPr>
            </w:pPr>
            <w:r>
              <w:rPr>
                <w:rFonts w:ascii="Times New Roman" w:eastAsia="宋体" w:cs="Times New Roman" w:hAnsi="Times New Roman" w:hint="eastAsia"/>
                <w:color w:val="auto"/>
                <w:kern w:val="0"/>
                <w:sz w:val="24"/>
                <w:highlight w:val="none"/>
              </w:rPr>
              <w:t>（</w:t>
            </w:r>
            <w:r>
              <w:rPr>
                <w:rFonts w:cs="Times New Roman" w:hint="eastAsia"/>
                <w:color w:val="auto"/>
                <w:kern w:val="0"/>
                <w:sz w:val="24"/>
                <w:lang w:val="en-US" w:eastAsia="zh-CN"/>
                <w:highlight w:val="none"/>
              </w:rPr>
              <w:t>4</w:t>
            </w:r>
            <w:r>
              <w:rPr>
                <w:rFonts w:ascii="Times New Roman" w:eastAsia="宋体" w:cs="Times New Roman" w:hAnsi="Times New Roman" w:hint="eastAsia"/>
                <w:color w:val="auto"/>
                <w:kern w:val="0"/>
                <w:sz w:val="24"/>
                <w:highlight w:val="none"/>
              </w:rPr>
              <w:t>）废气污染</w:t>
            </w:r>
            <w:r>
              <w:rPr>
                <w:rFonts w:ascii="Times New Roman" w:eastAsia="宋体" w:cs="Times New Roman" w:hAnsi="Times New Roman" w:hint="eastAsia"/>
                <w:color w:val="auto"/>
                <w:kern w:val="0"/>
                <w:sz w:val="24"/>
                <w:lang w:val="en-US" w:eastAsia="zh-CN"/>
                <w:highlight w:val="none"/>
              </w:rPr>
              <w:t>治理</w:t>
            </w:r>
            <w:r>
              <w:rPr>
                <w:rFonts w:ascii="Times New Roman" w:eastAsia="宋体" w:cs="Times New Roman" w:hAnsi="Times New Roman" w:hint="eastAsia"/>
                <w:color w:val="auto"/>
                <w:kern w:val="0"/>
                <w:sz w:val="24"/>
                <w:highlight w:val="none"/>
              </w:rPr>
              <w:t>可行性分析</w:t>
            </w:r>
          </w:p>
          <w:p>
            <w:pPr>
              <w:keepNext w:val="0"/>
              <w:keepLines w:val="0"/>
              <w:pageBreakBefore w:val="0"/>
              <w:widowControl w:val="0"/>
              <w:kinsoku/>
              <w:wordWrap/>
              <w:overflowPunct/>
              <w:topLinePunct w:val="0"/>
              <w:autoSpaceDE/>
              <w:autoSpaceDN/>
              <w:bidi w:val="0"/>
              <w:adjustRightInd/>
              <w:snapToGrid/>
              <w:spacing w:line="460" w:lineRule="exact"/>
              <w:ind w:firstLineChars="200" w:firstLine="480"/>
              <w:textAlignment w:val="auto"/>
              <w:rPr>
                <w:rFonts w:hint="eastAsia"/>
                <w:color w:val="auto"/>
                <w:sz w:val="24"/>
                <w:highlight w:val="none"/>
              </w:rPr>
            </w:pPr>
            <w:r>
              <w:rPr>
                <w:rFonts w:hint="eastAsia"/>
                <w:color w:val="auto"/>
                <w:sz w:val="24"/>
                <w:highlight w:val="none"/>
              </w:rPr>
              <w:t>本项目破损电池间为密闭空间并配设排风装置，废气经</w:t>
            </w:r>
            <w:r>
              <w:rPr>
                <w:rFonts w:hint="eastAsia"/>
                <w:color w:val="auto"/>
                <w:sz w:val="24"/>
                <w:lang w:eastAsia="zh-CN"/>
                <w:highlight w:val="none"/>
              </w:rPr>
              <w:t>碱液喷淋装置</w:t>
            </w:r>
            <w:r>
              <w:rPr>
                <w:rFonts w:hint="eastAsia"/>
                <w:color w:val="auto"/>
                <w:sz w:val="24"/>
                <w:highlight w:val="none"/>
              </w:rPr>
              <w:t>处理后通过</w:t>
            </w:r>
            <w:r>
              <w:rPr>
                <w:rFonts w:hint="eastAsia"/>
                <w:color w:val="auto"/>
                <w:sz w:val="24"/>
                <w:lang w:val="en-US" w:eastAsia="zh-CN"/>
                <w:highlight w:val="none"/>
              </w:rPr>
              <w:t>1</w:t>
            </w:r>
            <w:r>
              <w:rPr>
                <w:rFonts w:hint="eastAsia"/>
                <w:color w:val="auto"/>
                <w:sz w:val="24"/>
                <w:highlight w:val="none"/>
              </w:rPr>
              <w:t>5m高排气筒（DA001）排放，密闭空间集气效率为80%。</w:t>
            </w:r>
          </w:p>
          <w:p>
            <w:pPr>
              <w:keepNext w:val="0"/>
              <w:keepLines w:val="0"/>
              <w:pageBreakBefore w:val="0"/>
              <w:widowControl w:val="0"/>
              <w:kinsoku/>
              <w:wordWrap/>
              <w:overflowPunct/>
              <w:topLinePunct w:val="0"/>
              <w:autoSpaceDE/>
              <w:autoSpaceDN/>
              <w:bidi w:val="0"/>
              <w:adjustRightInd/>
              <w:snapToGrid/>
              <w:spacing w:line="460" w:lineRule="exact"/>
              <w:ind w:firstLineChars="200" w:firstLine="480"/>
              <w:textAlignment w:val="auto"/>
              <w:rPr>
                <w:rFonts w:hint="eastAsia"/>
                <w:color w:val="auto"/>
                <w:sz w:val="24"/>
                <w:highlight w:val="none"/>
              </w:rPr>
            </w:pPr>
            <w:r>
              <w:rPr>
                <w:rFonts w:hint="eastAsia"/>
                <w:color w:val="auto"/>
                <w:sz w:val="24"/>
                <w:highlight w:val="none"/>
              </w:rPr>
              <w:t>本项目净化系统采用氢氧化钠溶液为吸收中和液来净化废气。硫酸雾废气由引风机引入净化塔，向上流动，与喷出的碱液接触反应，由排气筒排入大气。酸碱中和反应生成盐类，反应公式如下：</w:t>
            </w:r>
          </w:p>
          <w:p>
            <w:pPr>
              <w:keepNext w:val="0"/>
              <w:keepLines w:val="0"/>
              <w:pageBreakBefore w:val="0"/>
              <w:widowControl w:val="0"/>
              <w:kinsoku/>
              <w:wordWrap/>
              <w:overflowPunct/>
              <w:topLinePunct w:val="0"/>
              <w:autoSpaceDE/>
              <w:autoSpaceDN/>
              <w:bidi w:val="0"/>
              <w:adjustRightInd/>
              <w:snapToGrid/>
              <w:spacing w:line="460" w:lineRule="exact"/>
              <w:ind w:firstLineChars="200" w:firstLine="480"/>
              <w:jc w:val="center"/>
              <w:textAlignment w:val="auto"/>
              <w:rPr>
                <w:rFonts w:hint="eastAsia"/>
                <w:color w:val="auto"/>
                <w:sz w:val="24"/>
                <w:highlight w:val="none"/>
              </w:rPr>
            </w:pPr>
            <w:r>
              <w:rPr>
                <w:rFonts w:hint="eastAsia"/>
                <w:color w:val="auto"/>
                <w:sz w:val="24"/>
                <w:highlight w:val="none"/>
              </w:rPr>
              <w:t>H</w:t>
            </w:r>
            <w:r>
              <w:rPr>
                <w:rFonts w:hint="eastAsia"/>
                <w:color w:val="auto"/>
                <w:sz w:val="24"/>
                <w:vertAlign w:val="subscript"/>
                <w:highlight w:val="none"/>
              </w:rPr>
              <w:t>2</w:t>
            </w:r>
            <w:r>
              <w:rPr>
                <w:rFonts w:hint="eastAsia"/>
                <w:color w:val="auto"/>
                <w:sz w:val="24"/>
                <w:highlight w:val="none"/>
              </w:rPr>
              <w:t>S</w:t>
            </w:r>
            <w:r>
              <w:rPr>
                <w:rFonts w:hint="eastAsia"/>
                <w:color w:val="auto"/>
                <w:sz w:val="24"/>
                <w:lang w:val="en-US" w:eastAsia="zh-CN"/>
                <w:highlight w:val="none"/>
              </w:rPr>
              <w:t>O</w:t>
            </w:r>
            <w:r>
              <w:rPr>
                <w:rFonts w:hint="eastAsia"/>
                <w:color w:val="auto"/>
                <w:sz w:val="24"/>
                <w:vertAlign w:val="subscript"/>
                <w:highlight w:val="none"/>
              </w:rPr>
              <w:t>4</w:t>
            </w:r>
            <w:r>
              <w:rPr>
                <w:rFonts w:hint="eastAsia"/>
                <w:color w:val="auto"/>
                <w:sz w:val="24"/>
                <w:highlight w:val="none"/>
              </w:rPr>
              <w:t xml:space="preserve"> + 2Na</w:t>
            </w:r>
            <w:r>
              <w:rPr>
                <w:rFonts w:hint="eastAsia"/>
                <w:color w:val="auto"/>
                <w:sz w:val="24"/>
                <w:lang w:val="en-US" w:eastAsia="zh-CN"/>
                <w:highlight w:val="none"/>
              </w:rPr>
              <w:t>O</w:t>
            </w:r>
            <w:r>
              <w:rPr>
                <w:rFonts w:hint="eastAsia"/>
                <w:color w:val="auto"/>
                <w:sz w:val="24"/>
                <w:highlight w:val="none"/>
              </w:rPr>
              <w:t>H  →  Na</w:t>
            </w:r>
            <w:r>
              <w:rPr>
                <w:rFonts w:hint="eastAsia"/>
                <w:color w:val="auto"/>
                <w:sz w:val="24"/>
                <w:vertAlign w:val="subscript"/>
                <w:highlight w:val="none"/>
              </w:rPr>
              <w:t>2</w:t>
            </w:r>
            <w:r>
              <w:rPr>
                <w:rFonts w:hint="eastAsia"/>
                <w:color w:val="auto"/>
                <w:sz w:val="24"/>
                <w:highlight w:val="none"/>
              </w:rPr>
              <w:t>S</w:t>
            </w:r>
            <w:r>
              <w:rPr>
                <w:rFonts w:hint="eastAsia"/>
                <w:color w:val="auto"/>
                <w:sz w:val="24"/>
                <w:lang w:val="en-US" w:eastAsia="zh-CN"/>
                <w:highlight w:val="none"/>
              </w:rPr>
              <w:t>O</w:t>
            </w:r>
            <w:r>
              <w:rPr>
                <w:rFonts w:hint="eastAsia"/>
                <w:color w:val="auto"/>
                <w:sz w:val="24"/>
                <w:vertAlign w:val="subscript"/>
                <w:highlight w:val="none"/>
              </w:rPr>
              <w:t>4</w:t>
            </w:r>
            <w:r>
              <w:rPr>
                <w:rFonts w:hint="eastAsia"/>
                <w:color w:val="auto"/>
                <w:sz w:val="24"/>
                <w:highlight w:val="none"/>
              </w:rPr>
              <w:t xml:space="preserve"> + 2H</w:t>
            </w:r>
            <w:r>
              <w:rPr>
                <w:rFonts w:hint="eastAsia"/>
                <w:color w:val="auto"/>
                <w:sz w:val="24"/>
                <w:vertAlign w:val="subscript"/>
                <w:highlight w:val="none"/>
              </w:rPr>
              <w:t>2</w:t>
            </w:r>
            <w:r>
              <w:rPr>
                <w:rFonts w:hint="eastAsia"/>
                <w:color w:val="auto"/>
                <w:sz w:val="24"/>
                <w:lang w:val="en-US" w:eastAsia="zh-CN"/>
                <w:highlight w:val="none"/>
              </w:rPr>
              <w:t>O</w:t>
            </w:r>
          </w:p>
          <w:p>
            <w:pPr>
              <w:keepNext w:val="0"/>
              <w:keepLines w:val="0"/>
              <w:pageBreakBefore w:val="0"/>
              <w:widowControl w:val="0"/>
              <w:kinsoku/>
              <w:wordWrap/>
              <w:overflowPunct/>
              <w:topLinePunct w:val="0"/>
              <w:autoSpaceDE/>
              <w:autoSpaceDN/>
              <w:bidi w:val="0"/>
              <w:adjustRightInd/>
              <w:snapToGrid/>
              <w:spacing w:line="460" w:lineRule="exact"/>
              <w:ind w:firstLineChars="200" w:firstLine="480"/>
              <w:textAlignment w:val="auto"/>
              <w:rPr>
                <w:rFonts w:hint="eastAsia"/>
                <w:color w:val="auto"/>
                <w:sz w:val="24"/>
                <w:highlight w:val="none"/>
              </w:rPr>
            </w:pPr>
            <w:r>
              <w:rPr>
                <w:rFonts w:hint="eastAsia"/>
                <w:color w:val="auto"/>
                <w:sz w:val="24"/>
                <w:highlight w:val="none"/>
              </w:rPr>
              <w:t>项目废气中的酸性废气被碱液吸收，碱液循环使用，定期更换。项目使用氢氧化钠溶液吸收净化硫酸雾，具有处理成本低，处理效率高、工艺成熟稳定等优点，维护成本较低。</w:t>
            </w:r>
            <w:r>
              <w:rPr>
                <w:rFonts w:hint="eastAsia"/>
                <w:color w:val="auto"/>
                <w:sz w:val="24"/>
                <w:lang w:eastAsia="zh-CN"/>
                <w:highlight w:val="none"/>
              </w:rPr>
              <w:t>属于《排污许可证申请与核发技术规范 总则》（HJ942-2018）《排污许可证申请与核发技术规范 工业固体废物和危险废物治理》（HJ 1033-2019）推荐的可行技术</w:t>
            </w:r>
            <w:r>
              <w:rPr>
                <w:rFonts w:hint="eastAsia"/>
                <w:color w:val="auto"/>
                <w:sz w:val="24"/>
                <w:highlight w:val="none"/>
              </w:rPr>
              <w:t>。</w:t>
            </w:r>
          </w:p>
          <w:p>
            <w:pPr>
              <w:spacing w:line="500" w:lineRule="exact"/>
              <w:ind w:firstLineChars="200" w:firstLine="480"/>
              <w:rPr>
                <w:rFonts w:hint="eastAsia"/>
                <w:color w:val="auto"/>
                <w:sz w:val="24"/>
                <w:highlight w:val="none"/>
              </w:rPr>
            </w:pPr>
            <w:r>
              <w:rPr>
                <w:rFonts w:hint="eastAsia"/>
                <w:color w:val="auto"/>
                <w:sz w:val="24"/>
                <w:highlight w:val="none"/>
              </w:rPr>
              <w:t>综上所述，在采取了</w:t>
            </w:r>
            <w:r>
              <w:rPr>
                <w:rFonts w:hint="eastAsia"/>
                <w:color w:val="auto"/>
                <w:sz w:val="24"/>
                <w:lang w:val="en-US" w:eastAsia="zh-CN"/>
                <w:highlight w:val="none"/>
              </w:rPr>
              <w:t>相应</w:t>
            </w:r>
            <w:r>
              <w:rPr>
                <w:rFonts w:hint="eastAsia"/>
                <w:color w:val="auto"/>
                <w:sz w:val="24"/>
                <w:highlight w:val="none"/>
              </w:rPr>
              <w:t>治理措施后，环境影响是可接受的。</w:t>
            </w:r>
          </w:p>
          <w:p>
            <w:pPr>
              <w:pStyle w:val="33"/>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b/>
                <w:bCs/>
                <w:color w:val="auto"/>
                <w:kern w:val="0"/>
                <w:sz w:val="24"/>
                <w:highlight w:val="none"/>
              </w:rPr>
            </w:pPr>
            <w:r>
              <w:rPr>
                <w:rFonts w:hint="eastAsia"/>
                <w:b/>
                <w:bCs/>
                <w:color w:val="auto"/>
                <w:kern w:val="0"/>
                <w:sz w:val="24"/>
                <w:highlight w:val="none"/>
              </w:rPr>
              <w:t>2、废水</w:t>
            </w:r>
          </w:p>
          <w:p>
            <w:pPr>
              <w:keepNext w:val="0"/>
              <w:keepLines w:val="0"/>
              <w:pageBreakBefore w:val="0"/>
              <w:widowControl w:val="0"/>
              <w:kinsoku/>
              <w:wordWrap/>
              <w:overflowPunct/>
              <w:topLinePunct w:val="0"/>
              <w:autoSpaceDE/>
              <w:autoSpaceDN/>
              <w:bidi w:val="0"/>
              <w:adjustRightInd/>
              <w:snapToGrid/>
              <w:spacing w:line="460" w:lineRule="exact"/>
              <w:ind w:firstLineChars="200" w:firstLine="480"/>
              <w:textAlignment w:val="auto"/>
              <w:outlineLvl w:val="9"/>
              <w:rPr>
                <w:color w:val="auto"/>
                <w:sz w:val="24"/>
                <w:highlight w:val="none"/>
              </w:rPr>
            </w:pPr>
            <w:r>
              <w:rPr>
                <w:rFonts w:hint="eastAsia"/>
                <w:color w:val="auto"/>
                <w:sz w:val="24"/>
                <w:lang w:eastAsia="zh-CN"/>
                <w:highlight w:val="none"/>
              </w:rPr>
              <w:t>（</w:t>
            </w:r>
            <w:r>
              <w:rPr>
                <w:rFonts w:hint="eastAsia"/>
                <w:color w:val="auto"/>
                <w:sz w:val="24"/>
                <w:lang w:val="en-US" w:eastAsia="zh-CN"/>
                <w:highlight w:val="none"/>
              </w:rPr>
              <w:t>1</w:t>
            </w:r>
            <w:r>
              <w:rPr>
                <w:rFonts w:hint="eastAsia"/>
                <w:color w:val="auto"/>
                <w:sz w:val="24"/>
                <w:lang w:eastAsia="zh-CN"/>
                <w:highlight w:val="none"/>
              </w:rPr>
              <w:t>）</w:t>
            </w:r>
            <w:r>
              <w:rPr>
                <w:rFonts w:hint="eastAsia"/>
                <w:color w:val="auto"/>
                <w:sz w:val="24"/>
                <w:highlight w:val="none"/>
              </w:rPr>
              <w:t>废水污染源源强及相关参数</w:t>
            </w:r>
          </w:p>
          <w:p>
            <w:pPr>
              <w:pStyle w:val="16"/>
              <w:keepNext w:val="0"/>
              <w:keepLines w:val="0"/>
              <w:pageBreakBefore w:val="0"/>
              <w:kinsoku/>
              <w:topLinePunct w:val="0"/>
              <w:autoSpaceDN/>
              <w:bidi w:val="0"/>
              <w:spacing w:line="460" w:lineRule="exact"/>
              <w:ind w:firstLineChars="200" w:firstLine="480"/>
              <w:outlineLvl w:val="9"/>
              <w:rPr>
                <w:rFonts w:ascii="Times New Roman" w:cs="Times New Roman" w:hAnsi="Times New Roman" w:hint="eastAsia"/>
                <w:color w:val="auto"/>
                <w:sz w:val="24"/>
                <w:lang w:val="en-US" w:eastAsia="zh-CN"/>
                <w:highlight w:val="none"/>
              </w:rPr>
            </w:pPr>
            <w:r>
              <w:rPr>
                <w:rFonts w:cs="Times New Roman" w:hint="eastAsia"/>
                <w:color w:val="auto"/>
                <w:kern w:val="0"/>
                <w:sz w:val="24"/>
                <w:lang w:eastAsia="zh-CN"/>
                <w:highlight w:val="none"/>
              </w:rPr>
              <w:t>本项目碱液喷淋装置碱液循环使用，定期更换，废碱液交由有资质单位处置；生活污水依托河北泽豪环保新材料科技有限公司化粪池处理后，定期清掏，不外排</w:t>
            </w:r>
            <w:r>
              <w:rPr>
                <w:rFonts w:ascii="Segoe UI" w:eastAsia="Segoe UI" w:cs="Segoe UI" w:hAnsi="Segoe UI"/>
                <w:i w:val="0"/>
                <w:iCs w:val="0"/>
                <w:caps w:val="0"/>
                <w:smallCaps w:val="0"/>
                <w:color w:val="auto"/>
                <w:spacing w:val="0"/>
                <w:sz w:val="24"/>
                <w:szCs w:val="24"/>
                <w:shd w:val="clear" w:color="auto" w:fill="FFFFFF"/>
                <w:lang w:val="en-US" w:eastAsia="zh-CN"/>
                <w:highlight w:val="none"/>
              </w:rPr>
              <w:t>。</w:t>
            </w:r>
            <w:r>
              <w:rPr>
                <w:rFonts w:ascii="Times New Roman" w:cs="Times New Roman" w:hAnsi="Times New Roman" w:hint="eastAsia"/>
                <w:color w:val="auto"/>
                <w:sz w:val="24"/>
                <w:lang w:val="en-US" w:eastAsia="zh-CN"/>
                <w:highlight w:val="none"/>
              </w:rPr>
              <w:t>本项目职工生活污水排放量为0.35m</w:t>
            </w:r>
            <w:r>
              <w:rPr>
                <w:rFonts w:ascii="Times New Roman" w:cs="Times New Roman" w:hAnsi="Times New Roman" w:hint="eastAsia"/>
                <w:color w:val="auto"/>
                <w:sz w:val="24"/>
                <w:vertAlign w:val="superscript"/>
                <w:lang w:val="en-US" w:eastAsia="zh-CN"/>
                <w:highlight w:val="none"/>
              </w:rPr>
              <w:t>3</w:t>
            </w:r>
            <w:r>
              <w:rPr>
                <w:rFonts w:ascii="Times New Roman" w:cs="Times New Roman" w:hAnsi="Times New Roman" w:hint="eastAsia"/>
                <w:color w:val="auto"/>
                <w:sz w:val="24"/>
                <w:lang w:val="en-US" w:eastAsia="zh-CN"/>
                <w:highlight w:val="none"/>
              </w:rPr>
              <w:t>/d，废水源及排放情况见下表。</w:t>
            </w:r>
          </w:p>
          <w:p>
            <w:pPr>
              <w:pStyle w:val="17"/>
              <w:rPr>
                <w:rFonts w:ascii="Times New Roman" w:cs="Times New Roman" w:hAnsi="Times New Roman" w:hint="eastAsia"/>
                <w:color w:val="auto"/>
                <w:sz w:val="24"/>
                <w:lang w:val="en-US" w:eastAsia="zh-CN"/>
                <w:highlight w:val="none"/>
              </w:rPr>
            </w:pPr>
          </w:p>
          <w:p>
            <w:pPr>
              <w:pStyle w:val="17"/>
              <w:rPr>
                <w:rFonts w:ascii="Times New Roman" w:cs="Times New Roman" w:hAnsi="Times New Roman" w:hint="eastAsia"/>
                <w:color w:val="auto"/>
                <w:sz w:val="24"/>
                <w:lang w:val="en-US" w:eastAsia="zh-CN"/>
                <w:highlight w:val="none"/>
              </w:rPr>
            </w:pPr>
          </w:p>
          <w:p>
            <w:pPr>
              <w:keepNext w:val="0"/>
              <w:keepLines w:val="0"/>
              <w:pageBreakBefore w:val="0"/>
              <w:widowControl/>
              <w:kinsoku/>
              <w:wordWrap/>
              <w:overflowPunct/>
              <w:topLinePunct w:val="0"/>
              <w:autoSpaceDE/>
              <w:autoSpaceDN/>
              <w:bidi w:val="0"/>
              <w:adjustRightInd w:val="0"/>
              <w:snapToGrid w:val="0"/>
              <w:spacing w:line="460" w:lineRule="exact"/>
              <w:ind w:firstLineChars="200" w:firstLine="480"/>
              <w:jc w:val="center"/>
              <w:textAlignment w:val="auto"/>
              <w:rPr>
                <w:rFonts w:ascii="Times New Roman" w:eastAsia="宋体" w:cs="Times New Roman" w:hAnsi="Times New Roman" w:hint="eastAsia"/>
                <w:b/>
                <w:bCs w:val="0"/>
                <w:color w:val="auto"/>
                <w:kern w:val="0"/>
                <w:sz w:val="24"/>
                <w:szCs w:val="22"/>
                <w:lang w:eastAsia="zh-CN"/>
                <w:highlight w:val="none"/>
              </w:rPr>
            </w:pPr>
            <w:r>
              <w:rPr>
                <w:rFonts w:ascii="Times New Roman" w:eastAsia="宋体" w:cs="Times New Roman" w:hAnsi="Times New Roman" w:hint="eastAsia"/>
                <w:b/>
                <w:bCs w:val="0"/>
                <w:color w:val="auto"/>
                <w:kern w:val="0"/>
                <w:sz w:val="24"/>
                <w:szCs w:val="22"/>
                <w:lang w:eastAsia="zh-CN"/>
                <w:highlight w:val="none"/>
              </w:rPr>
              <w:t>表</w:t>
            </w:r>
            <w:r>
              <w:rPr>
                <w:rFonts w:ascii="Times New Roman" w:eastAsia="宋体" w:cs="Times New Roman" w:hAnsi="Times New Roman" w:hint="eastAsia"/>
                <w:b/>
                <w:bCs w:val="0"/>
                <w:color w:val="auto"/>
                <w:kern w:val="0"/>
                <w:sz w:val="24"/>
                <w:szCs w:val="22"/>
                <w:lang w:val="en-US" w:eastAsia="zh-CN"/>
                <w:highlight w:val="none"/>
              </w:rPr>
              <w:t>4-</w:t>
            </w:r>
            <w:r>
              <w:rPr>
                <w:rFonts w:cs="Times New Roman" w:hint="eastAsia"/>
                <w:b/>
                <w:bCs w:val="0"/>
                <w:color w:val="auto"/>
                <w:kern w:val="0"/>
                <w:sz w:val="24"/>
                <w:szCs w:val="22"/>
                <w:lang w:val="en-US" w:eastAsia="zh-CN"/>
                <w:highlight w:val="none"/>
              </w:rPr>
              <w:t>4</w:t>
            </w:r>
            <w:r>
              <w:rPr>
                <w:rFonts w:ascii="Times New Roman" w:eastAsia="宋体" w:cs="Times New Roman" w:hAnsi="Times New Roman" w:hint="eastAsia"/>
                <w:b/>
                <w:bCs w:val="0"/>
                <w:color w:val="auto"/>
                <w:kern w:val="0"/>
                <w:sz w:val="24"/>
                <w:szCs w:val="22"/>
                <w:lang w:eastAsia="zh-CN"/>
                <w:highlight w:val="none"/>
              </w:rPr>
              <w:t xml:space="preserve">  项目废水源及</w:t>
            </w:r>
            <w:r>
              <w:rPr>
                <w:rFonts w:ascii="Times New Roman" w:eastAsia="宋体" w:cs="Times New Roman" w:hAnsi="Times New Roman" w:hint="eastAsia"/>
                <w:b/>
                <w:bCs w:val="0"/>
                <w:color w:val="auto"/>
                <w:kern w:val="0"/>
                <w:sz w:val="24"/>
                <w:szCs w:val="22"/>
                <w:lang w:val="en-US" w:eastAsia="zh-CN"/>
                <w:highlight w:val="none"/>
              </w:rPr>
              <w:t>排放情况（生活污水）</w:t>
            </w:r>
          </w:p>
          <w:tbl>
            <w:tblPr>
              <w:jc w:val="center"/>
              <w:tblW w:w="4992" w:type="pct"/>
              <w:tblBorders>
                <w:top w:val="single" w:sz="12" w:space="0" w:color="auto"/>
                <w:left w:val="none" w:sz="0" w:space="0" w:color="auto"/>
                <w:bottom w:val="single" w:sz="12" w:space="0" w:color="auto"/>
                <w:right w:val="none" w:sz="0" w:space="0" w:color="auto"/>
                <w:insideH w:val="single" w:sz="4" w:space="0" w:color="auto"/>
                <w:insideV w:val="single" w:sz="4" w:space="0" w:color="auto"/>
              </w:tblBorders>
              <w:tblLayout w:type="fixed"/>
              <w:tblCellMar>
                <w:top w:w="0" w:type="dxa"/>
                <w:left w:w="108" w:type="dxa"/>
                <w:bottom w:w="0" w:type="dxa"/>
                <w:right w:w="108" w:type="dxa"/>
              </w:tblCellMar>
              <w:tblLook w:val="0600" w:firstRow="0" w:lastRow="0" w:firstColumn="0" w:lastColumn="0" w:noHBand="1" w:noVBand="1"/>
            </w:tblPr>
            <w:tblGrid>
              <w:gridCol w:w="544"/>
              <w:gridCol w:w="1081"/>
              <w:gridCol w:w="1955"/>
              <w:gridCol w:w="1150"/>
              <w:gridCol w:w="1295"/>
              <w:gridCol w:w="942"/>
              <w:gridCol w:w="1020"/>
              <w:gridCol w:w="924"/>
            </w:tblGrid>
            <w:tr>
              <w:trPr>
                <w:trHeight w:val="369"/>
              </w:trPr>
              <w:tc>
                <w:tcPr>
                  <w:tcW w:w="305" w:type="pct"/>
                  <w:tcMar>
                    <w:left w:w="0" w:type="dxa"/>
                    <w:right w:w="0" w:type="dxa"/>
                  </w:tcMar>
                  <w:vAlign w:val="center"/>
                </w:tcPr>
                <w:p>
                  <w:pPr>
                    <w:pStyle w:val="62"/>
                    <w:keepNext w:val="0"/>
                    <w:keepLines w:val="0"/>
                    <w:pageBreakBefore w:val="0"/>
                    <w:widowControl w:val="0"/>
                    <w:kinsoku/>
                    <w:wordWrap/>
                    <w:overflowPunct/>
                    <w:topLinePunct w:val="0"/>
                    <w:autoSpaceDE/>
                    <w:autoSpaceDN/>
                    <w:bidi w:val="0"/>
                    <w:adjustRightInd w:val="0"/>
                    <w:snapToGrid w:val="0"/>
                    <w:spacing w:after="0" w:line="240" w:lineRule="auto"/>
                    <w:ind w:leftChars="0" w:left="0" w:firstLineChars="0" w:firstLine="0"/>
                    <w:textAlignment w:val="auto"/>
                    <w:rPr>
                      <w:rFonts w:cs="Times New Roman" w:hint="eastAsia"/>
                      <w:bCs/>
                      <w:color w:val="auto"/>
                      <w:kern w:val="0"/>
                      <w:sz w:val="21"/>
                      <w:szCs w:val="21"/>
                      <w:lang w:val="en-US" w:eastAsia="zh-CN" w:bidi="ar-SA"/>
                      <w:highlight w:val="none"/>
                    </w:rPr>
                  </w:pPr>
                  <w:r>
                    <w:rPr>
                      <w:rFonts w:cs="Times New Roman" w:hint="eastAsia"/>
                      <w:bCs/>
                      <w:color w:val="auto"/>
                      <w:kern w:val="0"/>
                      <w:sz w:val="21"/>
                      <w:szCs w:val="21"/>
                      <w:lang w:val="en-US" w:eastAsia="zh-CN" w:bidi="ar-SA"/>
                      <w:highlight w:val="none"/>
                    </w:rPr>
                    <w:t>产污环节</w:t>
                  </w:r>
                </w:p>
              </w:tc>
              <w:tc>
                <w:tcPr>
                  <w:tcW w:w="606" w:type="pct"/>
                  <w:tcMar>
                    <w:left w:w="0" w:type="dxa"/>
                    <w:right w:w="0" w:type="dxa"/>
                  </w:tcMar>
                  <w:vAlign w:val="center"/>
                </w:tcPr>
                <w:p>
                  <w:pPr>
                    <w:pStyle w:val="62"/>
                    <w:keepNext w:val="0"/>
                    <w:keepLines w:val="0"/>
                    <w:pageBreakBefore w:val="0"/>
                    <w:widowControl w:val="0"/>
                    <w:kinsoku/>
                    <w:wordWrap/>
                    <w:overflowPunct/>
                    <w:topLinePunct w:val="0"/>
                    <w:autoSpaceDE/>
                    <w:autoSpaceDN/>
                    <w:bidi w:val="0"/>
                    <w:adjustRightInd w:val="0"/>
                    <w:snapToGrid w:val="0"/>
                    <w:spacing w:after="0" w:line="240" w:lineRule="auto"/>
                    <w:ind w:leftChars="0" w:left="0" w:firstLineChars="0" w:firstLine="0"/>
                    <w:textAlignment w:val="auto"/>
                    <w:rPr>
                      <w:rFonts w:cs="Times New Roman" w:hint="eastAsia"/>
                      <w:bCs/>
                      <w:color w:val="auto"/>
                      <w:kern w:val="0"/>
                      <w:sz w:val="21"/>
                      <w:szCs w:val="21"/>
                      <w:lang w:val="en-US" w:eastAsia="zh-CN" w:bidi="ar-SA"/>
                      <w:highlight w:val="none"/>
                    </w:rPr>
                  </w:pPr>
                  <w:r>
                    <w:rPr>
                      <w:rFonts w:cs="Times New Roman" w:hint="eastAsia"/>
                      <w:bCs/>
                      <w:color w:val="auto"/>
                      <w:kern w:val="0"/>
                      <w:sz w:val="21"/>
                      <w:szCs w:val="21"/>
                      <w:lang w:val="en-US" w:eastAsia="zh-CN" w:bidi="ar-SA"/>
                      <w:highlight w:val="none"/>
                    </w:rPr>
                    <w:t>污染物名称</w:t>
                  </w:r>
                </w:p>
              </w:tc>
              <w:tc>
                <w:tcPr>
                  <w:tcW w:w="1096" w:type="pct"/>
                  <w:tcMar>
                    <w:left w:w="0" w:type="dxa"/>
                    <w:right w:w="0" w:type="dxa"/>
                  </w:tcMar>
                  <w:vAlign w:val="center"/>
                </w:tcPr>
                <w:p>
                  <w:pPr>
                    <w:pStyle w:val="62"/>
                    <w:keepNext w:val="0"/>
                    <w:keepLines w:val="0"/>
                    <w:pageBreakBefore w:val="0"/>
                    <w:widowControl w:val="0"/>
                    <w:kinsoku/>
                    <w:wordWrap/>
                    <w:overflowPunct/>
                    <w:topLinePunct w:val="0"/>
                    <w:autoSpaceDE/>
                    <w:autoSpaceDN/>
                    <w:bidi w:val="0"/>
                    <w:adjustRightInd w:val="0"/>
                    <w:snapToGrid w:val="0"/>
                    <w:spacing w:after="0" w:line="240" w:lineRule="auto"/>
                    <w:ind w:leftChars="0" w:left="0" w:firstLineChars="0" w:firstLine="0"/>
                    <w:textAlignment w:val="auto"/>
                    <w:rPr>
                      <w:rFonts w:cs="Times New Roman" w:hint="eastAsia"/>
                      <w:bCs/>
                      <w:color w:val="auto"/>
                      <w:kern w:val="0"/>
                      <w:sz w:val="21"/>
                      <w:szCs w:val="21"/>
                      <w:lang w:val="en-US" w:eastAsia="zh-CN" w:bidi="ar-SA"/>
                      <w:highlight w:val="none"/>
                    </w:rPr>
                  </w:pPr>
                  <w:r>
                    <w:rPr>
                      <w:rFonts w:cs="Times New Roman" w:hint="eastAsia"/>
                      <w:bCs/>
                      <w:color w:val="auto"/>
                      <w:kern w:val="0"/>
                      <w:sz w:val="21"/>
                      <w:szCs w:val="21"/>
                      <w:lang w:val="en-US" w:eastAsia="zh-CN" w:bidi="ar-SA"/>
                      <w:highlight w:val="none"/>
                    </w:rPr>
                    <w:t>产生浓度及排放量</w:t>
                  </w:r>
                </w:p>
              </w:tc>
              <w:tc>
                <w:tcPr>
                  <w:tcW w:w="645" w:type="pct"/>
                  <w:tcMar>
                    <w:left w:w="0" w:type="dxa"/>
                    <w:right w:w="0" w:type="dxa"/>
                  </w:tcMar>
                  <w:vAlign w:val="center"/>
                </w:tcPr>
                <w:p>
                  <w:pPr>
                    <w:pStyle w:val="62"/>
                    <w:keepNext w:val="0"/>
                    <w:keepLines w:val="0"/>
                    <w:pageBreakBefore w:val="0"/>
                    <w:widowControl w:val="0"/>
                    <w:kinsoku/>
                    <w:wordWrap/>
                    <w:overflowPunct/>
                    <w:topLinePunct w:val="0"/>
                    <w:autoSpaceDE/>
                    <w:autoSpaceDN/>
                    <w:bidi w:val="0"/>
                    <w:adjustRightInd w:val="0"/>
                    <w:snapToGrid w:val="0"/>
                    <w:spacing w:after="0" w:line="240" w:lineRule="auto"/>
                    <w:ind w:leftChars="0" w:left="0" w:firstLineChars="0" w:firstLine="0"/>
                    <w:textAlignment w:val="auto"/>
                    <w:rPr>
                      <w:rFonts w:cs="Times New Roman" w:hint="eastAsia"/>
                      <w:bCs/>
                      <w:color w:val="auto"/>
                      <w:kern w:val="0"/>
                      <w:sz w:val="21"/>
                      <w:szCs w:val="21"/>
                      <w:lang w:val="en-US" w:eastAsia="zh-CN" w:bidi="ar-SA"/>
                      <w:highlight w:val="none"/>
                    </w:rPr>
                  </w:pPr>
                  <w:r>
                    <w:rPr>
                      <w:rFonts w:cs="Times New Roman" w:hint="eastAsia"/>
                      <w:bCs/>
                      <w:color w:val="auto"/>
                      <w:kern w:val="0"/>
                      <w:sz w:val="21"/>
                      <w:szCs w:val="21"/>
                      <w:lang w:val="en-US" w:eastAsia="zh-CN" w:bidi="ar-SA"/>
                      <w:highlight w:val="none"/>
                    </w:rPr>
                    <w:t>治理措施</w:t>
                  </w:r>
                </w:p>
              </w:tc>
              <w:tc>
                <w:tcPr>
                  <w:tcW w:w="726" w:type="pct"/>
                  <w:tcMar>
                    <w:left w:w="0" w:type="dxa"/>
                    <w:right w:w="0" w:type="dxa"/>
                  </w:tcMar>
                  <w:vAlign w:val="center"/>
                </w:tcPr>
                <w:p>
                  <w:pPr>
                    <w:pStyle w:val="62"/>
                    <w:keepNext w:val="0"/>
                    <w:keepLines w:val="0"/>
                    <w:pageBreakBefore w:val="0"/>
                    <w:widowControl w:val="0"/>
                    <w:kinsoku/>
                    <w:wordWrap/>
                    <w:overflowPunct/>
                    <w:topLinePunct w:val="0"/>
                    <w:autoSpaceDE/>
                    <w:autoSpaceDN/>
                    <w:bidi w:val="0"/>
                    <w:adjustRightInd w:val="0"/>
                    <w:snapToGrid w:val="0"/>
                    <w:spacing w:after="0" w:line="240" w:lineRule="auto"/>
                    <w:ind w:leftChars="0" w:left="0" w:firstLineChars="0" w:firstLine="0"/>
                    <w:textAlignment w:val="auto"/>
                    <w:rPr>
                      <w:rFonts w:cs="Times New Roman" w:hint="eastAsia"/>
                      <w:bCs/>
                      <w:color w:val="auto"/>
                      <w:kern w:val="0"/>
                      <w:sz w:val="21"/>
                      <w:szCs w:val="21"/>
                      <w:lang w:val="en-US" w:eastAsia="zh-CN" w:bidi="ar-SA"/>
                      <w:highlight w:val="none"/>
                    </w:rPr>
                  </w:pPr>
                  <w:r>
                    <w:rPr>
                      <w:rFonts w:cs="Times New Roman" w:hint="eastAsia"/>
                      <w:bCs/>
                      <w:color w:val="auto"/>
                      <w:kern w:val="0"/>
                      <w:sz w:val="21"/>
                      <w:szCs w:val="21"/>
                      <w:lang w:val="en-US" w:eastAsia="zh-CN" w:bidi="ar-SA"/>
                      <w:highlight w:val="none"/>
                    </w:rPr>
                    <w:t>排放浓度及排放量</w:t>
                  </w:r>
                </w:p>
              </w:tc>
              <w:tc>
                <w:tcPr>
                  <w:tcW w:w="528" w:type="pct"/>
                  <w:tcMar>
                    <w:left w:w="0" w:type="dxa"/>
                    <w:right w:w="0" w:type="dxa"/>
                  </w:tcMar>
                  <w:vAlign w:val="center"/>
                </w:tcPr>
                <w:p>
                  <w:pPr>
                    <w:pStyle w:val="62"/>
                    <w:keepNext w:val="0"/>
                    <w:keepLines w:val="0"/>
                    <w:pageBreakBefore w:val="0"/>
                    <w:widowControl w:val="0"/>
                    <w:kinsoku/>
                    <w:wordWrap/>
                    <w:overflowPunct/>
                    <w:topLinePunct w:val="0"/>
                    <w:autoSpaceDE/>
                    <w:autoSpaceDN/>
                    <w:bidi w:val="0"/>
                    <w:adjustRightInd w:val="0"/>
                    <w:snapToGrid w:val="0"/>
                    <w:spacing w:after="0" w:line="240" w:lineRule="auto"/>
                    <w:ind w:leftChars="0" w:left="0" w:firstLineChars="0" w:firstLine="0"/>
                    <w:textAlignment w:val="auto"/>
                    <w:rPr>
                      <w:rFonts w:cs="Times New Roman" w:hint="eastAsia"/>
                      <w:bCs/>
                      <w:color w:val="auto"/>
                      <w:kern w:val="0"/>
                      <w:sz w:val="21"/>
                      <w:szCs w:val="21"/>
                      <w:lang w:val="en-US" w:eastAsia="zh-CN" w:bidi="ar-SA"/>
                      <w:highlight w:val="none"/>
                    </w:rPr>
                  </w:pPr>
                  <w:r>
                    <w:rPr>
                      <w:rFonts w:cs="Times New Roman" w:hint="eastAsia"/>
                      <w:bCs/>
                      <w:color w:val="auto"/>
                      <w:kern w:val="0"/>
                      <w:sz w:val="21"/>
                      <w:szCs w:val="21"/>
                      <w:lang w:val="en-US" w:eastAsia="zh-CN" w:bidi="ar-SA"/>
                      <w:highlight w:val="none"/>
                    </w:rPr>
                    <w:t>排放方式</w:t>
                  </w:r>
                </w:p>
              </w:tc>
              <w:tc>
                <w:tcPr>
                  <w:tcW w:w="572" w:type="pct"/>
                  <w:tcMar>
                    <w:left w:w="0" w:type="dxa"/>
                    <w:right w:w="0" w:type="dxa"/>
                  </w:tcMar>
                  <w:vAlign w:val="center"/>
                </w:tcPr>
                <w:p>
                  <w:pPr>
                    <w:pStyle w:val="62"/>
                    <w:keepNext w:val="0"/>
                    <w:keepLines w:val="0"/>
                    <w:pageBreakBefore w:val="0"/>
                    <w:widowControl w:val="0"/>
                    <w:kinsoku/>
                    <w:wordWrap/>
                    <w:overflowPunct/>
                    <w:topLinePunct w:val="0"/>
                    <w:autoSpaceDE/>
                    <w:autoSpaceDN/>
                    <w:bidi w:val="0"/>
                    <w:adjustRightInd w:val="0"/>
                    <w:snapToGrid w:val="0"/>
                    <w:spacing w:after="0" w:line="240" w:lineRule="auto"/>
                    <w:ind w:leftChars="0" w:left="0" w:firstLineChars="0" w:firstLine="0"/>
                    <w:textAlignment w:val="auto"/>
                    <w:rPr>
                      <w:rFonts w:cs="Times New Roman" w:hint="eastAsia"/>
                      <w:bCs/>
                      <w:color w:val="auto"/>
                      <w:kern w:val="0"/>
                      <w:sz w:val="21"/>
                      <w:szCs w:val="21"/>
                      <w:lang w:val="en-US" w:eastAsia="zh-CN" w:bidi="ar-SA"/>
                      <w:highlight w:val="none"/>
                    </w:rPr>
                  </w:pPr>
                  <w:r>
                    <w:rPr>
                      <w:rFonts w:cs="Times New Roman" w:hint="eastAsia"/>
                      <w:bCs/>
                      <w:color w:val="auto"/>
                      <w:kern w:val="0"/>
                      <w:sz w:val="21"/>
                      <w:szCs w:val="21"/>
                      <w:lang w:val="en-US" w:eastAsia="zh-CN" w:bidi="ar-SA"/>
                      <w:highlight w:val="none"/>
                    </w:rPr>
                    <w:t>排放去向</w:t>
                  </w:r>
                </w:p>
              </w:tc>
              <w:tc>
                <w:tcPr>
                  <w:tcW w:w="518" w:type="pct"/>
                  <w:tcMar>
                    <w:left w:w="0" w:type="dxa"/>
                    <w:right w:w="0" w:type="dxa"/>
                  </w:tcMar>
                  <w:vAlign w:val="center"/>
                </w:tcPr>
                <w:p>
                  <w:pPr>
                    <w:pStyle w:val="62"/>
                    <w:keepNext w:val="0"/>
                    <w:keepLines w:val="0"/>
                    <w:pageBreakBefore w:val="0"/>
                    <w:widowControl w:val="0"/>
                    <w:kinsoku/>
                    <w:wordWrap/>
                    <w:overflowPunct/>
                    <w:topLinePunct w:val="0"/>
                    <w:autoSpaceDE/>
                    <w:autoSpaceDN/>
                    <w:bidi w:val="0"/>
                    <w:adjustRightInd w:val="0"/>
                    <w:snapToGrid w:val="0"/>
                    <w:spacing w:after="0" w:line="240" w:lineRule="auto"/>
                    <w:ind w:leftChars="0" w:left="0" w:firstLineChars="0" w:firstLine="0"/>
                    <w:textAlignment w:val="auto"/>
                    <w:rPr>
                      <w:rFonts w:cs="Times New Roman" w:hint="eastAsia"/>
                      <w:bCs/>
                      <w:color w:val="auto"/>
                      <w:kern w:val="0"/>
                      <w:sz w:val="21"/>
                      <w:szCs w:val="21"/>
                      <w:lang w:val="en-US" w:eastAsia="zh-CN" w:bidi="ar-SA"/>
                      <w:highlight w:val="none"/>
                    </w:rPr>
                  </w:pPr>
                  <w:r>
                    <w:rPr>
                      <w:rFonts w:cs="Times New Roman" w:hint="eastAsia"/>
                      <w:bCs/>
                      <w:color w:val="auto"/>
                      <w:kern w:val="0"/>
                      <w:sz w:val="21"/>
                      <w:szCs w:val="21"/>
                      <w:lang w:val="en-US" w:eastAsia="zh-CN" w:bidi="ar-SA"/>
                      <w:highlight w:val="none"/>
                    </w:rPr>
                    <w:t>排放规律</w:t>
                  </w:r>
                </w:p>
              </w:tc>
            </w:tr>
            <w:tr>
              <w:trPr>
                <w:trHeight w:val="369"/>
              </w:trPr>
              <w:tc>
                <w:tcPr>
                  <w:tcW w:w="305" w:type="pct"/>
                  <w:vMerge w:val="restart"/>
                  <w:tcMar>
                    <w:left w:w="0" w:type="dxa"/>
                    <w:right w:w="0" w:type="dxa"/>
                  </w:tcMar>
                  <w:vAlign w:val="center"/>
                </w:tcPr>
                <w:p>
                  <w:pPr>
                    <w:pStyle w:val="62"/>
                    <w:keepNext w:val="0"/>
                    <w:keepLines w:val="0"/>
                    <w:pageBreakBefore w:val="0"/>
                    <w:widowControl w:val="0"/>
                    <w:kinsoku/>
                    <w:wordWrap/>
                    <w:overflowPunct/>
                    <w:topLinePunct w:val="0"/>
                    <w:autoSpaceDE/>
                    <w:autoSpaceDN/>
                    <w:bidi w:val="0"/>
                    <w:adjustRightInd w:val="0"/>
                    <w:snapToGrid w:val="0"/>
                    <w:spacing w:after="0" w:line="240" w:lineRule="auto"/>
                    <w:ind w:leftChars="0" w:left="0" w:firstLineChars="0" w:firstLine="0"/>
                    <w:textAlignment w:val="auto"/>
                    <w:rPr>
                      <w:rFonts w:cs="Times New Roman" w:hint="eastAsia"/>
                      <w:bCs/>
                      <w:color w:val="auto"/>
                      <w:kern w:val="0"/>
                      <w:sz w:val="21"/>
                      <w:szCs w:val="21"/>
                      <w:lang w:val="en-US" w:eastAsia="zh-CN" w:bidi="ar-SA"/>
                      <w:highlight w:val="none"/>
                    </w:rPr>
                  </w:pPr>
                  <w:r>
                    <w:rPr>
                      <w:rFonts w:cs="Times New Roman" w:hint="eastAsia"/>
                      <w:bCs/>
                      <w:color w:val="auto"/>
                      <w:kern w:val="0"/>
                      <w:sz w:val="21"/>
                      <w:szCs w:val="21"/>
                      <w:lang w:val="en-US" w:eastAsia="zh-CN" w:bidi="ar-SA"/>
                      <w:highlight w:val="none"/>
                    </w:rPr>
                    <w:t>职工生活污水</w:t>
                  </w:r>
                </w:p>
              </w:tc>
              <w:tc>
                <w:tcPr>
                  <w:tcW w:w="606" w:type="pct"/>
                  <w:tcMar>
                    <w:left w:w="0" w:type="dxa"/>
                    <w:right w:w="0" w:type="dxa"/>
                  </w:tcMar>
                  <w:vAlign w:val="center"/>
                </w:tcPr>
                <w:p>
                  <w:pPr>
                    <w:pStyle w:val="62"/>
                    <w:keepNext w:val="0"/>
                    <w:keepLines w:val="0"/>
                    <w:pageBreakBefore w:val="0"/>
                    <w:widowControl w:val="0"/>
                    <w:kinsoku/>
                    <w:wordWrap/>
                    <w:overflowPunct/>
                    <w:topLinePunct w:val="0"/>
                    <w:autoSpaceDE/>
                    <w:autoSpaceDN/>
                    <w:bidi w:val="0"/>
                    <w:adjustRightInd w:val="0"/>
                    <w:snapToGrid w:val="0"/>
                    <w:spacing w:after="0" w:line="240" w:lineRule="auto"/>
                    <w:ind w:leftChars="0" w:left="0" w:firstLineChars="0" w:firstLine="0"/>
                    <w:textAlignment w:val="auto"/>
                    <w:rPr>
                      <w:rFonts w:cs="Times New Roman" w:hint="eastAsia"/>
                      <w:bCs/>
                      <w:color w:val="auto"/>
                      <w:kern w:val="0"/>
                      <w:sz w:val="21"/>
                      <w:szCs w:val="21"/>
                      <w:lang w:val="en-US" w:eastAsia="zh-CN" w:bidi="ar-SA"/>
                      <w:highlight w:val="none"/>
                    </w:rPr>
                  </w:pPr>
                  <w:r>
                    <w:rPr>
                      <w:rFonts w:cs="Times New Roman" w:hint="eastAsia"/>
                      <w:bCs/>
                      <w:color w:val="auto"/>
                      <w:kern w:val="0"/>
                      <w:sz w:val="21"/>
                      <w:szCs w:val="21"/>
                      <w:lang w:val="en-US" w:eastAsia="zh-CN" w:bidi="ar-SA"/>
                      <w:highlight w:val="none"/>
                    </w:rPr>
                    <w:t>COD</w:t>
                  </w:r>
                </w:p>
              </w:tc>
              <w:tc>
                <w:tcPr>
                  <w:tcW w:w="1096" w:type="pct"/>
                  <w:tcMar>
                    <w:left w:w="0" w:type="dxa"/>
                    <w:right w:w="0" w:type="dxa"/>
                  </w:tcMar>
                  <w:vAlign w:val="center"/>
                </w:tcPr>
                <w:p>
                  <w:pPr>
                    <w:pStyle w:val="62"/>
                    <w:keepNext w:val="0"/>
                    <w:keepLines w:val="0"/>
                    <w:pageBreakBefore w:val="0"/>
                    <w:widowControl w:val="0"/>
                    <w:kinsoku/>
                    <w:wordWrap/>
                    <w:overflowPunct/>
                    <w:topLinePunct w:val="0"/>
                    <w:autoSpaceDE/>
                    <w:autoSpaceDN/>
                    <w:bidi w:val="0"/>
                    <w:adjustRightInd w:val="0"/>
                    <w:snapToGrid w:val="0"/>
                    <w:spacing w:after="0" w:line="240" w:lineRule="auto"/>
                    <w:ind w:leftChars="0" w:left="0" w:firstLineChars="0" w:firstLine="0"/>
                    <w:textAlignment w:val="auto"/>
                    <w:rPr>
                      <w:rFonts w:cs="Times New Roman"/>
                      <w:bCs/>
                      <w:color w:val="auto"/>
                      <w:kern w:val="0"/>
                      <w:sz w:val="21"/>
                      <w:szCs w:val="21"/>
                      <w:lang w:val="en-US" w:eastAsia="zh-CN" w:bidi="ar-SA"/>
                      <w:highlight w:val="none"/>
                    </w:rPr>
                  </w:pPr>
                  <w:r>
                    <w:rPr>
                      <w:rFonts w:cs="Times New Roman"/>
                      <w:bCs/>
                      <w:color w:val="auto"/>
                      <w:kern w:val="0"/>
                      <w:sz w:val="21"/>
                      <w:szCs w:val="21"/>
                      <w:lang w:val="en-US" w:eastAsia="zh-CN" w:bidi="ar-SA"/>
                      <w:highlight w:val="none"/>
                    </w:rPr>
                    <w:t>300mg/L，</w:t>
                  </w:r>
                  <w:r>
                    <w:rPr>
                      <w:rFonts w:cs="Times New Roman" w:hint="eastAsia"/>
                      <w:bCs/>
                      <w:color w:val="auto"/>
                      <w:kern w:val="0"/>
                      <w:sz w:val="21"/>
                      <w:szCs w:val="21"/>
                      <w:lang w:val="en-US" w:eastAsia="zh-CN" w:bidi="ar-SA"/>
                      <w:highlight w:val="none"/>
                    </w:rPr>
                    <w:t>0.032</w:t>
                  </w:r>
                  <w:r>
                    <w:rPr>
                      <w:rFonts w:cs="Times New Roman"/>
                      <w:bCs/>
                      <w:color w:val="auto"/>
                      <w:kern w:val="0"/>
                      <w:sz w:val="21"/>
                      <w:szCs w:val="21"/>
                      <w:lang w:val="en-US" w:eastAsia="zh-CN" w:bidi="ar-SA"/>
                      <w:highlight w:val="none"/>
                    </w:rPr>
                    <w:t>t/a</w:t>
                  </w:r>
                </w:p>
              </w:tc>
              <w:tc>
                <w:tcPr>
                  <w:tcW w:w="645" w:type="pct"/>
                  <w:vMerge w:val="restart"/>
                  <w:tcMar>
                    <w:left w:w="0" w:type="dxa"/>
                    <w:right w:w="0" w:type="dxa"/>
                  </w:tcMar>
                  <w:vAlign w:val="center"/>
                </w:tcPr>
                <w:p>
                  <w:pPr>
                    <w:pStyle w:val="62"/>
                    <w:keepNext w:val="0"/>
                    <w:keepLines w:val="0"/>
                    <w:pageBreakBefore w:val="0"/>
                    <w:widowControl w:val="0"/>
                    <w:kinsoku/>
                    <w:wordWrap/>
                    <w:overflowPunct/>
                    <w:topLinePunct w:val="0"/>
                    <w:autoSpaceDE/>
                    <w:autoSpaceDN/>
                    <w:bidi w:val="0"/>
                    <w:adjustRightInd w:val="0"/>
                    <w:snapToGrid w:val="0"/>
                    <w:spacing w:after="0" w:line="240" w:lineRule="auto"/>
                    <w:ind w:leftChars="0" w:left="0" w:firstLineChars="0" w:firstLine="0"/>
                    <w:textAlignment w:val="auto"/>
                    <w:rPr>
                      <w:rFonts w:cs="Times New Roman" w:hint="eastAsia"/>
                      <w:bCs/>
                      <w:color w:val="auto"/>
                      <w:kern w:val="0"/>
                      <w:sz w:val="21"/>
                      <w:szCs w:val="21"/>
                      <w:lang w:val="en-US" w:eastAsia="zh-CN" w:bidi="ar-SA"/>
                      <w:highlight w:val="none"/>
                    </w:rPr>
                  </w:pPr>
                  <w:r>
                    <w:rPr>
                      <w:rFonts w:cs="Times New Roman" w:hint="eastAsia"/>
                      <w:bCs/>
                      <w:color w:val="auto"/>
                      <w:kern w:val="0"/>
                      <w:sz w:val="21"/>
                      <w:szCs w:val="21"/>
                      <w:lang w:val="en-US" w:eastAsia="zh-CN" w:bidi="ar-SA"/>
                      <w:highlight w:val="none"/>
                    </w:rPr>
                    <w:t>化粪池</w:t>
                  </w:r>
                </w:p>
                <w:p>
                  <w:pPr>
                    <w:pStyle w:val="62"/>
                    <w:keepNext w:val="0"/>
                    <w:keepLines w:val="0"/>
                    <w:pageBreakBefore w:val="0"/>
                    <w:widowControl w:val="0"/>
                    <w:kinsoku/>
                    <w:wordWrap/>
                    <w:overflowPunct/>
                    <w:topLinePunct w:val="0"/>
                    <w:autoSpaceDE/>
                    <w:autoSpaceDN/>
                    <w:bidi w:val="0"/>
                    <w:adjustRightInd w:val="0"/>
                    <w:snapToGrid w:val="0"/>
                    <w:spacing w:after="0" w:line="240" w:lineRule="auto"/>
                    <w:ind w:leftChars="0" w:left="0" w:firstLineChars="0" w:firstLine="0"/>
                    <w:textAlignment w:val="auto"/>
                    <w:rPr>
                      <w:rFonts w:cs="Times New Roman"/>
                      <w:bCs/>
                      <w:color w:val="auto"/>
                      <w:kern w:val="0"/>
                      <w:sz w:val="21"/>
                      <w:szCs w:val="21"/>
                      <w:lang w:val="en-US" w:eastAsia="zh-CN" w:bidi="ar-SA"/>
                      <w:highlight w:val="none"/>
                    </w:rPr>
                  </w:pPr>
                  <w:r>
                    <w:rPr>
                      <w:rFonts w:cs="Times New Roman" w:hint="eastAsia"/>
                      <w:bCs/>
                      <w:color w:val="auto"/>
                      <w:kern w:val="0"/>
                      <w:sz w:val="21"/>
                      <w:szCs w:val="21"/>
                      <w:lang w:val="en-US" w:eastAsia="zh-CN" w:bidi="ar-SA"/>
                      <w:highlight w:val="none"/>
                    </w:rPr>
                    <w:t>（依托）</w:t>
                  </w:r>
                </w:p>
              </w:tc>
              <w:tc>
                <w:tcPr>
                  <w:tcW w:w="726" w:type="pct"/>
                  <w:tcMar>
                    <w:left w:w="0" w:type="dxa"/>
                    <w:right w:w="0" w:type="dxa"/>
                  </w:tcMar>
                  <w:vAlign w:val="center"/>
                </w:tcPr>
                <w:p>
                  <w:pPr>
                    <w:pStyle w:val="62"/>
                    <w:keepNext w:val="0"/>
                    <w:keepLines w:val="0"/>
                    <w:pageBreakBefore w:val="0"/>
                    <w:widowControl w:val="0"/>
                    <w:kinsoku/>
                    <w:wordWrap/>
                    <w:overflowPunct/>
                    <w:topLinePunct w:val="0"/>
                    <w:autoSpaceDE/>
                    <w:autoSpaceDN/>
                    <w:bidi w:val="0"/>
                    <w:adjustRightInd w:val="0"/>
                    <w:snapToGrid w:val="0"/>
                    <w:spacing w:after="0" w:line="240" w:lineRule="auto"/>
                    <w:ind w:leftChars="0" w:left="0" w:firstLineChars="0" w:firstLine="0"/>
                    <w:textAlignment w:val="auto"/>
                    <w:rPr>
                      <w:rFonts w:cs="Times New Roman" w:hint="eastAsia"/>
                      <w:bCs/>
                      <w:color w:val="auto"/>
                      <w:kern w:val="0"/>
                      <w:sz w:val="21"/>
                      <w:szCs w:val="21"/>
                      <w:lang w:val="en-US" w:eastAsia="zh-CN" w:bidi="ar-SA"/>
                      <w:highlight w:val="none"/>
                    </w:rPr>
                  </w:pPr>
                  <w:r>
                    <w:rPr>
                      <w:rFonts w:cs="Times New Roman" w:hint="eastAsia"/>
                      <w:bCs/>
                      <w:color w:val="auto"/>
                      <w:kern w:val="0"/>
                      <w:sz w:val="21"/>
                      <w:szCs w:val="21"/>
                      <w:lang w:val="en-US" w:eastAsia="zh-CN" w:bidi="ar-SA"/>
                      <w:highlight w:val="none"/>
                    </w:rPr>
                    <w:t>/</w:t>
                  </w:r>
                </w:p>
              </w:tc>
              <w:tc>
                <w:tcPr>
                  <w:tcW w:w="528" w:type="pct"/>
                  <w:vMerge w:val="restart"/>
                  <w:tcMar>
                    <w:left w:w="0" w:type="dxa"/>
                    <w:right w:w="0" w:type="dxa"/>
                  </w:tcMar>
                  <w:vAlign w:val="center"/>
                </w:tcPr>
                <w:p>
                  <w:pPr>
                    <w:pStyle w:val="62"/>
                    <w:keepNext w:val="0"/>
                    <w:keepLines w:val="0"/>
                    <w:pageBreakBefore w:val="0"/>
                    <w:widowControl w:val="0"/>
                    <w:kinsoku/>
                    <w:wordWrap/>
                    <w:overflowPunct/>
                    <w:topLinePunct w:val="0"/>
                    <w:autoSpaceDE/>
                    <w:autoSpaceDN/>
                    <w:bidi w:val="0"/>
                    <w:adjustRightInd w:val="0"/>
                    <w:snapToGrid w:val="0"/>
                    <w:spacing w:after="0" w:line="240" w:lineRule="auto"/>
                    <w:ind w:leftChars="0" w:left="0" w:firstLineChars="0" w:firstLine="0"/>
                    <w:textAlignment w:val="auto"/>
                    <w:rPr>
                      <w:rFonts w:cs="Times New Roman" w:hint="eastAsia"/>
                      <w:bCs/>
                      <w:color w:val="auto"/>
                      <w:kern w:val="0"/>
                      <w:sz w:val="21"/>
                      <w:szCs w:val="21"/>
                      <w:lang w:val="en-US" w:eastAsia="zh-CN" w:bidi="ar-SA"/>
                      <w:highlight w:val="none"/>
                    </w:rPr>
                  </w:pPr>
                  <w:r>
                    <w:rPr>
                      <w:rFonts w:cs="Times New Roman" w:hint="eastAsia"/>
                      <w:bCs/>
                      <w:color w:val="auto"/>
                      <w:kern w:val="0"/>
                      <w:sz w:val="21"/>
                      <w:szCs w:val="21"/>
                      <w:lang w:val="en-US" w:eastAsia="zh-CN" w:bidi="ar-SA"/>
                      <w:highlight w:val="none"/>
                    </w:rPr>
                    <w:t>不外排</w:t>
                  </w:r>
                </w:p>
              </w:tc>
              <w:tc>
                <w:tcPr>
                  <w:tcW w:w="572" w:type="pct"/>
                  <w:vMerge w:val="restart"/>
                  <w:tcMar>
                    <w:left w:w="0" w:type="dxa"/>
                    <w:right w:w="0" w:type="dxa"/>
                  </w:tcMar>
                  <w:vAlign w:val="center"/>
                </w:tcPr>
                <w:p>
                  <w:pPr>
                    <w:pStyle w:val="62"/>
                    <w:keepNext w:val="0"/>
                    <w:keepLines w:val="0"/>
                    <w:pageBreakBefore w:val="0"/>
                    <w:widowControl w:val="0"/>
                    <w:kinsoku/>
                    <w:wordWrap/>
                    <w:overflowPunct/>
                    <w:topLinePunct w:val="0"/>
                    <w:autoSpaceDE/>
                    <w:autoSpaceDN/>
                    <w:bidi w:val="0"/>
                    <w:adjustRightInd w:val="0"/>
                    <w:snapToGrid w:val="0"/>
                    <w:spacing w:after="0" w:line="240" w:lineRule="auto"/>
                    <w:ind w:leftChars="0" w:left="0" w:firstLineChars="0" w:firstLine="0"/>
                    <w:textAlignment w:val="auto"/>
                    <w:rPr>
                      <w:rFonts w:cs="Times New Roman" w:hint="eastAsia"/>
                      <w:bCs/>
                      <w:color w:val="auto"/>
                      <w:kern w:val="0"/>
                      <w:sz w:val="21"/>
                      <w:szCs w:val="21"/>
                      <w:lang w:val="en-US" w:eastAsia="zh-CN" w:bidi="ar-SA"/>
                      <w:highlight w:val="none"/>
                    </w:rPr>
                  </w:pPr>
                  <w:r>
                    <w:rPr>
                      <w:rFonts w:cs="Times New Roman" w:hint="eastAsia"/>
                      <w:bCs/>
                      <w:color w:val="auto"/>
                      <w:kern w:val="0"/>
                      <w:sz w:val="21"/>
                      <w:szCs w:val="21"/>
                      <w:lang w:val="en-US" w:eastAsia="zh-CN" w:bidi="ar-SA"/>
                      <w:highlight w:val="none"/>
                    </w:rPr>
                    <w:t>/</w:t>
                  </w:r>
                </w:p>
              </w:tc>
              <w:tc>
                <w:tcPr>
                  <w:tcW w:w="518" w:type="pct"/>
                  <w:vMerge w:val="restart"/>
                  <w:tcMar>
                    <w:left w:w="0" w:type="dxa"/>
                    <w:right w:w="0" w:type="dxa"/>
                  </w:tcMar>
                  <w:vAlign w:val="center"/>
                </w:tcPr>
                <w:p>
                  <w:pPr>
                    <w:pStyle w:val="62"/>
                    <w:keepNext w:val="0"/>
                    <w:keepLines w:val="0"/>
                    <w:pageBreakBefore w:val="0"/>
                    <w:widowControl w:val="0"/>
                    <w:kinsoku/>
                    <w:wordWrap/>
                    <w:overflowPunct/>
                    <w:topLinePunct w:val="0"/>
                    <w:autoSpaceDE/>
                    <w:autoSpaceDN/>
                    <w:bidi w:val="0"/>
                    <w:adjustRightInd w:val="0"/>
                    <w:snapToGrid w:val="0"/>
                    <w:spacing w:after="0" w:line="240" w:lineRule="auto"/>
                    <w:ind w:leftChars="0" w:left="0" w:firstLineChars="0" w:firstLine="0"/>
                    <w:textAlignment w:val="auto"/>
                    <w:rPr>
                      <w:rFonts w:cs="Times New Roman" w:hint="eastAsia"/>
                      <w:bCs/>
                      <w:color w:val="auto"/>
                      <w:kern w:val="0"/>
                      <w:sz w:val="21"/>
                      <w:szCs w:val="21"/>
                      <w:lang w:val="en-US" w:eastAsia="zh-CN" w:bidi="ar-SA"/>
                      <w:highlight w:val="none"/>
                    </w:rPr>
                  </w:pPr>
                  <w:r>
                    <w:rPr>
                      <w:rFonts w:cs="Times New Roman" w:hint="eastAsia"/>
                      <w:bCs/>
                      <w:color w:val="auto"/>
                      <w:kern w:val="0"/>
                      <w:sz w:val="21"/>
                      <w:szCs w:val="21"/>
                      <w:lang w:val="en-US" w:eastAsia="zh-CN" w:bidi="ar-SA"/>
                      <w:highlight w:val="none"/>
                    </w:rPr>
                    <w:t>间断排放，排放期间流量稳定</w:t>
                  </w:r>
                </w:p>
              </w:tc>
            </w:tr>
            <w:tr>
              <w:trPr>
                <w:trHeight w:val="369"/>
              </w:trPr>
              <w:tc>
                <w:tcPr>
                  <w:tcW w:w="305" w:type="pct"/>
                  <w:vMerge/>
                  <w:tcMar>
                    <w:left w:w="0" w:type="dxa"/>
                    <w:right w:w="0" w:type="dxa"/>
                  </w:tcMar>
                  <w:vAlign w:val="center"/>
                </w:tcPr>
                <w:p/>
              </w:tc>
              <w:tc>
                <w:tcPr>
                  <w:tcW w:w="606" w:type="pct"/>
                  <w:tcMar>
                    <w:left w:w="0" w:type="dxa"/>
                    <w:right w:w="0" w:type="dxa"/>
                  </w:tcMar>
                  <w:vAlign w:val="center"/>
                </w:tcPr>
                <w:p>
                  <w:pPr>
                    <w:pStyle w:val="62"/>
                    <w:keepNext w:val="0"/>
                    <w:keepLines w:val="0"/>
                    <w:pageBreakBefore w:val="0"/>
                    <w:widowControl w:val="0"/>
                    <w:kinsoku/>
                    <w:wordWrap/>
                    <w:overflowPunct/>
                    <w:topLinePunct w:val="0"/>
                    <w:autoSpaceDE/>
                    <w:autoSpaceDN/>
                    <w:bidi w:val="0"/>
                    <w:adjustRightInd w:val="0"/>
                    <w:snapToGrid w:val="0"/>
                    <w:spacing w:after="0" w:line="240" w:lineRule="auto"/>
                    <w:ind w:leftChars="0" w:left="0" w:firstLineChars="0" w:firstLine="0"/>
                    <w:textAlignment w:val="auto"/>
                    <w:rPr>
                      <w:rFonts w:cs="Times New Roman" w:hint="eastAsia"/>
                      <w:bCs/>
                      <w:color w:val="auto"/>
                      <w:kern w:val="0"/>
                      <w:sz w:val="21"/>
                      <w:szCs w:val="21"/>
                      <w:lang w:val="en-US" w:eastAsia="zh-CN" w:bidi="ar-SA"/>
                      <w:highlight w:val="none"/>
                    </w:rPr>
                  </w:pPr>
                  <w:r>
                    <w:rPr>
                      <w:rFonts w:cs="Times New Roman" w:hint="eastAsia"/>
                      <w:bCs/>
                      <w:color w:val="auto"/>
                      <w:kern w:val="0"/>
                      <w:sz w:val="21"/>
                      <w:szCs w:val="21"/>
                      <w:lang w:val="en-US" w:eastAsia="zh-CN" w:bidi="ar-SA"/>
                      <w:highlight w:val="none"/>
                    </w:rPr>
                    <w:t>BOD</w:t>
                  </w:r>
                  <w:r>
                    <w:rPr>
                      <w:rFonts w:cs="Times New Roman" w:hint="eastAsia"/>
                      <w:bCs/>
                      <w:color w:val="auto"/>
                      <w:kern w:val="0"/>
                      <w:sz w:val="21"/>
                      <w:szCs w:val="21"/>
                      <w:vertAlign w:val="subscript"/>
                      <w:lang w:val="en-US" w:eastAsia="zh-CN" w:bidi="ar-SA"/>
                      <w:highlight w:val="none"/>
                    </w:rPr>
                    <w:t>5</w:t>
                  </w:r>
                </w:p>
              </w:tc>
              <w:tc>
                <w:tcPr>
                  <w:tcW w:w="1096" w:type="pct"/>
                  <w:tcMar>
                    <w:left w:w="0" w:type="dxa"/>
                    <w:right w:w="0" w:type="dxa"/>
                  </w:tcMar>
                  <w:vAlign w:val="center"/>
                </w:tcPr>
                <w:p>
                  <w:pPr>
                    <w:pStyle w:val="62"/>
                    <w:keepNext w:val="0"/>
                    <w:keepLines w:val="0"/>
                    <w:pageBreakBefore w:val="0"/>
                    <w:widowControl w:val="0"/>
                    <w:kinsoku/>
                    <w:wordWrap/>
                    <w:overflowPunct/>
                    <w:topLinePunct w:val="0"/>
                    <w:autoSpaceDE/>
                    <w:autoSpaceDN/>
                    <w:bidi w:val="0"/>
                    <w:adjustRightInd w:val="0"/>
                    <w:snapToGrid w:val="0"/>
                    <w:spacing w:after="0" w:line="240" w:lineRule="auto"/>
                    <w:ind w:leftChars="0" w:left="0" w:firstLineChars="0" w:firstLine="0"/>
                    <w:textAlignment w:val="auto"/>
                    <w:rPr>
                      <w:rFonts w:cs="Times New Roman"/>
                      <w:bCs/>
                      <w:color w:val="auto"/>
                      <w:kern w:val="0"/>
                      <w:sz w:val="21"/>
                      <w:szCs w:val="21"/>
                      <w:lang w:val="en-US" w:eastAsia="zh-CN" w:bidi="ar-SA"/>
                      <w:highlight w:val="none"/>
                    </w:rPr>
                  </w:pPr>
                  <w:r>
                    <w:rPr>
                      <w:rFonts w:cs="Times New Roman"/>
                      <w:bCs/>
                      <w:color w:val="auto"/>
                      <w:kern w:val="0"/>
                      <w:sz w:val="21"/>
                      <w:szCs w:val="21"/>
                      <w:lang w:val="en-US" w:eastAsia="zh-CN" w:bidi="ar-SA"/>
                      <w:highlight w:val="none"/>
                    </w:rPr>
                    <w:t>250mg/L，</w:t>
                  </w:r>
                  <w:r>
                    <w:rPr>
                      <w:rFonts w:cs="Times New Roman" w:hint="eastAsia"/>
                      <w:bCs/>
                      <w:color w:val="auto"/>
                      <w:kern w:val="0"/>
                      <w:sz w:val="21"/>
                      <w:szCs w:val="21"/>
                      <w:lang w:val="en-US" w:eastAsia="zh-CN" w:bidi="ar-SA"/>
                      <w:highlight w:val="none"/>
                    </w:rPr>
                    <w:t>0.026</w:t>
                  </w:r>
                  <w:r>
                    <w:rPr>
                      <w:rFonts w:cs="Times New Roman"/>
                      <w:bCs/>
                      <w:color w:val="auto"/>
                      <w:kern w:val="0"/>
                      <w:sz w:val="21"/>
                      <w:szCs w:val="21"/>
                      <w:lang w:val="en-US" w:eastAsia="zh-CN" w:bidi="ar-SA"/>
                      <w:highlight w:val="none"/>
                    </w:rPr>
                    <w:t>t/a</w:t>
                  </w:r>
                </w:p>
              </w:tc>
              <w:tc>
                <w:tcPr>
                  <w:tcW w:w="645" w:type="pct"/>
                  <w:vMerge/>
                  <w:tcMar>
                    <w:left w:w="0" w:type="dxa"/>
                    <w:right w:w="0" w:type="dxa"/>
                  </w:tcMar>
                  <w:vAlign w:val="center"/>
                </w:tcPr>
                <w:p/>
              </w:tc>
              <w:tc>
                <w:tcPr>
                  <w:tcW w:w="726" w:type="pct"/>
                  <w:tcMar>
                    <w:left w:w="0" w:type="dxa"/>
                    <w:right w:w="0" w:type="dxa"/>
                  </w:tcMar>
                  <w:vAlign w:val="center"/>
                </w:tcPr>
                <w:p>
                  <w:pPr>
                    <w:pStyle w:val="62"/>
                    <w:keepNext w:val="0"/>
                    <w:keepLines w:val="0"/>
                    <w:pageBreakBefore w:val="0"/>
                    <w:widowControl w:val="0"/>
                    <w:kinsoku/>
                    <w:wordWrap/>
                    <w:overflowPunct/>
                    <w:topLinePunct w:val="0"/>
                    <w:autoSpaceDE/>
                    <w:autoSpaceDN/>
                    <w:bidi w:val="0"/>
                    <w:adjustRightInd w:val="0"/>
                    <w:snapToGrid w:val="0"/>
                    <w:spacing w:after="0" w:line="240" w:lineRule="auto"/>
                    <w:ind w:leftChars="0" w:left="0" w:firstLineChars="0" w:firstLine="0"/>
                    <w:textAlignment w:val="auto"/>
                    <w:rPr>
                      <w:rFonts w:cs="Times New Roman" w:hint="eastAsia"/>
                      <w:bCs/>
                      <w:color w:val="auto"/>
                      <w:kern w:val="0"/>
                      <w:sz w:val="21"/>
                      <w:szCs w:val="21"/>
                      <w:lang w:val="en-US" w:eastAsia="zh-CN" w:bidi="ar-SA"/>
                      <w:highlight w:val="none"/>
                    </w:rPr>
                  </w:pPr>
                  <w:r>
                    <w:rPr>
                      <w:rFonts w:cs="Times New Roman" w:hint="eastAsia"/>
                      <w:bCs/>
                      <w:color w:val="auto"/>
                      <w:kern w:val="0"/>
                      <w:sz w:val="21"/>
                      <w:szCs w:val="21"/>
                      <w:lang w:val="en-US" w:eastAsia="zh-CN" w:bidi="ar-SA"/>
                      <w:highlight w:val="none"/>
                    </w:rPr>
                    <w:t>/</w:t>
                  </w:r>
                </w:p>
              </w:tc>
              <w:tc>
                <w:tcPr>
                  <w:tcW w:w="528" w:type="pct"/>
                  <w:vMerge/>
                  <w:tcMar>
                    <w:left w:w="0" w:type="dxa"/>
                    <w:right w:w="0" w:type="dxa"/>
                  </w:tcMar>
                  <w:vAlign w:val="center"/>
                </w:tcPr>
                <w:p/>
              </w:tc>
              <w:tc>
                <w:tcPr>
                  <w:tcW w:w="572" w:type="pct"/>
                  <w:vMerge/>
                  <w:tcMar>
                    <w:left w:w="0" w:type="dxa"/>
                    <w:right w:w="0" w:type="dxa"/>
                  </w:tcMar>
                  <w:vAlign w:val="center"/>
                </w:tcPr>
                <w:p/>
              </w:tc>
              <w:tc>
                <w:tcPr>
                  <w:tcW w:w="518" w:type="pct"/>
                  <w:vMerge/>
                  <w:tcMar>
                    <w:left w:w="0" w:type="dxa"/>
                    <w:right w:w="0" w:type="dxa"/>
                  </w:tcMar>
                  <w:vAlign w:val="center"/>
                </w:tcPr>
                <w:p/>
              </w:tc>
            </w:tr>
            <w:tr>
              <w:trPr>
                <w:trHeight w:val="369"/>
              </w:trPr>
              <w:tc>
                <w:tcPr>
                  <w:tcW w:w="305" w:type="pct"/>
                  <w:vMerge/>
                  <w:tcMar>
                    <w:left w:w="0" w:type="dxa"/>
                    <w:right w:w="0" w:type="dxa"/>
                  </w:tcMar>
                  <w:vAlign w:val="center"/>
                </w:tcPr>
                <w:p/>
              </w:tc>
              <w:tc>
                <w:tcPr>
                  <w:tcW w:w="606" w:type="pct"/>
                  <w:tcMar>
                    <w:left w:w="0" w:type="dxa"/>
                    <w:right w:w="0" w:type="dxa"/>
                  </w:tcMar>
                  <w:vAlign w:val="center"/>
                </w:tcPr>
                <w:p>
                  <w:pPr>
                    <w:pStyle w:val="62"/>
                    <w:keepNext w:val="0"/>
                    <w:keepLines w:val="0"/>
                    <w:pageBreakBefore w:val="0"/>
                    <w:widowControl w:val="0"/>
                    <w:kinsoku/>
                    <w:wordWrap/>
                    <w:overflowPunct/>
                    <w:topLinePunct w:val="0"/>
                    <w:autoSpaceDE/>
                    <w:autoSpaceDN/>
                    <w:bidi w:val="0"/>
                    <w:adjustRightInd w:val="0"/>
                    <w:snapToGrid w:val="0"/>
                    <w:spacing w:after="0" w:line="240" w:lineRule="auto"/>
                    <w:ind w:leftChars="0" w:left="0" w:firstLineChars="0" w:firstLine="0"/>
                    <w:textAlignment w:val="auto"/>
                    <w:rPr>
                      <w:rFonts w:cs="Times New Roman" w:hint="eastAsia"/>
                      <w:bCs/>
                      <w:color w:val="auto"/>
                      <w:kern w:val="0"/>
                      <w:sz w:val="21"/>
                      <w:szCs w:val="21"/>
                      <w:lang w:val="en-US" w:eastAsia="zh-CN" w:bidi="ar-SA"/>
                      <w:highlight w:val="none"/>
                    </w:rPr>
                  </w:pPr>
                  <w:r>
                    <w:rPr>
                      <w:rFonts w:cs="Times New Roman" w:hint="eastAsia"/>
                      <w:bCs/>
                      <w:color w:val="auto"/>
                      <w:kern w:val="0"/>
                      <w:sz w:val="21"/>
                      <w:szCs w:val="21"/>
                      <w:lang w:val="en-US" w:eastAsia="zh-CN" w:bidi="ar-SA"/>
                      <w:highlight w:val="none"/>
                    </w:rPr>
                    <w:t>SS</w:t>
                  </w:r>
                </w:p>
              </w:tc>
              <w:tc>
                <w:tcPr>
                  <w:tcW w:w="1096" w:type="pct"/>
                  <w:tcMar>
                    <w:left w:w="0" w:type="dxa"/>
                    <w:right w:w="0" w:type="dxa"/>
                  </w:tcMar>
                  <w:vAlign w:val="center"/>
                </w:tcPr>
                <w:p>
                  <w:pPr>
                    <w:pStyle w:val="62"/>
                    <w:keepNext w:val="0"/>
                    <w:keepLines w:val="0"/>
                    <w:pageBreakBefore w:val="0"/>
                    <w:widowControl w:val="0"/>
                    <w:kinsoku/>
                    <w:wordWrap/>
                    <w:overflowPunct/>
                    <w:topLinePunct w:val="0"/>
                    <w:autoSpaceDE/>
                    <w:autoSpaceDN/>
                    <w:bidi w:val="0"/>
                    <w:adjustRightInd w:val="0"/>
                    <w:snapToGrid w:val="0"/>
                    <w:spacing w:after="0" w:line="240" w:lineRule="auto"/>
                    <w:ind w:leftChars="0" w:left="0" w:firstLineChars="0" w:firstLine="0"/>
                    <w:textAlignment w:val="auto"/>
                    <w:rPr>
                      <w:rFonts w:cs="Times New Roman"/>
                      <w:bCs/>
                      <w:color w:val="auto"/>
                      <w:kern w:val="0"/>
                      <w:sz w:val="21"/>
                      <w:szCs w:val="21"/>
                      <w:lang w:val="en-US" w:eastAsia="zh-CN" w:bidi="ar-SA"/>
                      <w:highlight w:val="none"/>
                    </w:rPr>
                  </w:pPr>
                  <w:r>
                    <w:rPr>
                      <w:rFonts w:cs="Times New Roman"/>
                      <w:bCs/>
                      <w:color w:val="auto"/>
                      <w:kern w:val="0"/>
                      <w:sz w:val="21"/>
                      <w:szCs w:val="21"/>
                      <w:lang w:val="en-US" w:eastAsia="zh-CN" w:bidi="ar-SA"/>
                      <w:highlight w:val="none"/>
                    </w:rPr>
                    <w:t>200mg/L，</w:t>
                  </w:r>
                  <w:r>
                    <w:rPr>
                      <w:rFonts w:cs="Times New Roman" w:hint="eastAsia"/>
                      <w:bCs/>
                      <w:color w:val="auto"/>
                      <w:kern w:val="0"/>
                      <w:sz w:val="21"/>
                      <w:szCs w:val="21"/>
                      <w:lang w:val="en-US" w:eastAsia="zh-CN" w:bidi="ar-SA"/>
                      <w:highlight w:val="none"/>
                    </w:rPr>
                    <w:t>0.021</w:t>
                  </w:r>
                  <w:r>
                    <w:rPr>
                      <w:rFonts w:cs="Times New Roman"/>
                      <w:bCs/>
                      <w:color w:val="auto"/>
                      <w:kern w:val="0"/>
                      <w:sz w:val="21"/>
                      <w:szCs w:val="21"/>
                      <w:lang w:val="en-US" w:eastAsia="zh-CN" w:bidi="ar-SA"/>
                      <w:highlight w:val="none"/>
                    </w:rPr>
                    <w:t>/a</w:t>
                  </w:r>
                </w:p>
              </w:tc>
              <w:tc>
                <w:tcPr>
                  <w:tcW w:w="645" w:type="pct"/>
                  <w:vMerge/>
                  <w:tcMar>
                    <w:left w:w="0" w:type="dxa"/>
                    <w:right w:w="0" w:type="dxa"/>
                  </w:tcMar>
                  <w:vAlign w:val="center"/>
                </w:tcPr>
                <w:p/>
              </w:tc>
              <w:tc>
                <w:tcPr>
                  <w:tcW w:w="726" w:type="pct"/>
                  <w:tcMar>
                    <w:left w:w="0" w:type="dxa"/>
                    <w:right w:w="0" w:type="dxa"/>
                  </w:tcMar>
                  <w:vAlign w:val="center"/>
                </w:tcPr>
                <w:p>
                  <w:pPr>
                    <w:pStyle w:val="62"/>
                    <w:keepNext w:val="0"/>
                    <w:keepLines w:val="0"/>
                    <w:pageBreakBefore w:val="0"/>
                    <w:widowControl w:val="0"/>
                    <w:kinsoku/>
                    <w:wordWrap/>
                    <w:overflowPunct/>
                    <w:topLinePunct w:val="0"/>
                    <w:autoSpaceDE/>
                    <w:autoSpaceDN/>
                    <w:bidi w:val="0"/>
                    <w:adjustRightInd w:val="0"/>
                    <w:snapToGrid w:val="0"/>
                    <w:spacing w:after="0" w:line="240" w:lineRule="auto"/>
                    <w:ind w:leftChars="0" w:left="0" w:firstLineChars="0" w:firstLine="0"/>
                    <w:textAlignment w:val="auto"/>
                    <w:rPr>
                      <w:rFonts w:cs="Times New Roman" w:hint="eastAsia"/>
                      <w:bCs/>
                      <w:color w:val="auto"/>
                      <w:kern w:val="0"/>
                      <w:sz w:val="21"/>
                      <w:szCs w:val="21"/>
                      <w:lang w:val="en-US" w:eastAsia="zh-CN" w:bidi="ar-SA"/>
                      <w:highlight w:val="none"/>
                    </w:rPr>
                  </w:pPr>
                  <w:r>
                    <w:rPr>
                      <w:rFonts w:cs="Times New Roman" w:hint="eastAsia"/>
                      <w:bCs/>
                      <w:color w:val="auto"/>
                      <w:kern w:val="0"/>
                      <w:sz w:val="21"/>
                      <w:szCs w:val="21"/>
                      <w:lang w:val="en-US" w:eastAsia="zh-CN" w:bidi="ar-SA"/>
                      <w:highlight w:val="none"/>
                    </w:rPr>
                    <w:t>/</w:t>
                  </w:r>
                </w:p>
              </w:tc>
              <w:tc>
                <w:tcPr>
                  <w:tcW w:w="528" w:type="pct"/>
                  <w:vMerge/>
                  <w:tcMar>
                    <w:left w:w="0" w:type="dxa"/>
                    <w:right w:w="0" w:type="dxa"/>
                  </w:tcMar>
                  <w:vAlign w:val="center"/>
                </w:tcPr>
                <w:p/>
              </w:tc>
              <w:tc>
                <w:tcPr>
                  <w:tcW w:w="572" w:type="pct"/>
                  <w:vMerge/>
                  <w:tcMar>
                    <w:left w:w="0" w:type="dxa"/>
                    <w:right w:w="0" w:type="dxa"/>
                  </w:tcMar>
                  <w:vAlign w:val="center"/>
                </w:tcPr>
                <w:p/>
              </w:tc>
              <w:tc>
                <w:tcPr>
                  <w:tcW w:w="518" w:type="pct"/>
                  <w:vMerge/>
                  <w:tcMar>
                    <w:left w:w="0" w:type="dxa"/>
                    <w:right w:w="0" w:type="dxa"/>
                  </w:tcMar>
                  <w:vAlign w:val="center"/>
                </w:tcPr>
                <w:p/>
              </w:tc>
            </w:tr>
            <w:tr>
              <w:trPr>
                <w:trHeight w:val="369"/>
              </w:trPr>
              <w:tc>
                <w:tcPr>
                  <w:tcW w:w="305" w:type="pct"/>
                  <w:vMerge/>
                  <w:tcMar>
                    <w:left w:w="0" w:type="dxa"/>
                    <w:right w:w="0" w:type="dxa"/>
                  </w:tcMar>
                  <w:vAlign w:val="center"/>
                </w:tcPr>
                <w:p/>
              </w:tc>
              <w:tc>
                <w:tcPr>
                  <w:tcW w:w="606" w:type="pct"/>
                  <w:tcMar>
                    <w:left w:w="0" w:type="dxa"/>
                    <w:right w:w="0" w:type="dxa"/>
                  </w:tcMar>
                  <w:vAlign w:val="center"/>
                </w:tcPr>
                <w:p>
                  <w:pPr>
                    <w:pStyle w:val="62"/>
                    <w:keepNext w:val="0"/>
                    <w:keepLines w:val="0"/>
                    <w:pageBreakBefore w:val="0"/>
                    <w:widowControl w:val="0"/>
                    <w:kinsoku/>
                    <w:wordWrap/>
                    <w:overflowPunct/>
                    <w:topLinePunct w:val="0"/>
                    <w:autoSpaceDE/>
                    <w:autoSpaceDN/>
                    <w:bidi w:val="0"/>
                    <w:adjustRightInd w:val="0"/>
                    <w:snapToGrid w:val="0"/>
                    <w:spacing w:after="0" w:line="240" w:lineRule="auto"/>
                    <w:ind w:leftChars="0" w:left="0" w:firstLineChars="0" w:firstLine="0"/>
                    <w:textAlignment w:val="auto"/>
                    <w:rPr>
                      <w:rFonts w:cs="Times New Roman" w:hint="eastAsia"/>
                      <w:bCs/>
                      <w:color w:val="auto"/>
                      <w:kern w:val="0"/>
                      <w:sz w:val="21"/>
                      <w:szCs w:val="21"/>
                      <w:lang w:val="en-US" w:eastAsia="zh-CN" w:bidi="ar-SA"/>
                      <w:highlight w:val="none"/>
                    </w:rPr>
                  </w:pPr>
                  <w:r>
                    <w:rPr>
                      <w:rFonts w:cs="Times New Roman" w:hint="eastAsia"/>
                      <w:bCs/>
                      <w:color w:val="auto"/>
                      <w:kern w:val="0"/>
                      <w:sz w:val="21"/>
                      <w:szCs w:val="21"/>
                      <w:lang w:val="en-US" w:eastAsia="zh-CN" w:bidi="ar-SA"/>
                      <w:highlight w:val="none"/>
                    </w:rPr>
                    <w:t>氨氮</w:t>
                  </w:r>
                </w:p>
              </w:tc>
              <w:tc>
                <w:tcPr>
                  <w:tcW w:w="1096" w:type="pct"/>
                  <w:tcMar>
                    <w:left w:w="0" w:type="dxa"/>
                    <w:right w:w="0" w:type="dxa"/>
                  </w:tcMar>
                  <w:vAlign w:val="center"/>
                </w:tcPr>
                <w:p>
                  <w:pPr>
                    <w:pStyle w:val="62"/>
                    <w:keepNext w:val="0"/>
                    <w:keepLines w:val="0"/>
                    <w:pageBreakBefore w:val="0"/>
                    <w:widowControl w:val="0"/>
                    <w:kinsoku/>
                    <w:wordWrap/>
                    <w:overflowPunct/>
                    <w:topLinePunct w:val="0"/>
                    <w:autoSpaceDE/>
                    <w:autoSpaceDN/>
                    <w:bidi w:val="0"/>
                    <w:adjustRightInd w:val="0"/>
                    <w:snapToGrid w:val="0"/>
                    <w:spacing w:after="0" w:line="240" w:lineRule="auto"/>
                    <w:ind w:leftChars="0" w:left="0" w:firstLineChars="0" w:firstLine="0"/>
                    <w:textAlignment w:val="auto"/>
                    <w:rPr>
                      <w:rFonts w:cs="Times New Roman"/>
                      <w:bCs/>
                      <w:color w:val="auto"/>
                      <w:kern w:val="0"/>
                      <w:sz w:val="21"/>
                      <w:szCs w:val="21"/>
                      <w:lang w:val="en-US" w:eastAsia="zh-CN" w:bidi="ar-SA"/>
                      <w:highlight w:val="none"/>
                    </w:rPr>
                  </w:pPr>
                  <w:r>
                    <w:rPr>
                      <w:rFonts w:cs="Times New Roman"/>
                      <w:bCs/>
                      <w:color w:val="auto"/>
                      <w:kern w:val="0"/>
                      <w:sz w:val="21"/>
                      <w:szCs w:val="21"/>
                      <w:lang w:val="en-US" w:eastAsia="zh-CN" w:bidi="ar-SA"/>
                      <w:highlight w:val="none"/>
                    </w:rPr>
                    <w:t>25mg/L，</w:t>
                  </w:r>
                  <w:r>
                    <w:rPr>
                      <w:rFonts w:cs="Times New Roman" w:hint="eastAsia"/>
                      <w:bCs/>
                      <w:color w:val="auto"/>
                      <w:kern w:val="0"/>
                      <w:sz w:val="21"/>
                      <w:szCs w:val="21"/>
                      <w:lang w:val="en-US" w:eastAsia="zh-CN" w:bidi="ar-SA"/>
                      <w:highlight w:val="none"/>
                    </w:rPr>
                    <w:t>0.003</w:t>
                  </w:r>
                  <w:r>
                    <w:rPr>
                      <w:rFonts w:cs="Times New Roman"/>
                      <w:bCs/>
                      <w:color w:val="auto"/>
                      <w:kern w:val="0"/>
                      <w:sz w:val="21"/>
                      <w:szCs w:val="21"/>
                      <w:lang w:val="en-US" w:eastAsia="zh-CN" w:bidi="ar-SA"/>
                      <w:highlight w:val="none"/>
                    </w:rPr>
                    <w:t>t/a</w:t>
                  </w:r>
                </w:p>
              </w:tc>
              <w:tc>
                <w:tcPr>
                  <w:tcW w:w="645" w:type="pct"/>
                  <w:vMerge/>
                  <w:tcMar>
                    <w:left w:w="0" w:type="dxa"/>
                    <w:right w:w="0" w:type="dxa"/>
                  </w:tcMar>
                  <w:vAlign w:val="center"/>
                </w:tcPr>
                <w:p/>
              </w:tc>
              <w:tc>
                <w:tcPr>
                  <w:tcW w:w="726" w:type="pct"/>
                  <w:tcMar>
                    <w:left w:w="0" w:type="dxa"/>
                    <w:right w:w="0" w:type="dxa"/>
                  </w:tcMar>
                  <w:vAlign w:val="center"/>
                </w:tcPr>
                <w:p>
                  <w:pPr>
                    <w:pStyle w:val="62"/>
                    <w:keepNext w:val="0"/>
                    <w:keepLines w:val="0"/>
                    <w:pageBreakBefore w:val="0"/>
                    <w:widowControl w:val="0"/>
                    <w:kinsoku/>
                    <w:wordWrap/>
                    <w:overflowPunct/>
                    <w:topLinePunct w:val="0"/>
                    <w:autoSpaceDE/>
                    <w:autoSpaceDN/>
                    <w:bidi w:val="0"/>
                    <w:adjustRightInd w:val="0"/>
                    <w:snapToGrid w:val="0"/>
                    <w:spacing w:after="0" w:line="240" w:lineRule="auto"/>
                    <w:ind w:leftChars="0" w:left="0" w:firstLineChars="0" w:firstLine="0"/>
                    <w:textAlignment w:val="auto"/>
                    <w:rPr>
                      <w:rFonts w:cs="Times New Roman" w:hint="eastAsia"/>
                      <w:bCs/>
                      <w:color w:val="auto"/>
                      <w:kern w:val="0"/>
                      <w:sz w:val="21"/>
                      <w:szCs w:val="21"/>
                      <w:lang w:val="en-US" w:eastAsia="zh-CN" w:bidi="ar-SA"/>
                      <w:highlight w:val="none"/>
                    </w:rPr>
                  </w:pPr>
                  <w:r>
                    <w:rPr>
                      <w:rFonts w:cs="Times New Roman" w:hint="eastAsia"/>
                      <w:bCs/>
                      <w:color w:val="auto"/>
                      <w:kern w:val="0"/>
                      <w:sz w:val="21"/>
                      <w:szCs w:val="21"/>
                      <w:lang w:val="en-US" w:eastAsia="zh-CN" w:bidi="ar-SA"/>
                      <w:highlight w:val="none"/>
                    </w:rPr>
                    <w:t>/</w:t>
                  </w:r>
                </w:p>
              </w:tc>
              <w:tc>
                <w:tcPr>
                  <w:tcW w:w="528" w:type="pct"/>
                  <w:vMerge/>
                  <w:tcMar>
                    <w:left w:w="0" w:type="dxa"/>
                    <w:right w:w="0" w:type="dxa"/>
                  </w:tcMar>
                  <w:vAlign w:val="center"/>
                </w:tcPr>
                <w:p/>
              </w:tc>
              <w:tc>
                <w:tcPr>
                  <w:tcW w:w="572" w:type="pct"/>
                  <w:vMerge/>
                  <w:tcMar>
                    <w:left w:w="0" w:type="dxa"/>
                    <w:right w:w="0" w:type="dxa"/>
                  </w:tcMar>
                  <w:vAlign w:val="center"/>
                </w:tcPr>
                <w:p/>
              </w:tc>
              <w:tc>
                <w:tcPr>
                  <w:tcW w:w="518" w:type="pct"/>
                  <w:vMerge/>
                  <w:tcMar>
                    <w:left w:w="0" w:type="dxa"/>
                    <w:right w:w="0" w:type="dxa"/>
                  </w:tcMar>
                  <w:vAlign w:val="center"/>
                </w:tcPr>
                <w:p/>
              </w:tc>
            </w:tr>
          </w:tbl>
          <w:p>
            <w:pPr>
              <w:pStyle w:val="33"/>
              <w:keepNext w:val="0"/>
              <w:keepLines w:val="0"/>
              <w:pageBreakBefore w:val="0"/>
              <w:widowControl w:val="0"/>
              <w:kinsoku/>
              <w:wordWrap/>
              <w:overflowPunct/>
              <w:topLinePunct w:val="0"/>
              <w:autoSpaceDE/>
              <w:autoSpaceDN/>
              <w:bidi w:val="0"/>
              <w:adjustRightInd/>
              <w:snapToGrid/>
              <w:spacing w:afterAutospacing="0" w:line="460" w:lineRule="exact"/>
              <w:ind w:left="0" w:firstLineChars="200" w:firstLine="480"/>
              <w:jc w:val="both"/>
              <w:textAlignment w:val="auto"/>
              <w:rPr>
                <w:rFonts w:ascii="Times New Roman" w:eastAsia="宋体" w:cs="Times New Roman" w:hAnsi="Times New Roman" w:hint="eastAsia"/>
                <w:color w:val="auto"/>
                <w:kern w:val="2"/>
                <w:sz w:val="24"/>
                <w:szCs w:val="24"/>
                <w:vertAlign w:val="baseline"/>
                <w:lang w:val="en-US" w:eastAsia="zh-CN" w:bidi="ar-SA"/>
                <w:highlight w:val="none"/>
              </w:rPr>
            </w:pPr>
            <w:r>
              <w:rPr>
                <w:rFonts w:hint="eastAsia"/>
                <w:color w:val="auto"/>
                <w:sz w:val="24"/>
                <w:lang w:val="en-US" w:eastAsia="zh-CN"/>
                <w:highlight w:val="none"/>
              </w:rPr>
              <w:t>（2</w:t>
            </w:r>
            <w:r>
              <w:rPr>
                <w:rFonts w:hint="eastAsia"/>
                <w:color w:val="auto"/>
                <w:sz w:val="24"/>
                <w:lang w:eastAsia="zh-CN"/>
                <w:highlight w:val="none"/>
              </w:rPr>
              <w:t>）</w:t>
            </w:r>
            <w:r>
              <w:rPr>
                <w:rFonts w:ascii="Times New Roman" w:eastAsia="宋体" w:cs="Times New Roman" w:hAnsi="Times New Roman" w:hint="eastAsia"/>
                <w:color w:val="auto"/>
                <w:kern w:val="2"/>
                <w:sz w:val="24"/>
                <w:szCs w:val="24"/>
                <w:vertAlign w:val="baseline"/>
                <w:lang w:val="en-US" w:eastAsia="zh-CN" w:bidi="ar-SA"/>
                <w:highlight w:val="none"/>
              </w:rPr>
              <w:t>生活污水可行性分析</w:t>
            </w:r>
          </w:p>
          <w:p>
            <w:pPr>
              <w:keepNext w:val="0"/>
              <w:keepLines w:val="0"/>
              <w:pageBreakBefore w:val="0"/>
              <w:widowControl w:val="0"/>
              <w:kinsoku/>
              <w:wordWrap/>
              <w:overflowPunct/>
              <w:topLinePunct w:val="0"/>
              <w:autoSpaceDE/>
              <w:autoSpaceDN/>
              <w:bidi w:val="0"/>
              <w:adjustRightInd/>
              <w:snapToGrid/>
              <w:spacing w:line="460" w:lineRule="exact"/>
              <w:ind w:firstLineChars="200" w:firstLine="480"/>
              <w:textAlignment w:val="auto"/>
              <w:rPr>
                <w:rFonts w:ascii="Times New Roman" w:eastAsia="宋体" w:cs="Times New Roman" w:hAnsi="Times New Roman" w:hint="eastAsia"/>
                <w:color w:val="auto"/>
                <w:kern w:val="2"/>
                <w:sz w:val="24"/>
                <w:szCs w:val="24"/>
                <w:lang w:val="en-US" w:eastAsia="zh-CN" w:bidi="ar-SA"/>
                <w:highlight w:val="none"/>
              </w:rPr>
            </w:pPr>
            <w:r>
              <w:rPr>
                <w:rFonts w:ascii="Times New Roman" w:eastAsia="宋体" w:cs="Times New Roman" w:hAnsi="Times New Roman" w:hint="eastAsia"/>
                <w:color w:val="auto"/>
                <w:kern w:val="2"/>
                <w:sz w:val="24"/>
                <w:szCs w:val="24"/>
                <w:vertAlign w:val="baseline"/>
                <w:lang w:val="en-US" w:eastAsia="zh-CN" w:bidi="ar-SA"/>
                <w:highlight w:val="none"/>
              </w:rPr>
              <w:t>参</w:t>
            </w:r>
            <w:r>
              <w:rPr>
                <w:rFonts w:ascii="Times New Roman" w:eastAsia="宋体" w:cs="Times New Roman" w:hAnsi="Times New Roman" w:hint="eastAsia"/>
                <w:color w:val="auto"/>
                <w:kern w:val="2"/>
                <w:sz w:val="24"/>
                <w:szCs w:val="24"/>
                <w:lang w:val="en-US" w:eastAsia="zh-CN" w:bidi="ar-SA"/>
                <w:highlight w:val="none"/>
              </w:rPr>
              <w:t>照</w:t>
            </w:r>
            <w:r>
              <w:rPr>
                <w:rFonts w:hint="eastAsia"/>
                <w:color w:val="auto"/>
                <w:sz w:val="24"/>
                <w:lang w:eastAsia="zh-CN"/>
                <w:highlight w:val="none"/>
              </w:rPr>
              <w:t>《排污许可证申请与核发技术规范 总则》（HJ942-2018）《排污许可证申请与核发技术规范 工业固体废物和危险废物治理》（HJ 1033-2019）</w:t>
            </w:r>
            <w:r>
              <w:rPr>
                <w:rFonts w:ascii="Times New Roman" w:eastAsia="宋体" w:cs="Times New Roman" w:hAnsi="Times New Roman" w:hint="eastAsia"/>
                <w:color w:val="auto"/>
                <w:kern w:val="2"/>
                <w:sz w:val="24"/>
                <w:szCs w:val="24"/>
                <w:lang w:val="en-US" w:eastAsia="zh-CN" w:bidi="ar-SA"/>
                <w:highlight w:val="none"/>
              </w:rPr>
              <w:t>，项目生活污水采用的化粪池预处理，属于符合规范的可行性技术。因此，项目生活污水进行预处理是可行的。</w:t>
            </w:r>
          </w:p>
          <w:p>
            <w:pPr>
              <w:pStyle w:val="33"/>
              <w:keepNext w:val="0"/>
              <w:keepLines w:val="0"/>
              <w:pageBreakBefore w:val="0"/>
              <w:widowControl w:val="0"/>
              <w:kinsoku/>
              <w:wordWrap/>
              <w:overflowPunct/>
              <w:topLinePunct w:val="0"/>
              <w:autoSpaceDE/>
              <w:autoSpaceDN/>
              <w:bidi w:val="0"/>
              <w:adjustRightInd/>
              <w:snapToGrid/>
              <w:spacing w:afterAutospacing="0" w:line="460" w:lineRule="exact"/>
              <w:ind w:left="0" w:firstLineChars="200" w:firstLine="480"/>
              <w:jc w:val="both"/>
              <w:textAlignment w:val="auto"/>
              <w:rPr>
                <w:rFonts w:ascii="Times New Roman" w:eastAsia="宋体" w:cs="Times New Roman" w:hAnsi="Times New Roman" w:hint="eastAsia"/>
                <w:color w:val="auto"/>
                <w:kern w:val="2"/>
                <w:sz w:val="24"/>
                <w:szCs w:val="24"/>
                <w:vertAlign w:val="baseline"/>
                <w:lang w:val="en-US" w:eastAsia="zh-CN" w:bidi="ar-SA"/>
                <w:highlight w:val="none"/>
              </w:rPr>
            </w:pPr>
            <w:r>
              <w:rPr>
                <w:rFonts w:hint="eastAsia"/>
                <w:color w:val="auto"/>
                <w:sz w:val="24"/>
                <w:lang w:val="en-US" w:eastAsia="zh-CN"/>
                <w:highlight w:val="none"/>
              </w:rPr>
              <w:t>（3</w:t>
            </w:r>
            <w:r>
              <w:rPr>
                <w:rFonts w:hint="eastAsia"/>
                <w:color w:val="auto"/>
                <w:sz w:val="24"/>
                <w:lang w:eastAsia="zh-CN"/>
                <w:highlight w:val="none"/>
              </w:rPr>
              <w:t>）</w:t>
            </w:r>
            <w:r>
              <w:rPr>
                <w:rFonts w:cs="Times New Roman" w:hint="eastAsia"/>
                <w:color w:val="auto"/>
                <w:kern w:val="2"/>
                <w:sz w:val="24"/>
                <w:szCs w:val="24"/>
                <w:vertAlign w:val="baseline"/>
                <w:lang w:val="en-US" w:eastAsia="zh-CN" w:bidi="ar-SA"/>
                <w:highlight w:val="none"/>
              </w:rPr>
              <w:t>依托</w:t>
            </w:r>
            <w:r>
              <w:rPr>
                <w:rFonts w:ascii="Times New Roman" w:eastAsia="宋体" w:cs="Times New Roman" w:hAnsi="Times New Roman" w:hint="eastAsia"/>
                <w:color w:val="auto"/>
                <w:kern w:val="2"/>
                <w:sz w:val="24"/>
                <w:szCs w:val="24"/>
                <w:vertAlign w:val="baseline"/>
                <w:lang w:val="en-US" w:eastAsia="zh-CN" w:bidi="ar-SA"/>
                <w:highlight w:val="none"/>
              </w:rPr>
              <w:t>可行性分析</w:t>
            </w:r>
          </w:p>
          <w:p>
            <w:pPr>
              <w:keepNext w:val="0"/>
              <w:keepLines w:val="0"/>
              <w:pageBreakBefore w:val="0"/>
              <w:widowControl w:val="0"/>
              <w:kinsoku/>
              <w:wordWrap/>
              <w:overflowPunct/>
              <w:topLinePunct w:val="0"/>
              <w:autoSpaceDE/>
              <w:autoSpaceDN/>
              <w:bidi w:val="0"/>
              <w:adjustRightInd/>
              <w:snapToGrid/>
              <w:spacing w:line="460" w:lineRule="exact"/>
              <w:ind w:firstLineChars="200" w:firstLine="480"/>
              <w:textAlignment w:val="auto"/>
              <w:rPr>
                <w:color w:val="auto"/>
                <w:lang w:val="en-US" w:eastAsia="zh-CN"/>
              </w:rPr>
            </w:pPr>
            <w:r>
              <w:rPr>
                <w:rFonts w:cs="Times New Roman" w:hint="eastAsia"/>
                <w:color w:val="auto"/>
                <w:kern w:val="2"/>
                <w:sz w:val="24"/>
                <w:szCs w:val="24"/>
                <w:lang w:val="en-US" w:eastAsia="zh-CN" w:bidi="ar-SA"/>
                <w:highlight w:val="none"/>
              </w:rPr>
              <w:t>本项目为废铅蓄电池中转项目，贮存过程不产生废水。</w:t>
            </w:r>
            <w:r>
              <w:rPr>
                <w:rFonts w:cs="Times New Roman" w:hint="eastAsia"/>
                <w:color w:val="auto"/>
                <w:kern w:val="0"/>
                <w:sz w:val="24"/>
                <w:lang w:eastAsia="zh-CN"/>
                <w:highlight w:val="none"/>
              </w:rPr>
              <w:t>本项目碱液喷淋装置碱液循环使用，定期更换，废碱液交由有资质单位处置；生活污水依托河北泽豪环保新材料科技有限公司化粪池处理后，定期清掏，不外排</w:t>
            </w:r>
            <w:r>
              <w:rPr>
                <w:rFonts w:ascii="Times New Roman" w:eastAsia="宋体" w:cs="Times New Roman" w:hAnsi="Times New Roman" w:hint="eastAsia"/>
                <w:color w:val="auto"/>
                <w:kern w:val="2"/>
                <w:sz w:val="24"/>
                <w:szCs w:val="24"/>
                <w:lang w:val="en-US" w:eastAsia="zh-CN" w:bidi="ar-SA"/>
                <w:highlight w:val="none"/>
              </w:rPr>
              <w:t>。</w:t>
            </w:r>
            <w:r>
              <w:rPr>
                <w:rFonts w:cs="Times New Roman" w:hint="eastAsia"/>
                <w:color w:val="auto"/>
                <w:kern w:val="2"/>
                <w:sz w:val="24"/>
                <w:szCs w:val="24"/>
                <w:lang w:val="en-US" w:eastAsia="zh-CN" w:bidi="ar-SA"/>
                <w:highlight w:val="none"/>
              </w:rPr>
              <w:t>经调查，河北泽豪环保新材料科技有限公司无生产废水，仅涉及生活污水，厂区内设有化粪池，定期由专业机构进行清掏，厂区内无废水排放口。本项目租赁泽豪2间闲置的办公室，不新设盥洗、厕所等设施，本项目劳动定员仅6人，生活污水产生量为0.35m</w:t>
            </w:r>
            <w:r>
              <w:rPr>
                <w:rFonts w:cs="Times New Roman" w:hint="eastAsia"/>
                <w:color w:val="auto"/>
                <w:kern w:val="2"/>
                <w:sz w:val="24"/>
                <w:szCs w:val="24"/>
                <w:vertAlign w:val="superscript"/>
                <w:lang w:val="en-US" w:eastAsia="zh-CN" w:bidi="ar-SA"/>
                <w:highlight w:val="none"/>
              </w:rPr>
              <w:t>3</w:t>
            </w:r>
            <w:r>
              <w:rPr>
                <w:rFonts w:cs="Times New Roman" w:hint="eastAsia"/>
                <w:color w:val="auto"/>
                <w:kern w:val="2"/>
                <w:sz w:val="24"/>
                <w:szCs w:val="24"/>
                <w:lang w:val="en-US" w:eastAsia="zh-CN" w:bidi="ar-SA"/>
                <w:highlight w:val="none"/>
              </w:rPr>
              <w:t>/d，水量较少，水质相近，且因此依托河北泽豪环保新材料科技有限公司化粪池可行。</w:t>
            </w:r>
          </w:p>
          <w:p>
            <w:pPr>
              <w:keepNext w:val="0"/>
              <w:keepLines w:val="0"/>
              <w:pageBreakBefore w:val="0"/>
              <w:widowControl w:val="0"/>
              <w:kinsoku/>
              <w:wordWrap/>
              <w:overflowPunct/>
              <w:topLinePunct w:val="0"/>
              <w:autoSpaceDE/>
              <w:autoSpaceDN/>
              <w:bidi w:val="0"/>
              <w:spacing w:line="500" w:lineRule="exact"/>
              <w:ind w:firstLineChars="200" w:firstLine="480"/>
              <w:textAlignment w:val="auto"/>
              <w:rPr>
                <w:color w:val="auto"/>
                <w:sz w:val="24"/>
                <w:highlight w:val="none"/>
              </w:rPr>
            </w:pPr>
            <w:r>
              <w:rPr>
                <w:rFonts w:hint="eastAsia"/>
                <w:color w:val="auto"/>
                <w:sz w:val="24"/>
                <w:highlight w:val="none"/>
              </w:rPr>
              <w:t>综上，</w:t>
            </w:r>
            <w:r>
              <w:rPr>
                <w:color w:val="auto"/>
                <w:sz w:val="24"/>
                <w:highlight w:val="none"/>
              </w:rPr>
              <w:t>项目废水</w:t>
            </w:r>
            <w:r>
              <w:rPr>
                <w:rFonts w:hint="eastAsia"/>
                <w:color w:val="auto"/>
                <w:sz w:val="24"/>
                <w:highlight w:val="none"/>
              </w:rPr>
              <w:t>不直接</w:t>
            </w:r>
            <w:r>
              <w:rPr>
                <w:color w:val="auto"/>
                <w:sz w:val="24"/>
                <w:highlight w:val="none"/>
              </w:rPr>
              <w:t>排入地表水体，对地表水环境基本无影响。</w:t>
            </w:r>
          </w:p>
          <w:p>
            <w:pPr>
              <w:keepNext w:val="0"/>
              <w:keepLines w:val="0"/>
              <w:pageBreakBefore w:val="0"/>
              <w:widowControl w:val="0"/>
              <w:numPr>
                <w:ilvl w:val="0"/>
                <w:numId w:val="4"/>
              </w:numPr>
              <w:kinsoku/>
              <w:wordWrap/>
              <w:overflowPunct/>
              <w:topLinePunct w:val="0"/>
              <w:autoSpaceDE/>
              <w:autoSpaceDN/>
              <w:bidi w:val="0"/>
              <w:spacing w:line="460" w:lineRule="exact"/>
              <w:ind w:left="0" w:firstLineChars="200" w:firstLine="480"/>
              <w:textAlignment w:val="auto"/>
              <w:rPr>
                <w:rFonts w:hint="eastAsia"/>
                <w:b/>
                <w:bCs/>
                <w:color w:val="auto"/>
                <w:kern w:val="0"/>
                <w:sz w:val="24"/>
                <w:highlight w:val="none"/>
              </w:rPr>
            </w:pPr>
            <w:r>
              <w:rPr>
                <w:rFonts w:hint="eastAsia"/>
                <w:b/>
                <w:bCs/>
                <w:color w:val="auto"/>
                <w:kern w:val="0"/>
                <w:sz w:val="24"/>
                <w:highlight w:val="none"/>
              </w:rPr>
              <w:t>噪声</w:t>
            </w:r>
          </w:p>
          <w:p>
            <w:pPr>
              <w:keepNext w:val="0"/>
              <w:keepLines w:val="0"/>
              <w:pageBreakBefore w:val="0"/>
              <w:widowControl w:val="0"/>
              <w:kinsoku/>
              <w:wordWrap/>
              <w:overflowPunct/>
              <w:topLinePunct w:val="0"/>
              <w:autoSpaceDE/>
              <w:autoSpaceDN/>
              <w:bidi w:val="0"/>
              <w:adjustRightInd/>
              <w:snapToGrid/>
              <w:spacing w:line="460" w:lineRule="exact"/>
              <w:ind w:firstLineChars="200" w:firstLine="480"/>
              <w:textAlignment w:val="auto"/>
              <w:rPr>
                <w:rFonts w:hint="eastAsia"/>
                <w:color w:val="auto"/>
                <w:sz w:val="24"/>
                <w:highlight w:val="none"/>
              </w:rPr>
            </w:pPr>
            <w:r>
              <w:rPr>
                <w:rFonts w:hint="eastAsia"/>
                <w:color w:val="auto"/>
                <w:sz w:val="24"/>
                <w:highlight w:val="none"/>
              </w:rPr>
              <w:t>（1）主要噪声源源强及控制措施</w:t>
            </w:r>
          </w:p>
          <w:p>
            <w:pPr>
              <w:keepNext w:val="0"/>
              <w:keepLines w:val="0"/>
              <w:pageBreakBefore w:val="0"/>
              <w:widowControl w:val="0"/>
              <w:kinsoku/>
              <w:wordWrap/>
              <w:overflowPunct/>
              <w:topLinePunct w:val="0"/>
              <w:autoSpaceDE/>
              <w:autoSpaceDN/>
              <w:bidi w:val="0"/>
              <w:adjustRightInd/>
              <w:snapToGrid/>
              <w:spacing w:line="460" w:lineRule="exact"/>
              <w:ind w:firstLineChars="200" w:firstLine="480"/>
              <w:textAlignment w:val="auto"/>
              <w:rPr>
                <w:rFonts w:ascii="宋体" w:cs="宋体" w:hAnsi="宋体" w:hint="eastAsia"/>
                <w:color w:val="auto"/>
                <w:sz w:val="24"/>
                <w:highlight w:val="none"/>
              </w:rPr>
            </w:pPr>
            <w:r>
              <w:rPr>
                <w:rFonts w:ascii="宋体" w:cs="宋体" w:hAnsi="宋体" w:hint="eastAsia"/>
                <w:color w:val="auto"/>
                <w:sz w:val="24"/>
                <w:highlight w:val="none"/>
              </w:rPr>
              <w:t>本项目噪声主要来源于</w:t>
            </w:r>
            <w:r>
              <w:rPr>
                <w:rFonts w:ascii="宋体" w:cs="宋体" w:hAnsi="宋体" w:hint="eastAsia"/>
                <w:color w:val="auto"/>
                <w:sz w:val="24"/>
                <w:lang w:eastAsia="zh-CN"/>
                <w:highlight w:val="none"/>
              </w:rPr>
              <w:t>碱液喷淋装置风机、循环泵</w:t>
            </w:r>
            <w:r>
              <w:rPr>
                <w:rFonts w:ascii="宋体" w:cs="宋体" w:hAnsi="宋体" w:hint="eastAsia"/>
                <w:color w:val="auto"/>
                <w:sz w:val="24"/>
                <w:highlight w:val="none"/>
              </w:rPr>
              <w:t>设备噪声。噪声源强如下。</w:t>
            </w:r>
          </w:p>
          <w:p>
            <w:pPr>
              <w:keepNext w:val="0"/>
              <w:keepLines w:val="0"/>
              <w:pageBreakBefore w:val="0"/>
              <w:widowControl/>
              <w:kinsoku/>
              <w:wordWrap/>
              <w:overflowPunct/>
              <w:topLinePunct w:val="0"/>
              <w:autoSpaceDE/>
              <w:autoSpaceDN/>
              <w:bidi w:val="0"/>
              <w:adjustRightInd w:val="0"/>
              <w:snapToGrid w:val="0"/>
              <w:spacing w:line="460" w:lineRule="exact"/>
              <w:ind w:firstLineChars="200" w:firstLine="480"/>
              <w:jc w:val="center"/>
              <w:textAlignment w:val="auto"/>
              <w:rPr>
                <w:rFonts w:ascii="Times New Roman" w:eastAsia="宋体" w:cs="Times New Roman" w:hAnsi="Times New Roman" w:hint="eastAsia"/>
                <w:b/>
                <w:bCs w:val="0"/>
                <w:color w:val="auto"/>
                <w:kern w:val="0"/>
                <w:sz w:val="24"/>
                <w:szCs w:val="22"/>
                <w:lang w:val="en-GB" w:eastAsia="zh-CN"/>
                <w:highlight w:val="none"/>
              </w:rPr>
            </w:pPr>
            <w:r>
              <w:rPr>
                <w:rFonts w:ascii="Times New Roman" w:eastAsia="宋体" w:cs="Times New Roman" w:hAnsi="Times New Roman" w:hint="eastAsia"/>
                <w:b/>
                <w:bCs w:val="0"/>
                <w:color w:val="auto"/>
                <w:kern w:val="0"/>
                <w:sz w:val="24"/>
                <w:szCs w:val="22"/>
                <w:lang w:val="en-GB" w:eastAsia="zh-CN"/>
                <w:highlight w:val="none"/>
              </w:rPr>
              <w:t>表</w:t>
            </w:r>
            <w:r>
              <w:rPr>
                <w:rFonts w:ascii="Times New Roman" w:eastAsia="宋体" w:cs="Times New Roman" w:hAnsi="Times New Roman" w:hint="eastAsia"/>
                <w:b/>
                <w:bCs w:val="0"/>
                <w:color w:val="auto"/>
                <w:kern w:val="0"/>
                <w:sz w:val="24"/>
                <w:szCs w:val="22"/>
                <w:lang w:val="en-US" w:eastAsia="zh-CN"/>
                <w:highlight w:val="none"/>
              </w:rPr>
              <w:t>4-</w:t>
            </w:r>
            <w:r>
              <w:rPr>
                <w:rFonts w:cs="Times New Roman" w:hint="eastAsia"/>
                <w:b/>
                <w:bCs w:val="0"/>
                <w:color w:val="auto"/>
                <w:kern w:val="0"/>
                <w:sz w:val="24"/>
                <w:szCs w:val="22"/>
                <w:lang w:val="en-US" w:eastAsia="zh-CN"/>
                <w:highlight w:val="none"/>
              </w:rPr>
              <w:t>5</w:t>
            </w:r>
            <w:r>
              <w:rPr>
                <w:rFonts w:ascii="Times New Roman" w:eastAsia="宋体" w:cs="Times New Roman" w:hAnsi="Times New Roman" w:hint="eastAsia"/>
                <w:b/>
                <w:bCs w:val="0"/>
                <w:color w:val="auto"/>
                <w:kern w:val="0"/>
                <w:sz w:val="24"/>
                <w:szCs w:val="22"/>
                <w:lang w:val="en-GB" w:eastAsia="zh-CN"/>
                <w:highlight w:val="none"/>
              </w:rPr>
              <w:t xml:space="preserve">   工业企业噪声源强调查清单（室内声源）</w:t>
            </w:r>
          </w:p>
          <w:tbl>
            <w:tblPr>
              <w:jc w:val="center"/>
              <w:tblW w:w="4996" w:type="pct"/>
              <w:tblBorders>
                <w:top w:val="single" w:sz="12" w:space="0" w:color="auto"/>
                <w:left w:val="none" w:sz="0" w:space="0" w:color="auto"/>
                <w:bottom w:val="single" w:sz="12" w:space="0" w:color="auto"/>
                <w:right w:val="none" w:sz="0" w:space="0" w:color="auto"/>
                <w:insideH w:val="single" w:sz="6" w:space="0" w:color="auto"/>
                <w:insideV w:val="single" w:sz="6" w:space="0" w:color="auto"/>
              </w:tblBorders>
              <w:tblLayout w:type="fixed"/>
              <w:tblCellMar>
                <w:top w:w="0" w:type="dxa"/>
                <w:left w:w="108" w:type="dxa"/>
                <w:bottom w:w="0" w:type="dxa"/>
                <w:right w:w="108" w:type="dxa"/>
              </w:tblCellMar>
              <w:tblLook w:val="0600" w:firstRow="0" w:lastRow="0" w:firstColumn="0" w:lastColumn="0" w:noHBand="1" w:noVBand="1"/>
            </w:tblPr>
            <w:tblGrid>
              <w:gridCol w:w="423"/>
              <w:gridCol w:w="423"/>
              <w:gridCol w:w="423"/>
              <w:gridCol w:w="646"/>
              <w:gridCol w:w="839"/>
              <w:gridCol w:w="689"/>
              <w:gridCol w:w="687"/>
              <w:gridCol w:w="687"/>
              <w:gridCol w:w="532"/>
              <w:gridCol w:w="578"/>
              <w:gridCol w:w="837"/>
              <w:gridCol w:w="425"/>
              <w:gridCol w:w="800"/>
              <w:gridCol w:w="921"/>
            </w:tblGrid>
            <w:tr>
              <w:trPr>
                <w:trHeight w:val="267"/>
              </w:trPr>
              <w:tc>
                <w:tcPr>
                  <w:tcW w:w="237" w:type="pct"/>
                  <w:vMerge w:val="restart"/>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en-US" w:eastAsia="zh-CN" w:bidi="ar-SA"/>
                      <w:highlight w:val="none"/>
                    </w:rPr>
                  </w:pPr>
                  <w:r>
                    <w:rPr>
                      <w:rFonts w:ascii="Times New Roman" w:eastAsia="宋体" w:cs="Times New Roman" w:hAnsi="Times New Roman" w:hint="eastAsia"/>
                      <w:bCs/>
                      <w:color w:val="auto"/>
                      <w:kern w:val="0"/>
                      <w:sz w:val="21"/>
                      <w:szCs w:val="21"/>
                      <w:lang w:val="en-US" w:eastAsia="zh-CN" w:bidi="ar-SA"/>
                      <w:highlight w:val="none"/>
                    </w:rPr>
                    <w:t>序号</w:t>
                  </w:r>
                </w:p>
              </w:tc>
              <w:tc>
                <w:tcPr>
                  <w:tcW w:w="237" w:type="pct"/>
                  <w:vMerge w:val="restart"/>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en-US" w:eastAsia="zh-CN" w:bidi="ar-SA"/>
                      <w:highlight w:val="none"/>
                    </w:rPr>
                  </w:pPr>
                  <w:r>
                    <w:rPr>
                      <w:rFonts w:ascii="Times New Roman" w:eastAsia="宋体" w:cs="Times New Roman" w:hAnsi="Times New Roman" w:hint="eastAsia"/>
                      <w:bCs/>
                      <w:color w:val="auto"/>
                      <w:kern w:val="0"/>
                      <w:sz w:val="21"/>
                      <w:szCs w:val="21"/>
                      <w:lang w:val="en-US" w:eastAsia="zh-CN" w:bidi="ar-SA"/>
                      <w:highlight w:val="none"/>
                    </w:rPr>
                    <w:t>建筑物名称</w:t>
                  </w:r>
                </w:p>
              </w:tc>
              <w:tc>
                <w:tcPr>
                  <w:tcW w:w="237" w:type="pct"/>
                  <w:vMerge w:val="restart"/>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en-US" w:eastAsia="zh-CN" w:bidi="ar-SA"/>
                      <w:highlight w:val="none"/>
                    </w:rPr>
                  </w:pPr>
                  <w:r>
                    <w:rPr>
                      <w:rFonts w:ascii="Times New Roman" w:eastAsia="宋体" w:cs="Times New Roman" w:hAnsi="Times New Roman" w:hint="eastAsia"/>
                      <w:bCs/>
                      <w:color w:val="auto"/>
                      <w:kern w:val="0"/>
                      <w:sz w:val="21"/>
                      <w:szCs w:val="21"/>
                      <w:lang w:val="en-US" w:eastAsia="zh-CN" w:bidi="ar-SA"/>
                      <w:highlight w:val="none"/>
                    </w:rPr>
                    <w:t>声源名称</w:t>
                  </w:r>
                </w:p>
              </w:tc>
              <w:tc>
                <w:tcPr>
                  <w:tcW w:w="362" w:type="pct"/>
                  <w:vMerge w:val="restart"/>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en-US" w:eastAsia="zh-CN" w:bidi="ar-SA"/>
                      <w:highlight w:val="none"/>
                    </w:rPr>
                  </w:pPr>
                  <w:r>
                    <w:rPr>
                      <w:rFonts w:ascii="Times New Roman" w:eastAsia="宋体" w:cs="Times New Roman" w:hAnsi="Times New Roman" w:hint="eastAsia"/>
                      <w:bCs/>
                      <w:color w:val="auto"/>
                      <w:kern w:val="0"/>
                      <w:sz w:val="21"/>
                      <w:szCs w:val="21"/>
                      <w:lang w:val="en-US" w:eastAsia="zh-CN" w:bidi="ar-SA"/>
                      <w:highlight w:val="none"/>
                    </w:rPr>
                    <w:t>数量（台）</w:t>
                  </w:r>
                </w:p>
              </w:tc>
              <w:tc>
                <w:tcPr>
                  <w:tcW w:w="470" w:type="pct"/>
                  <w:vMerge w:val="restart"/>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en-US" w:eastAsia="zh-CN" w:bidi="ar-SA"/>
                      <w:highlight w:val="none"/>
                    </w:rPr>
                  </w:pPr>
                  <w:r>
                    <w:rPr>
                      <w:rFonts w:ascii="Times New Roman" w:eastAsia="宋体" w:cs="Times New Roman" w:hAnsi="Times New Roman" w:hint="eastAsia"/>
                      <w:bCs/>
                      <w:color w:val="auto"/>
                      <w:kern w:val="0"/>
                      <w:sz w:val="21"/>
                      <w:szCs w:val="21"/>
                      <w:lang w:val="en-US" w:eastAsia="zh-CN" w:bidi="ar-SA"/>
                      <w:highlight w:val="none"/>
                    </w:rPr>
                    <w:t>声源源强</w:t>
                  </w:r>
                </w:p>
              </w:tc>
              <w:tc>
                <w:tcPr>
                  <w:tcW w:w="386" w:type="pct"/>
                  <w:vMerge w:val="restart"/>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en-US" w:eastAsia="zh-CN" w:bidi="ar-SA"/>
                      <w:highlight w:val="none"/>
                    </w:rPr>
                  </w:pPr>
                  <w:r>
                    <w:rPr>
                      <w:rFonts w:ascii="Times New Roman" w:eastAsia="宋体" w:cs="Times New Roman" w:hAnsi="Times New Roman" w:hint="eastAsia"/>
                      <w:bCs/>
                      <w:color w:val="auto"/>
                      <w:kern w:val="0"/>
                      <w:sz w:val="21"/>
                      <w:szCs w:val="21"/>
                      <w:lang w:val="en-US" w:eastAsia="zh-CN" w:bidi="ar-SA"/>
                      <w:highlight w:val="none"/>
                    </w:rPr>
                    <w:t>声源</w:t>
                  </w:r>
                </w:p>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en-US" w:eastAsia="zh-CN" w:bidi="ar-SA"/>
                      <w:highlight w:val="none"/>
                    </w:rPr>
                  </w:pPr>
                  <w:r>
                    <w:rPr>
                      <w:rFonts w:ascii="Times New Roman" w:eastAsia="宋体" w:cs="Times New Roman" w:hAnsi="Times New Roman" w:hint="eastAsia"/>
                      <w:bCs/>
                      <w:color w:val="auto"/>
                      <w:kern w:val="0"/>
                      <w:sz w:val="21"/>
                      <w:szCs w:val="21"/>
                      <w:lang w:val="en-US" w:eastAsia="zh-CN" w:bidi="ar-SA"/>
                      <w:highlight w:val="none"/>
                    </w:rPr>
                    <w:t>控制措施</w:t>
                  </w:r>
                </w:p>
              </w:tc>
              <w:tc>
                <w:tcPr>
                  <w:tcW w:w="1068" w:type="pct"/>
                  <w:gridSpan w:val="3"/>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en-US" w:eastAsia="zh-CN" w:bidi="ar-SA"/>
                      <w:highlight w:val="none"/>
                    </w:rPr>
                  </w:pPr>
                  <w:r>
                    <w:rPr>
                      <w:rFonts w:ascii="Times New Roman" w:eastAsia="宋体" w:cs="Times New Roman" w:hAnsi="Times New Roman" w:hint="eastAsia"/>
                      <w:bCs/>
                      <w:color w:val="auto"/>
                      <w:kern w:val="0"/>
                      <w:sz w:val="21"/>
                      <w:szCs w:val="21"/>
                      <w:lang w:val="en-US" w:eastAsia="zh-CN" w:bidi="ar-SA"/>
                      <w:highlight w:val="none"/>
                    </w:rPr>
                    <w:t>空间相对</w:t>
                  </w:r>
                </w:p>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en-US" w:eastAsia="zh-CN" w:bidi="ar-SA"/>
                      <w:highlight w:val="none"/>
                    </w:rPr>
                  </w:pPr>
                  <w:r>
                    <w:rPr>
                      <w:rFonts w:ascii="Times New Roman" w:eastAsia="宋体" w:cs="Times New Roman" w:hAnsi="Times New Roman" w:hint="eastAsia"/>
                      <w:bCs/>
                      <w:color w:val="auto"/>
                      <w:kern w:val="0"/>
                      <w:sz w:val="21"/>
                      <w:szCs w:val="21"/>
                      <w:lang w:val="en-US" w:eastAsia="zh-CN" w:bidi="ar-SA"/>
                      <w:highlight w:val="none"/>
                    </w:rPr>
                    <w:t>位置m</w:t>
                  </w:r>
                </w:p>
              </w:tc>
              <w:tc>
                <w:tcPr>
                  <w:tcW w:w="324" w:type="pct"/>
                  <w:vMerge w:val="restart"/>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en-US" w:eastAsia="zh-CN" w:bidi="ar-SA"/>
                      <w:highlight w:val="none"/>
                    </w:rPr>
                  </w:pPr>
                  <w:r>
                    <w:rPr>
                      <w:rFonts w:ascii="Times New Roman" w:eastAsia="宋体" w:cs="Times New Roman" w:hAnsi="Times New Roman" w:hint="eastAsia"/>
                      <w:bCs/>
                      <w:color w:val="auto"/>
                      <w:kern w:val="0"/>
                      <w:sz w:val="21"/>
                      <w:szCs w:val="21"/>
                      <w:lang w:val="en-US" w:eastAsia="zh-CN" w:bidi="ar-SA"/>
                      <w:highlight w:val="none"/>
                    </w:rPr>
                    <w:t>距离室内边界距离</w:t>
                  </w:r>
                </w:p>
              </w:tc>
              <w:tc>
                <w:tcPr>
                  <w:tcW w:w="469" w:type="pct"/>
                  <w:vMerge w:val="restart"/>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en-US" w:eastAsia="zh-CN" w:bidi="ar-SA"/>
                      <w:highlight w:val="none"/>
                    </w:rPr>
                  </w:pPr>
                  <w:r>
                    <w:rPr>
                      <w:rFonts w:ascii="Times New Roman" w:eastAsia="宋体" w:cs="Times New Roman" w:hAnsi="Times New Roman" w:hint="eastAsia"/>
                      <w:bCs/>
                      <w:color w:val="auto"/>
                      <w:kern w:val="0"/>
                      <w:sz w:val="21"/>
                      <w:szCs w:val="21"/>
                      <w:lang w:val="en-US" w:eastAsia="zh-CN" w:bidi="ar-SA"/>
                      <w:highlight w:val="none"/>
                    </w:rPr>
                    <w:t>室内边界声级</w:t>
                  </w:r>
                </w:p>
              </w:tc>
              <w:tc>
                <w:tcPr>
                  <w:tcW w:w="238" w:type="pct"/>
                  <w:vMerge w:val="restart"/>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en-US" w:eastAsia="zh-CN" w:bidi="ar-SA"/>
                      <w:highlight w:val="none"/>
                    </w:rPr>
                  </w:pPr>
                  <w:r>
                    <w:rPr>
                      <w:rFonts w:ascii="Times New Roman" w:eastAsia="宋体" w:cs="Times New Roman" w:hAnsi="Times New Roman" w:hint="eastAsia"/>
                      <w:bCs/>
                      <w:color w:val="auto"/>
                      <w:kern w:val="0"/>
                      <w:sz w:val="21"/>
                      <w:szCs w:val="21"/>
                      <w:lang w:val="en-US" w:eastAsia="zh-CN" w:bidi="ar-SA"/>
                      <w:highlight w:val="none"/>
                    </w:rPr>
                    <w:t>运行时段</w:t>
                  </w:r>
                </w:p>
              </w:tc>
              <w:tc>
                <w:tcPr>
                  <w:tcW w:w="448" w:type="pct"/>
                  <w:vMerge w:val="restart"/>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en-US" w:eastAsia="zh-CN" w:bidi="ar-SA"/>
                      <w:highlight w:val="none"/>
                    </w:rPr>
                  </w:pPr>
                  <w:r>
                    <w:rPr>
                      <w:rFonts w:ascii="Times New Roman" w:eastAsia="宋体" w:cs="Times New Roman" w:hAnsi="Times New Roman" w:hint="eastAsia"/>
                      <w:bCs/>
                      <w:color w:val="auto"/>
                      <w:kern w:val="0"/>
                      <w:sz w:val="21"/>
                      <w:szCs w:val="21"/>
                      <w:lang w:val="en-US" w:eastAsia="zh-CN" w:bidi="ar-SA"/>
                      <w:highlight w:val="none"/>
                    </w:rPr>
                    <w:t>建筑物插入损失</w:t>
                  </w:r>
                </w:p>
              </w:tc>
              <w:tc>
                <w:tcPr>
                  <w:tcW w:w="516" w:type="pct"/>
                  <w:vMerge w:val="restart"/>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en-US" w:eastAsia="zh-CN" w:bidi="ar-SA"/>
                      <w:highlight w:val="none"/>
                    </w:rPr>
                  </w:pPr>
                  <w:r>
                    <w:rPr>
                      <w:rFonts w:ascii="Times New Roman" w:eastAsia="宋体" w:cs="Times New Roman" w:hAnsi="Times New Roman" w:hint="eastAsia"/>
                      <w:bCs/>
                      <w:color w:val="auto"/>
                      <w:kern w:val="0"/>
                      <w:sz w:val="21"/>
                      <w:szCs w:val="21"/>
                      <w:lang w:val="en-US" w:eastAsia="zh-CN" w:bidi="ar-SA"/>
                      <w:highlight w:val="none"/>
                    </w:rPr>
                    <w:t>建筑外噪声（1m处）</w:t>
                  </w:r>
                </w:p>
              </w:tc>
            </w:tr>
            <w:tr>
              <w:trPr>
                <w:trHeight w:val="267"/>
              </w:trPr>
              <w:tc>
                <w:tcPr>
                  <w:tcW w:w="237" w:type="pct"/>
                  <w:vMerge/>
                  <w:vAlign w:val="center"/>
                </w:tcPr>
                <w:p/>
              </w:tc>
              <w:tc>
                <w:tcPr>
                  <w:tcW w:w="237" w:type="pct"/>
                  <w:vMerge/>
                  <w:vAlign w:val="center"/>
                </w:tcPr>
                <w:p/>
              </w:tc>
              <w:tc>
                <w:tcPr>
                  <w:tcW w:w="237" w:type="pct"/>
                  <w:vMerge/>
                  <w:vAlign w:val="center"/>
                </w:tcPr>
                <w:p/>
              </w:tc>
              <w:tc>
                <w:tcPr>
                  <w:tcW w:w="362" w:type="pct"/>
                  <w:vMerge/>
                  <w:vAlign w:val="center"/>
                </w:tcPr>
                <w:p/>
              </w:tc>
              <w:tc>
                <w:tcPr>
                  <w:tcW w:w="470" w:type="pct"/>
                  <w:vMerge/>
                  <w:vAlign w:val="center"/>
                </w:tcPr>
                <w:p/>
              </w:tc>
              <w:tc>
                <w:tcPr>
                  <w:tcW w:w="386" w:type="pct"/>
                  <w:vMerge/>
                  <w:vAlign w:val="center"/>
                </w:tcPr>
                <w:p/>
              </w:tc>
              <w:tc>
                <w:tcPr>
                  <w:tcW w:w="385" w:type="pct"/>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en-US" w:eastAsia="zh-CN" w:bidi="ar-SA"/>
                      <w:highlight w:val="none"/>
                    </w:rPr>
                  </w:pPr>
                  <w:r>
                    <w:rPr>
                      <w:rFonts w:ascii="Times New Roman" w:eastAsia="宋体" w:cs="Times New Roman" w:hAnsi="Times New Roman" w:hint="eastAsia"/>
                      <w:bCs/>
                      <w:color w:val="auto"/>
                      <w:kern w:val="0"/>
                      <w:sz w:val="21"/>
                      <w:szCs w:val="21"/>
                      <w:lang w:val="en-US" w:eastAsia="zh-CN" w:bidi="ar-SA"/>
                      <w:highlight w:val="none"/>
                    </w:rPr>
                    <w:t>X</w:t>
                  </w:r>
                </w:p>
              </w:tc>
              <w:tc>
                <w:tcPr>
                  <w:tcW w:w="385" w:type="pct"/>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en-US" w:eastAsia="zh-CN" w:bidi="ar-SA"/>
                      <w:highlight w:val="none"/>
                    </w:rPr>
                  </w:pPr>
                  <w:r>
                    <w:rPr>
                      <w:rFonts w:ascii="Times New Roman" w:eastAsia="宋体" w:cs="Times New Roman" w:hAnsi="Times New Roman" w:hint="eastAsia"/>
                      <w:bCs/>
                      <w:color w:val="auto"/>
                      <w:kern w:val="0"/>
                      <w:sz w:val="21"/>
                      <w:szCs w:val="21"/>
                      <w:lang w:val="en-US" w:eastAsia="zh-CN" w:bidi="ar-SA"/>
                      <w:highlight w:val="none"/>
                    </w:rPr>
                    <w:t>Y</w:t>
                  </w:r>
                </w:p>
              </w:tc>
              <w:tc>
                <w:tcPr>
                  <w:tcW w:w="298" w:type="pct"/>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en-US" w:eastAsia="zh-CN" w:bidi="ar-SA"/>
                      <w:highlight w:val="none"/>
                    </w:rPr>
                  </w:pPr>
                  <w:r>
                    <w:rPr>
                      <w:rFonts w:ascii="Times New Roman" w:eastAsia="宋体" w:cs="Times New Roman" w:hAnsi="Times New Roman" w:hint="eastAsia"/>
                      <w:bCs/>
                      <w:color w:val="auto"/>
                      <w:kern w:val="0"/>
                      <w:sz w:val="21"/>
                      <w:szCs w:val="21"/>
                      <w:lang w:val="en-US" w:eastAsia="zh-CN" w:bidi="ar-SA"/>
                      <w:highlight w:val="none"/>
                    </w:rPr>
                    <w:t>Z</w:t>
                  </w:r>
                </w:p>
              </w:tc>
              <w:tc>
                <w:tcPr>
                  <w:tcW w:w="324" w:type="pct"/>
                  <w:vMerge/>
                  <w:vAlign w:val="center"/>
                </w:tcPr>
                <w:p/>
              </w:tc>
              <w:tc>
                <w:tcPr>
                  <w:tcW w:w="469" w:type="pct"/>
                  <w:vMerge/>
                  <w:vAlign w:val="center"/>
                </w:tcPr>
                <w:p/>
              </w:tc>
              <w:tc>
                <w:tcPr>
                  <w:tcW w:w="238" w:type="pct"/>
                  <w:vMerge/>
                  <w:vAlign w:val="center"/>
                </w:tcPr>
                <w:p/>
              </w:tc>
              <w:tc>
                <w:tcPr>
                  <w:tcW w:w="448" w:type="pct"/>
                  <w:vMerge/>
                  <w:vAlign w:val="center"/>
                </w:tcPr>
                <w:p/>
              </w:tc>
              <w:tc>
                <w:tcPr>
                  <w:tcW w:w="516" w:type="pct"/>
                  <w:vMerge/>
                  <w:vAlign w:val="center"/>
                </w:tcPr>
                <w:p/>
              </w:tc>
            </w:tr>
            <w:tr>
              <w:trPr>
                <w:trHeight w:val="1110"/>
              </w:trPr>
              <w:tc>
                <w:tcPr>
                  <w:tcW w:w="237" w:type="pct"/>
                  <w:vMerge w:val="restart"/>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en-US" w:eastAsia="zh-CN" w:bidi="ar-SA"/>
                      <w:highlight w:val="none"/>
                    </w:rPr>
                  </w:pPr>
                  <w:r>
                    <w:rPr>
                      <w:rFonts w:ascii="Times New Roman" w:eastAsia="宋体" w:cs="Times New Roman" w:hAnsi="Times New Roman" w:hint="eastAsia"/>
                      <w:bCs/>
                      <w:color w:val="auto"/>
                      <w:kern w:val="0"/>
                      <w:sz w:val="21"/>
                      <w:szCs w:val="21"/>
                      <w:lang w:val="en-US" w:eastAsia="zh-CN" w:bidi="ar-SA"/>
                      <w:highlight w:val="none"/>
                    </w:rPr>
                    <w:t>1</w:t>
                  </w:r>
                </w:p>
              </w:tc>
              <w:tc>
                <w:tcPr>
                  <w:tcW w:w="237" w:type="pct"/>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en-US" w:eastAsia="zh-CN" w:bidi="ar-SA"/>
                      <w:highlight w:val="none"/>
                    </w:rPr>
                  </w:pPr>
                  <w:r>
                    <w:rPr>
                      <w:rFonts w:ascii="Times New Roman" w:eastAsia="宋体" w:cs="Times New Roman" w:hAnsi="Times New Roman" w:hint="eastAsia"/>
                      <w:bCs/>
                      <w:color w:val="auto"/>
                      <w:kern w:val="0"/>
                      <w:sz w:val="21"/>
                      <w:szCs w:val="21"/>
                      <w:lang w:val="en-US" w:eastAsia="zh-CN" w:bidi="ar-SA"/>
                      <w:highlight w:val="none"/>
                    </w:rPr>
                    <w:t>库房</w:t>
                  </w:r>
                </w:p>
              </w:tc>
              <w:tc>
                <w:tcPr>
                  <w:tcW w:w="237" w:type="pct"/>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en-US" w:eastAsia="zh-CN" w:bidi="ar-SA"/>
                      <w:highlight w:val="none"/>
                    </w:rPr>
                  </w:pPr>
                  <w:r>
                    <w:rPr>
                      <w:rFonts w:ascii="Times New Roman" w:eastAsia="宋体" w:cs="Times New Roman" w:hAnsi="Times New Roman" w:hint="eastAsia"/>
                      <w:bCs/>
                      <w:color w:val="auto"/>
                      <w:kern w:val="0"/>
                      <w:sz w:val="21"/>
                      <w:szCs w:val="21"/>
                      <w:lang w:val="en-US" w:eastAsia="zh-CN" w:bidi="ar-SA"/>
                      <w:highlight w:val="none"/>
                    </w:rPr>
                    <w:t>风机</w:t>
                  </w:r>
                </w:p>
              </w:tc>
              <w:tc>
                <w:tcPr>
                  <w:tcW w:w="362" w:type="pct"/>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bCs/>
                      <w:color w:val="auto"/>
                      <w:kern w:val="0"/>
                      <w:sz w:val="21"/>
                      <w:szCs w:val="21"/>
                      <w:lang w:val="en-US" w:eastAsia="zh-CN" w:bidi="ar-SA"/>
                      <w:highlight w:val="none"/>
                    </w:rPr>
                  </w:pPr>
                  <w:r>
                    <w:rPr>
                      <w:rFonts w:ascii="Times New Roman" w:eastAsia="宋体" w:cs="Times New Roman" w:hAnsi="Times New Roman" w:hint="eastAsia"/>
                      <w:bCs/>
                      <w:color w:val="auto"/>
                      <w:kern w:val="0"/>
                      <w:sz w:val="21"/>
                      <w:szCs w:val="21"/>
                      <w:lang w:val="en-US" w:eastAsia="zh-CN" w:bidi="ar-SA"/>
                      <w:highlight w:val="none"/>
                    </w:rPr>
                    <w:t>1</w:t>
                  </w:r>
                </w:p>
              </w:tc>
              <w:tc>
                <w:tcPr>
                  <w:tcW w:w="470" w:type="pct"/>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en-US" w:eastAsia="zh-CN" w:bidi="ar-SA"/>
                      <w:highlight w:val="none"/>
                    </w:rPr>
                  </w:pPr>
                  <w:r>
                    <w:rPr>
                      <w:rFonts w:cs="Times New Roman" w:hint="eastAsia"/>
                      <w:bCs/>
                      <w:color w:val="auto"/>
                      <w:kern w:val="0"/>
                      <w:sz w:val="21"/>
                      <w:szCs w:val="21"/>
                      <w:lang w:val="en-US" w:eastAsia="zh-CN" w:bidi="ar-SA"/>
                      <w:highlight w:val="none"/>
                    </w:rPr>
                    <w:t>80</w:t>
                  </w:r>
                  <w:r>
                    <w:rPr>
                      <w:rFonts w:ascii="Times New Roman" w:eastAsia="宋体" w:cs="Times New Roman" w:hAnsi="Times New Roman" w:hint="eastAsia"/>
                      <w:bCs/>
                      <w:color w:val="auto"/>
                      <w:kern w:val="0"/>
                      <w:sz w:val="21"/>
                      <w:szCs w:val="21"/>
                      <w:lang w:val="en-US" w:eastAsia="zh-CN" w:bidi="ar-SA"/>
                      <w:highlight w:val="none"/>
                    </w:rPr>
                    <w:t>dB（A）</w:t>
                  </w:r>
                </w:p>
              </w:tc>
              <w:tc>
                <w:tcPr>
                  <w:tcW w:w="386" w:type="pct"/>
                  <w:vMerge w:val="restart"/>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en-US" w:eastAsia="zh-CN" w:bidi="ar-SA"/>
                      <w:highlight w:val="none"/>
                    </w:rPr>
                  </w:pPr>
                  <w:r>
                    <w:rPr>
                      <w:rFonts w:ascii="Times New Roman" w:eastAsia="宋体" w:cs="Times New Roman" w:hAnsi="Times New Roman" w:hint="eastAsia"/>
                      <w:bCs/>
                      <w:color w:val="auto"/>
                      <w:kern w:val="0"/>
                      <w:sz w:val="21"/>
                      <w:szCs w:val="21"/>
                      <w:lang w:val="en-US" w:eastAsia="zh-CN" w:bidi="ar-SA"/>
                      <w:highlight w:val="none"/>
                    </w:rPr>
                    <w:t>基础减振厂房隔声</w:t>
                  </w:r>
                </w:p>
              </w:tc>
              <w:tc>
                <w:tcPr>
                  <w:tcW w:w="385" w:type="pct"/>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bCs/>
                      <w:color w:val="auto"/>
                      <w:kern w:val="0"/>
                      <w:sz w:val="21"/>
                      <w:szCs w:val="21"/>
                      <w:lang w:val="en-US" w:eastAsia="zh-CN" w:bidi="ar-SA"/>
                      <w:highlight w:val="none"/>
                    </w:rPr>
                  </w:pPr>
                  <w:r>
                    <w:rPr>
                      <w:rFonts w:cs="Times New Roman" w:hint="eastAsia"/>
                      <w:bCs/>
                      <w:color w:val="auto"/>
                      <w:kern w:val="0"/>
                      <w:sz w:val="21"/>
                      <w:szCs w:val="21"/>
                      <w:lang w:val="en-US" w:eastAsia="zh-CN" w:bidi="ar-SA"/>
                      <w:highlight w:val="none"/>
                    </w:rPr>
                    <w:t>10.68</w:t>
                  </w:r>
                </w:p>
              </w:tc>
              <w:tc>
                <w:tcPr>
                  <w:tcW w:w="385" w:type="pct"/>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bCs/>
                      <w:color w:val="auto"/>
                      <w:kern w:val="0"/>
                      <w:sz w:val="21"/>
                      <w:szCs w:val="21"/>
                      <w:lang w:val="en-US" w:eastAsia="zh-CN" w:bidi="ar-SA"/>
                      <w:highlight w:val="none"/>
                    </w:rPr>
                  </w:pPr>
                  <w:r>
                    <w:rPr>
                      <w:rFonts w:cs="Times New Roman" w:hint="eastAsia"/>
                      <w:bCs/>
                      <w:color w:val="auto"/>
                      <w:kern w:val="0"/>
                      <w:sz w:val="21"/>
                      <w:szCs w:val="21"/>
                      <w:lang w:val="en-US" w:eastAsia="zh-CN" w:bidi="ar-SA"/>
                      <w:highlight w:val="none"/>
                    </w:rPr>
                    <w:t>49.36</w:t>
                  </w:r>
                </w:p>
              </w:tc>
              <w:tc>
                <w:tcPr>
                  <w:tcW w:w="298" w:type="pct"/>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bCs/>
                      <w:color w:val="auto"/>
                      <w:kern w:val="0"/>
                      <w:sz w:val="21"/>
                      <w:szCs w:val="21"/>
                      <w:lang w:val="en-US" w:eastAsia="zh-CN" w:bidi="ar-SA"/>
                      <w:highlight w:val="none"/>
                    </w:rPr>
                  </w:pPr>
                  <w:r>
                    <w:rPr>
                      <w:rFonts w:cs="Times New Roman" w:hint="eastAsia"/>
                      <w:bCs/>
                      <w:color w:val="auto"/>
                      <w:kern w:val="0"/>
                      <w:sz w:val="21"/>
                      <w:szCs w:val="21"/>
                      <w:lang w:val="en-US" w:eastAsia="zh-CN" w:bidi="ar-SA"/>
                      <w:highlight w:val="none"/>
                    </w:rPr>
                    <w:t>0.2</w:t>
                  </w:r>
                </w:p>
              </w:tc>
              <w:tc>
                <w:tcPr>
                  <w:tcW w:w="324" w:type="pct"/>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en-US" w:eastAsia="zh-CN" w:bidi="ar-SA"/>
                      <w:highlight w:val="none"/>
                    </w:rPr>
                  </w:pPr>
                  <w:r>
                    <w:rPr>
                      <w:rFonts w:cs="Times New Roman" w:hint="eastAsia"/>
                      <w:bCs/>
                      <w:color w:val="auto"/>
                      <w:kern w:val="0"/>
                      <w:sz w:val="21"/>
                      <w:szCs w:val="21"/>
                      <w:lang w:val="en-US" w:eastAsia="zh-CN" w:bidi="ar-SA"/>
                      <w:highlight w:val="none"/>
                    </w:rPr>
                    <w:t>3</w:t>
                  </w:r>
                  <w:r>
                    <w:rPr>
                      <w:rFonts w:ascii="Times New Roman" w:eastAsia="宋体" w:cs="Times New Roman" w:hAnsi="Times New Roman" w:hint="eastAsia"/>
                      <w:bCs/>
                      <w:color w:val="auto"/>
                      <w:kern w:val="0"/>
                      <w:sz w:val="21"/>
                      <w:szCs w:val="21"/>
                      <w:lang w:val="en-US" w:eastAsia="zh-CN" w:bidi="ar-SA"/>
                      <w:highlight w:val="none"/>
                    </w:rPr>
                    <w:t>m</w:t>
                  </w:r>
                </w:p>
              </w:tc>
              <w:tc>
                <w:tcPr>
                  <w:tcW w:w="469" w:type="pct"/>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en-US" w:eastAsia="zh-CN" w:bidi="ar-SA"/>
                      <w:highlight w:val="none"/>
                    </w:rPr>
                  </w:pPr>
                  <w:r>
                    <w:rPr>
                      <w:rFonts w:cs="Times New Roman" w:hint="eastAsia"/>
                      <w:bCs/>
                      <w:color w:val="auto"/>
                      <w:kern w:val="0"/>
                      <w:sz w:val="21"/>
                      <w:szCs w:val="21"/>
                      <w:lang w:val="en-US" w:eastAsia="zh-CN" w:bidi="ar-SA"/>
                      <w:highlight w:val="none"/>
                    </w:rPr>
                    <w:t>58.02</w:t>
                  </w:r>
                  <w:r>
                    <w:rPr>
                      <w:rFonts w:ascii="Times New Roman" w:eastAsia="宋体" w:cs="Times New Roman" w:hAnsi="Times New Roman" w:hint="eastAsia"/>
                      <w:bCs/>
                      <w:color w:val="auto"/>
                      <w:kern w:val="0"/>
                      <w:sz w:val="21"/>
                      <w:szCs w:val="21"/>
                      <w:lang w:val="en-US" w:eastAsia="zh-CN" w:bidi="ar-SA"/>
                      <w:highlight w:val="none"/>
                    </w:rPr>
                    <w:t>dB（A）</w:t>
                  </w:r>
                </w:p>
              </w:tc>
              <w:tc>
                <w:tcPr>
                  <w:tcW w:w="238" w:type="pct"/>
                  <w:vMerge w:val="restart"/>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en-US" w:eastAsia="zh-CN" w:bidi="ar-SA"/>
                      <w:highlight w:val="none"/>
                    </w:rPr>
                  </w:pPr>
                  <w:r>
                    <w:rPr>
                      <w:rFonts w:ascii="Times New Roman" w:eastAsia="宋体" w:cs="Times New Roman" w:hAnsi="Times New Roman" w:hint="eastAsia"/>
                      <w:bCs/>
                      <w:color w:val="auto"/>
                      <w:kern w:val="0"/>
                      <w:sz w:val="21"/>
                      <w:szCs w:val="21"/>
                      <w:lang w:val="en-US" w:eastAsia="zh-CN" w:bidi="ar-SA"/>
                      <w:highlight w:val="none"/>
                    </w:rPr>
                    <w:t>间歇</w:t>
                  </w:r>
                </w:p>
              </w:tc>
              <w:tc>
                <w:tcPr>
                  <w:tcW w:w="448" w:type="pct"/>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en-US" w:eastAsia="zh-CN" w:bidi="ar-SA"/>
                      <w:highlight w:val="none"/>
                    </w:rPr>
                  </w:pPr>
                  <w:r>
                    <w:rPr>
                      <w:rFonts w:ascii="Times New Roman" w:eastAsia="宋体" w:cs="Times New Roman" w:hAnsi="Times New Roman" w:hint="eastAsia"/>
                      <w:bCs/>
                      <w:color w:val="auto"/>
                      <w:kern w:val="0"/>
                      <w:sz w:val="21"/>
                      <w:szCs w:val="21"/>
                      <w:lang w:val="en-US" w:eastAsia="zh-CN" w:bidi="ar-SA"/>
                      <w:highlight w:val="none"/>
                    </w:rPr>
                    <w:t>21dB（A）</w:t>
                  </w:r>
                </w:p>
              </w:tc>
              <w:tc>
                <w:tcPr>
                  <w:tcW w:w="516" w:type="pct"/>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en-US" w:eastAsia="zh-CN" w:bidi="ar-SA"/>
                      <w:highlight w:val="none"/>
                    </w:rPr>
                  </w:pPr>
                  <w:r>
                    <w:rPr>
                      <w:rFonts w:cs="Times New Roman" w:hint="eastAsia"/>
                      <w:bCs/>
                      <w:color w:val="auto"/>
                      <w:kern w:val="0"/>
                      <w:sz w:val="21"/>
                      <w:szCs w:val="21"/>
                      <w:lang w:val="en-US" w:eastAsia="zh-CN" w:bidi="ar-SA"/>
                      <w:highlight w:val="none"/>
                    </w:rPr>
                    <w:t>37.02</w:t>
                  </w:r>
                  <w:r>
                    <w:rPr>
                      <w:rFonts w:ascii="Times New Roman" w:eastAsia="宋体" w:cs="Times New Roman" w:hAnsi="Times New Roman" w:hint="eastAsia"/>
                      <w:bCs/>
                      <w:color w:val="auto"/>
                      <w:kern w:val="0"/>
                      <w:sz w:val="21"/>
                      <w:szCs w:val="21"/>
                      <w:lang w:val="en-US" w:eastAsia="zh-CN" w:bidi="ar-SA"/>
                      <w:highlight w:val="none"/>
                    </w:rPr>
                    <w:t>dB（A）</w:t>
                  </w:r>
                </w:p>
              </w:tc>
            </w:tr>
            <w:tr>
              <w:trPr>
                <w:trHeight w:val="1453"/>
              </w:trPr>
              <w:tc>
                <w:tcPr>
                  <w:tcW w:w="237" w:type="pct"/>
                  <w:vMerge/>
                  <w:vAlign w:val="center"/>
                </w:tcPr>
                <w:p/>
              </w:tc>
              <w:tc>
                <w:tcPr>
                  <w:tcW w:w="237" w:type="pct"/>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en-US" w:eastAsia="zh-CN" w:bidi="ar-SA"/>
                      <w:highlight w:val="none"/>
                    </w:rPr>
                  </w:pPr>
                  <w:r>
                    <w:rPr>
                      <w:rFonts w:ascii="Times New Roman" w:eastAsia="宋体" w:cs="Times New Roman" w:hAnsi="Times New Roman" w:hint="eastAsia"/>
                      <w:bCs/>
                      <w:color w:val="auto"/>
                      <w:kern w:val="0"/>
                      <w:sz w:val="21"/>
                      <w:szCs w:val="21"/>
                      <w:lang w:val="en-US" w:eastAsia="zh-CN" w:bidi="ar-SA"/>
                      <w:highlight w:val="none"/>
                    </w:rPr>
                    <w:t>库房</w:t>
                  </w:r>
                </w:p>
              </w:tc>
              <w:tc>
                <w:tcPr>
                  <w:tcW w:w="237" w:type="pct"/>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en-US" w:eastAsia="zh-CN" w:bidi="ar-SA"/>
                      <w:highlight w:val="none"/>
                    </w:rPr>
                  </w:pPr>
                  <w:r>
                    <w:rPr>
                      <w:rFonts w:ascii="Times New Roman" w:eastAsia="宋体" w:cs="Times New Roman" w:hAnsi="Times New Roman" w:hint="eastAsia"/>
                      <w:bCs/>
                      <w:color w:val="auto"/>
                      <w:kern w:val="0"/>
                      <w:sz w:val="21"/>
                      <w:szCs w:val="21"/>
                      <w:lang w:val="en-US" w:eastAsia="zh-CN" w:bidi="ar-SA"/>
                      <w:highlight w:val="none"/>
                    </w:rPr>
                    <w:t>循环泵</w:t>
                  </w:r>
                </w:p>
              </w:tc>
              <w:tc>
                <w:tcPr>
                  <w:tcW w:w="362" w:type="pct"/>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bCs/>
                      <w:color w:val="auto"/>
                      <w:kern w:val="0"/>
                      <w:sz w:val="21"/>
                      <w:szCs w:val="21"/>
                      <w:lang w:val="en-US" w:eastAsia="zh-CN" w:bidi="ar-SA"/>
                      <w:highlight w:val="none"/>
                    </w:rPr>
                  </w:pPr>
                  <w:r>
                    <w:rPr>
                      <w:rFonts w:ascii="Times New Roman" w:eastAsia="宋体" w:cs="Times New Roman" w:hAnsi="Times New Roman" w:hint="eastAsia"/>
                      <w:bCs/>
                      <w:color w:val="auto"/>
                      <w:kern w:val="0"/>
                      <w:sz w:val="21"/>
                      <w:szCs w:val="21"/>
                      <w:lang w:val="en-US" w:eastAsia="zh-CN" w:bidi="ar-SA"/>
                      <w:highlight w:val="none"/>
                    </w:rPr>
                    <w:t>1</w:t>
                  </w:r>
                </w:p>
              </w:tc>
              <w:tc>
                <w:tcPr>
                  <w:tcW w:w="470" w:type="pct"/>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en-US" w:eastAsia="zh-CN" w:bidi="ar-SA"/>
                      <w:highlight w:val="none"/>
                    </w:rPr>
                  </w:pPr>
                  <w:r>
                    <w:rPr>
                      <w:rFonts w:cs="Times New Roman" w:hint="eastAsia"/>
                      <w:bCs/>
                      <w:color w:val="auto"/>
                      <w:kern w:val="0"/>
                      <w:sz w:val="21"/>
                      <w:szCs w:val="21"/>
                      <w:lang w:val="en-US" w:eastAsia="zh-CN" w:bidi="ar-SA"/>
                      <w:highlight w:val="none"/>
                    </w:rPr>
                    <w:t>80</w:t>
                  </w:r>
                  <w:r>
                    <w:rPr>
                      <w:rFonts w:ascii="Times New Roman" w:eastAsia="宋体" w:cs="Times New Roman" w:hAnsi="Times New Roman" w:hint="eastAsia"/>
                      <w:bCs/>
                      <w:color w:val="auto"/>
                      <w:kern w:val="0"/>
                      <w:sz w:val="21"/>
                      <w:szCs w:val="21"/>
                      <w:lang w:val="en-US" w:eastAsia="zh-CN" w:bidi="ar-SA"/>
                      <w:highlight w:val="none"/>
                    </w:rPr>
                    <w:t>dB（A）</w:t>
                  </w:r>
                </w:p>
              </w:tc>
              <w:tc>
                <w:tcPr>
                  <w:tcW w:w="386" w:type="pct"/>
                  <w:vMerge/>
                  <w:vAlign w:val="center"/>
                </w:tcPr>
                <w:p/>
              </w:tc>
              <w:tc>
                <w:tcPr>
                  <w:tcW w:w="385" w:type="pct"/>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bCs/>
                      <w:color w:val="auto"/>
                      <w:kern w:val="0"/>
                      <w:sz w:val="21"/>
                      <w:szCs w:val="21"/>
                      <w:lang w:val="en-US" w:eastAsia="zh-CN" w:bidi="ar-SA"/>
                      <w:highlight w:val="none"/>
                    </w:rPr>
                  </w:pPr>
                  <w:r>
                    <w:rPr>
                      <w:rFonts w:cs="Times New Roman" w:hint="eastAsia"/>
                      <w:bCs/>
                      <w:color w:val="auto"/>
                      <w:kern w:val="0"/>
                      <w:sz w:val="21"/>
                      <w:szCs w:val="21"/>
                      <w:lang w:val="en-US" w:eastAsia="zh-CN" w:bidi="ar-SA"/>
                      <w:highlight w:val="none"/>
                    </w:rPr>
                    <w:t>8.42</w:t>
                  </w:r>
                </w:p>
              </w:tc>
              <w:tc>
                <w:tcPr>
                  <w:tcW w:w="385" w:type="pct"/>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bCs/>
                      <w:color w:val="auto"/>
                      <w:kern w:val="0"/>
                      <w:sz w:val="21"/>
                      <w:szCs w:val="21"/>
                      <w:lang w:val="en-US" w:eastAsia="zh-CN" w:bidi="ar-SA"/>
                      <w:highlight w:val="none"/>
                    </w:rPr>
                  </w:pPr>
                  <w:r>
                    <w:rPr>
                      <w:rFonts w:cs="Times New Roman" w:hint="eastAsia"/>
                      <w:bCs/>
                      <w:color w:val="auto"/>
                      <w:kern w:val="0"/>
                      <w:sz w:val="21"/>
                      <w:szCs w:val="21"/>
                      <w:lang w:val="en-US" w:eastAsia="zh-CN" w:bidi="ar-SA"/>
                      <w:highlight w:val="none"/>
                    </w:rPr>
                    <w:t>53.27</w:t>
                  </w:r>
                </w:p>
              </w:tc>
              <w:tc>
                <w:tcPr>
                  <w:tcW w:w="298" w:type="pct"/>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bCs/>
                      <w:color w:val="auto"/>
                      <w:kern w:val="0"/>
                      <w:sz w:val="21"/>
                      <w:szCs w:val="21"/>
                      <w:lang w:val="en-US" w:eastAsia="zh-CN" w:bidi="ar-SA"/>
                      <w:highlight w:val="none"/>
                    </w:rPr>
                  </w:pPr>
                  <w:r>
                    <w:rPr>
                      <w:rFonts w:cs="Times New Roman" w:hint="eastAsia"/>
                      <w:bCs/>
                      <w:color w:val="auto"/>
                      <w:kern w:val="0"/>
                      <w:sz w:val="21"/>
                      <w:szCs w:val="21"/>
                      <w:lang w:val="en-US" w:eastAsia="zh-CN" w:bidi="ar-SA"/>
                      <w:highlight w:val="none"/>
                    </w:rPr>
                    <w:t>0.2</w:t>
                  </w:r>
                </w:p>
              </w:tc>
              <w:tc>
                <w:tcPr>
                  <w:tcW w:w="324" w:type="pct"/>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en-US" w:eastAsia="zh-CN" w:bidi="ar-SA"/>
                      <w:highlight w:val="none"/>
                    </w:rPr>
                  </w:pPr>
                  <w:r>
                    <w:rPr>
                      <w:rFonts w:cs="Times New Roman" w:hint="eastAsia"/>
                      <w:bCs/>
                      <w:color w:val="auto"/>
                      <w:kern w:val="0"/>
                      <w:sz w:val="21"/>
                      <w:szCs w:val="21"/>
                      <w:lang w:val="en-US" w:eastAsia="zh-CN" w:bidi="ar-SA"/>
                      <w:highlight w:val="none"/>
                    </w:rPr>
                    <w:t>5</w:t>
                  </w:r>
                  <w:r>
                    <w:rPr>
                      <w:rFonts w:ascii="Times New Roman" w:eastAsia="宋体" w:cs="Times New Roman" w:hAnsi="Times New Roman" w:hint="eastAsia"/>
                      <w:bCs/>
                      <w:color w:val="auto"/>
                      <w:kern w:val="0"/>
                      <w:sz w:val="21"/>
                      <w:szCs w:val="21"/>
                      <w:lang w:val="en-US" w:eastAsia="zh-CN" w:bidi="ar-SA"/>
                      <w:highlight w:val="none"/>
                    </w:rPr>
                    <w:t>m</w:t>
                  </w:r>
                </w:p>
              </w:tc>
              <w:tc>
                <w:tcPr>
                  <w:tcW w:w="469" w:type="pct"/>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en-US" w:eastAsia="zh-CN" w:bidi="ar-SA"/>
                      <w:highlight w:val="none"/>
                    </w:rPr>
                  </w:pPr>
                  <w:r>
                    <w:rPr>
                      <w:rFonts w:cs="Times New Roman" w:hint="eastAsia"/>
                      <w:bCs/>
                      <w:color w:val="auto"/>
                      <w:kern w:val="0"/>
                      <w:sz w:val="21"/>
                      <w:szCs w:val="21"/>
                      <w:lang w:val="en-US" w:eastAsia="zh-CN" w:bidi="ar-SA"/>
                      <w:highlight w:val="none"/>
                    </w:rPr>
                    <w:t>56.14</w:t>
                  </w:r>
                  <w:r>
                    <w:rPr>
                      <w:rFonts w:ascii="Times New Roman" w:eastAsia="宋体" w:cs="Times New Roman" w:hAnsi="Times New Roman" w:hint="eastAsia"/>
                      <w:bCs/>
                      <w:color w:val="auto"/>
                      <w:kern w:val="0"/>
                      <w:sz w:val="21"/>
                      <w:szCs w:val="21"/>
                      <w:lang w:val="en-US" w:eastAsia="zh-CN" w:bidi="ar-SA"/>
                      <w:highlight w:val="none"/>
                    </w:rPr>
                    <w:t>dB（A）</w:t>
                  </w:r>
                </w:p>
              </w:tc>
              <w:tc>
                <w:tcPr>
                  <w:tcW w:w="238" w:type="pct"/>
                  <w:vMerge/>
                  <w:vAlign w:val="center"/>
                </w:tcPr>
                <w:p/>
              </w:tc>
              <w:tc>
                <w:tcPr>
                  <w:tcW w:w="448" w:type="pct"/>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en-US" w:eastAsia="zh-CN" w:bidi="ar-SA"/>
                      <w:highlight w:val="none"/>
                    </w:rPr>
                  </w:pPr>
                  <w:r>
                    <w:rPr>
                      <w:rFonts w:ascii="Times New Roman" w:eastAsia="宋体" w:cs="Times New Roman" w:hAnsi="Times New Roman" w:hint="eastAsia"/>
                      <w:bCs/>
                      <w:color w:val="auto"/>
                      <w:kern w:val="0"/>
                      <w:sz w:val="21"/>
                      <w:szCs w:val="21"/>
                      <w:lang w:val="en-US" w:eastAsia="zh-CN" w:bidi="ar-SA"/>
                      <w:highlight w:val="none"/>
                    </w:rPr>
                    <w:t>21dB（A）</w:t>
                  </w:r>
                </w:p>
              </w:tc>
              <w:tc>
                <w:tcPr>
                  <w:tcW w:w="516" w:type="pct"/>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en-US" w:eastAsia="zh-CN" w:bidi="ar-SA"/>
                      <w:highlight w:val="none"/>
                    </w:rPr>
                  </w:pPr>
                  <w:r>
                    <w:rPr>
                      <w:rFonts w:cs="Times New Roman" w:hint="eastAsia"/>
                      <w:bCs/>
                      <w:color w:val="auto"/>
                      <w:kern w:val="0"/>
                      <w:sz w:val="21"/>
                      <w:szCs w:val="21"/>
                      <w:lang w:val="en-US" w:eastAsia="zh-CN" w:bidi="ar-SA"/>
                      <w:highlight w:val="none"/>
                    </w:rPr>
                    <w:t>35.14</w:t>
                  </w:r>
                  <w:r>
                    <w:rPr>
                      <w:rFonts w:ascii="Times New Roman" w:eastAsia="宋体" w:cs="Times New Roman" w:hAnsi="Times New Roman" w:hint="eastAsia"/>
                      <w:bCs/>
                      <w:color w:val="auto"/>
                      <w:kern w:val="0"/>
                      <w:sz w:val="21"/>
                      <w:szCs w:val="21"/>
                      <w:lang w:val="en-US" w:eastAsia="zh-CN" w:bidi="ar-SA"/>
                      <w:highlight w:val="none"/>
                    </w:rPr>
                    <w:t>dB（A）</w:t>
                  </w:r>
                </w:p>
              </w:tc>
            </w:tr>
          </w:tbl>
          <w:p>
            <w:pPr>
              <w:keepNext w:val="0"/>
              <w:keepLines w:val="0"/>
              <w:pageBreakBefore w:val="0"/>
              <w:widowControl w:val="0"/>
              <w:kinsoku/>
              <w:wordWrap/>
              <w:overflowPunct/>
              <w:topLinePunct w:val="0"/>
              <w:autoSpaceDE/>
              <w:autoSpaceDN/>
              <w:bidi w:val="0"/>
              <w:adjustRightInd/>
              <w:snapToGrid/>
              <w:spacing w:line="360" w:lineRule="exact"/>
              <w:ind w:firstLineChars="200" w:firstLine="420"/>
              <w:jc w:val="left"/>
              <w:textAlignment w:val="auto"/>
              <w:rPr>
                <w:rFonts w:ascii="Times New Roman" w:eastAsia="宋体" w:cs="Times New Roman" w:hAnsi="Times New Roman"/>
                <w:b/>
                <w:bCs/>
                <w:color w:val="auto"/>
                <w:sz w:val="21"/>
                <w:szCs w:val="21"/>
                <w:highlight w:val="none"/>
              </w:rPr>
            </w:pPr>
            <w:r>
              <w:rPr>
                <w:rFonts w:ascii="Times New Roman" w:eastAsia="宋体" w:cs="Times New Roman" w:hAnsi="Times New Roman" w:hint="eastAsia"/>
                <w:b/>
                <w:bCs/>
                <w:color w:val="auto"/>
                <w:sz w:val="21"/>
                <w:szCs w:val="21"/>
                <w:lang w:eastAsia="zh-CN"/>
                <w:highlight w:val="none"/>
              </w:rPr>
              <w:t>注：上表坐标以</w:t>
            </w:r>
            <w:r>
              <w:rPr>
                <w:rFonts w:cs="Times New Roman" w:hint="eastAsia"/>
                <w:b/>
                <w:bCs/>
                <w:color w:val="auto"/>
                <w:sz w:val="21"/>
                <w:szCs w:val="21"/>
                <w:lang w:eastAsia="zh-CN"/>
                <w:highlight w:val="none"/>
              </w:rPr>
              <w:t>库房西南角</w:t>
            </w:r>
            <w:r>
              <w:rPr>
                <w:rFonts w:ascii="Times New Roman" w:eastAsia="宋体" w:cs="Times New Roman" w:hAnsi="Times New Roman" w:hint="eastAsia"/>
                <w:b/>
                <w:bCs/>
                <w:color w:val="auto"/>
                <w:sz w:val="21"/>
                <w:szCs w:val="21"/>
                <w:lang w:eastAsia="zh-CN"/>
                <w:highlight w:val="none"/>
              </w:rPr>
              <w:t>为原点建立坐标系</w:t>
            </w:r>
            <w:r>
              <w:rPr>
                <w:rFonts w:ascii="Times New Roman" w:eastAsia="宋体" w:cs="Times New Roman" w:hAnsi="Times New Roman"/>
                <w:b/>
                <w:bCs/>
                <w:color w:val="auto"/>
                <w:sz w:val="21"/>
                <w:szCs w:val="21"/>
                <w:highlight w:val="none"/>
              </w:rPr>
              <w:t>。</w:t>
            </w:r>
          </w:p>
          <w:p>
            <w:pPr>
              <w:keepNext w:val="0"/>
              <w:keepLines w:val="0"/>
              <w:pageBreakBefore w:val="0"/>
              <w:widowControl w:val="0"/>
              <w:kinsoku/>
              <w:wordWrap/>
              <w:overflowPunct/>
              <w:topLinePunct w:val="0"/>
              <w:autoSpaceDE/>
              <w:autoSpaceDN/>
              <w:bidi w:val="0"/>
              <w:adjustRightInd/>
              <w:snapToGrid/>
              <w:spacing w:line="460" w:lineRule="exact"/>
              <w:ind w:firstLineChars="200" w:firstLine="480"/>
              <w:textAlignment w:val="auto"/>
              <w:rPr>
                <w:rFonts w:hint="eastAsia"/>
                <w:color w:val="auto"/>
                <w:sz w:val="24"/>
                <w:highlight w:val="none"/>
              </w:rPr>
            </w:pPr>
            <w:r>
              <w:rPr>
                <w:rFonts w:hint="eastAsia"/>
                <w:color w:val="auto"/>
                <w:sz w:val="24"/>
                <w:highlight w:val="none"/>
              </w:rPr>
              <w:t>项目选用低噪声设备，采取安装基础减振、厂房隔声等措施对噪声污染进行控制。</w:t>
            </w:r>
          </w:p>
          <w:p>
            <w:pPr>
              <w:keepNext w:val="0"/>
              <w:keepLines w:val="0"/>
              <w:pageBreakBefore w:val="0"/>
              <w:widowControl w:val="0"/>
              <w:kinsoku/>
              <w:wordWrap/>
              <w:overflowPunct/>
              <w:topLinePunct w:val="0"/>
              <w:autoSpaceDE/>
              <w:autoSpaceDN/>
              <w:bidi w:val="0"/>
              <w:adjustRightInd/>
              <w:snapToGrid/>
              <w:spacing w:line="460" w:lineRule="exact"/>
              <w:ind w:firstLineChars="200" w:firstLine="480"/>
              <w:textAlignment w:val="auto"/>
              <w:rPr>
                <w:rFonts w:hint="eastAsia"/>
                <w:color w:val="auto"/>
                <w:sz w:val="24"/>
                <w:highlight w:val="none"/>
              </w:rPr>
            </w:pPr>
            <w:r>
              <w:rPr>
                <w:rFonts w:hint="eastAsia"/>
                <w:color w:val="auto"/>
                <w:sz w:val="24"/>
                <w:highlight w:val="none"/>
              </w:rPr>
              <w:t>（2）预测范围、点位、因子</w:t>
            </w:r>
          </w:p>
          <w:p>
            <w:pPr>
              <w:keepNext w:val="0"/>
              <w:keepLines w:val="0"/>
              <w:pageBreakBefore w:val="0"/>
              <w:widowControl w:val="0"/>
              <w:kinsoku/>
              <w:wordWrap/>
              <w:overflowPunct/>
              <w:topLinePunct w:val="0"/>
              <w:autoSpaceDE/>
              <w:autoSpaceDN/>
              <w:bidi w:val="0"/>
              <w:adjustRightInd/>
              <w:snapToGrid/>
              <w:spacing w:line="460" w:lineRule="exact"/>
              <w:ind w:firstLineChars="200" w:firstLine="480"/>
              <w:textAlignment w:val="auto"/>
              <w:rPr>
                <w:rFonts w:hint="eastAsia"/>
                <w:color w:val="auto"/>
                <w:sz w:val="24"/>
                <w:highlight w:val="none"/>
              </w:rPr>
            </w:pPr>
            <w:r>
              <w:rPr>
                <w:rFonts w:hint="eastAsia"/>
                <w:color w:val="auto"/>
                <w:sz w:val="24"/>
                <w:highlight w:val="none"/>
              </w:rPr>
              <w:t>①噪声预测范围为：厂界外1m；</w:t>
            </w:r>
          </w:p>
          <w:p>
            <w:pPr>
              <w:keepNext w:val="0"/>
              <w:keepLines w:val="0"/>
              <w:pageBreakBefore w:val="0"/>
              <w:widowControl w:val="0"/>
              <w:kinsoku/>
              <w:wordWrap/>
              <w:overflowPunct/>
              <w:topLinePunct w:val="0"/>
              <w:autoSpaceDE/>
              <w:autoSpaceDN/>
              <w:bidi w:val="0"/>
              <w:adjustRightInd/>
              <w:snapToGrid/>
              <w:spacing w:line="460" w:lineRule="exact"/>
              <w:ind w:firstLineChars="200" w:firstLine="480"/>
              <w:textAlignment w:val="auto"/>
              <w:rPr>
                <w:rFonts w:hint="eastAsia"/>
                <w:color w:val="auto"/>
                <w:sz w:val="24"/>
                <w:highlight w:val="none"/>
              </w:rPr>
            </w:pPr>
            <w:r>
              <w:rPr>
                <w:rFonts w:hint="eastAsia"/>
                <w:color w:val="auto"/>
                <w:sz w:val="24"/>
                <w:highlight w:val="none"/>
              </w:rPr>
              <w:t>②预测点位：以厂界作为预测点，其中在西、北、东、南厂界各设1个点位，共4个预测点位。</w:t>
            </w:r>
          </w:p>
          <w:p>
            <w:pPr>
              <w:keepNext w:val="0"/>
              <w:keepLines w:val="0"/>
              <w:pageBreakBefore w:val="0"/>
              <w:widowControl w:val="0"/>
              <w:kinsoku/>
              <w:wordWrap/>
              <w:overflowPunct/>
              <w:topLinePunct w:val="0"/>
              <w:autoSpaceDE/>
              <w:autoSpaceDN/>
              <w:bidi w:val="0"/>
              <w:adjustRightInd/>
              <w:snapToGrid/>
              <w:spacing w:line="460" w:lineRule="exact"/>
              <w:ind w:firstLineChars="200" w:firstLine="480"/>
              <w:textAlignment w:val="auto"/>
              <w:rPr>
                <w:rFonts w:hint="eastAsia"/>
                <w:color w:val="auto"/>
                <w:sz w:val="24"/>
                <w:highlight w:val="none"/>
              </w:rPr>
            </w:pPr>
            <w:r>
              <w:rPr>
                <w:rFonts w:hint="eastAsia"/>
                <w:color w:val="auto"/>
                <w:sz w:val="24"/>
                <w:highlight w:val="none"/>
              </w:rPr>
              <w:t>③厂界噪声预测因子：等效连续A声级。</w:t>
            </w:r>
          </w:p>
          <w:p>
            <w:pPr>
              <w:keepNext w:val="0"/>
              <w:keepLines w:val="0"/>
              <w:pageBreakBefore w:val="0"/>
              <w:widowControl w:val="0"/>
              <w:kinsoku/>
              <w:wordWrap/>
              <w:overflowPunct/>
              <w:topLinePunct w:val="0"/>
              <w:autoSpaceDE/>
              <w:autoSpaceDN/>
              <w:bidi w:val="0"/>
              <w:adjustRightInd/>
              <w:snapToGrid/>
              <w:spacing w:line="460" w:lineRule="exact"/>
              <w:ind w:firstLineChars="200" w:firstLine="480"/>
              <w:textAlignment w:val="auto"/>
              <w:rPr>
                <w:rFonts w:hint="eastAsia"/>
                <w:color w:val="auto"/>
                <w:sz w:val="24"/>
                <w:highlight w:val="none"/>
              </w:rPr>
            </w:pPr>
            <w:r>
              <w:rPr>
                <w:rFonts w:hint="eastAsia"/>
                <w:color w:val="auto"/>
                <w:sz w:val="24"/>
                <w:highlight w:val="none"/>
              </w:rPr>
              <w:t>（2）预测模式及参数选取</w:t>
            </w:r>
          </w:p>
          <w:p>
            <w:pPr>
              <w:keepNext w:val="0"/>
              <w:keepLines w:val="0"/>
              <w:pageBreakBefore w:val="0"/>
              <w:widowControl w:val="0"/>
              <w:kinsoku/>
              <w:wordWrap/>
              <w:overflowPunct/>
              <w:topLinePunct w:val="0"/>
              <w:autoSpaceDE/>
              <w:autoSpaceDN/>
              <w:bidi w:val="0"/>
              <w:adjustRightInd/>
              <w:snapToGrid/>
              <w:spacing w:line="460" w:lineRule="exact"/>
              <w:ind w:firstLineChars="200" w:firstLine="480"/>
              <w:textAlignment w:val="auto"/>
              <w:rPr>
                <w:rFonts w:hint="eastAsia"/>
                <w:color w:val="auto"/>
                <w:sz w:val="24"/>
                <w:lang w:val="fr-FR"/>
                <w:highlight w:val="none"/>
              </w:rPr>
            </w:pPr>
            <w:r>
              <w:rPr>
                <w:rFonts w:hint="eastAsia"/>
                <w:color w:val="auto"/>
                <w:sz w:val="24"/>
                <w:lang w:val="fr-FR"/>
                <w:highlight w:val="none"/>
              </w:rPr>
              <w:t>①单个室外点声源在预测点产生的声级计算基本公式</w:t>
            </w:r>
          </w:p>
          <w:p>
            <w:pPr>
              <w:keepNext w:val="0"/>
              <w:keepLines w:val="0"/>
              <w:pageBreakBefore w:val="0"/>
              <w:widowControl w:val="0"/>
              <w:kinsoku/>
              <w:wordWrap/>
              <w:overflowPunct/>
              <w:topLinePunct w:val="0"/>
              <w:autoSpaceDE/>
              <w:autoSpaceDN/>
              <w:bidi w:val="0"/>
              <w:adjustRightInd/>
              <w:snapToGrid/>
              <w:spacing w:line="460" w:lineRule="exact"/>
              <w:ind w:firstLineChars="200" w:firstLine="480"/>
              <w:textAlignment w:val="auto"/>
              <w:rPr>
                <w:rFonts w:hint="eastAsia"/>
                <w:color w:val="auto"/>
                <w:sz w:val="24"/>
                <w:lang w:val="fr-FR"/>
                <w:highlight w:val="none"/>
              </w:rPr>
            </w:pPr>
            <w:r>
              <w:rPr>
                <w:rFonts w:hint="eastAsia"/>
                <w:color w:val="auto"/>
                <w:sz w:val="24"/>
                <w:lang w:val="fr-FR"/>
                <w:highlight w:val="none"/>
              </w:rPr>
              <w:t>已知声源的倍频带声功率级</w:t>
            </w:r>
            <w:r>
              <w:rPr>
                <w:rFonts w:hint="eastAsia"/>
                <w:color w:val="auto"/>
                <w:sz w:val="24"/>
                <w:lang w:val="fr-FR" w:eastAsia="zh-CN"/>
                <w:highlight w:val="none"/>
              </w:rPr>
              <w:t>（</w:t>
            </w:r>
            <w:r>
              <w:rPr>
                <w:rFonts w:hint="eastAsia"/>
                <w:color w:val="auto"/>
                <w:sz w:val="24"/>
                <w:lang w:val="fr-FR"/>
                <w:highlight w:val="none"/>
              </w:rPr>
              <w:t>从63Hz到8000Hz标称频带中心频率的8个倍频带</w:t>
            </w:r>
            <w:r>
              <w:rPr>
                <w:rFonts w:hint="eastAsia"/>
                <w:color w:val="auto"/>
                <w:sz w:val="24"/>
                <w:lang w:val="fr-FR" w:eastAsia="zh-CN"/>
                <w:highlight w:val="none"/>
              </w:rPr>
              <w:t>）</w:t>
            </w:r>
            <w:r>
              <w:rPr>
                <w:rFonts w:hint="eastAsia"/>
                <w:color w:val="auto"/>
                <w:sz w:val="24"/>
                <w:lang w:val="fr-FR"/>
                <w:highlight w:val="none"/>
              </w:rPr>
              <w:t>，预测点位置的倍频带声压级</w:t>
            </w:r>
            <w:r>
              <w:rPr>
                <w:rFonts w:hint="eastAsia"/>
                <w:color w:val="auto"/>
                <w:sz w:val="24"/>
                <w:highlight w:val="none"/>
              </w:rPr>
              <w:drawing>
                <wp:inline distT="0" distB="0" distL="114300" distR="114300">
                  <wp:extent cx="387985" cy="250190"/>
                  <wp:effectExtent l="0" t="0" r="1" b="0"/>
                  <wp:docPr id="99" name="图片 1" descr="C:\Users\user\AppData\Local\Temp\ksohtml4296\wps17.jpg"/>
                  <wp:cNvGraphicFramePr>
                    <a:graphicFrameLocks noChangeAspect="1"/>
                  </wp:cNvGraphicFramePr>
                  <a:graphic>
                    <a:graphicData uri="http://schemas.openxmlformats.org/drawingml/2006/picture">
                      <pic:pic>
                        <pic:nvPicPr>
                          <pic:cNvPr id="126" name="图片 1 126"/>
                          <pic:cNvPicPr/>
                        </pic:nvPicPr>
                        <pic:blipFill>
                          <a:blip r:embed="rId6"/>
                          <a:stretch>
                            <a:fillRect/>
                          </a:stretch>
                        </pic:blipFill>
                        <pic:spPr>
                          <a:xfrm rot="0">
                            <a:off x="0" y="0"/>
                            <a:ext cx="387985" cy="250190"/>
                          </a:xfrm>
                          <a:prstGeom prst="rect"/>
                          <a:noFill/>
                          <a:ln cmpd="sng" cap="flat">
                            <a:noFill/>
                            <a:prstDash val="solid"/>
                            <a:round/>
                          </a:ln>
                        </pic:spPr>
                      </pic:pic>
                    </a:graphicData>
                  </a:graphic>
                </wp:inline>
              </w:drawing>
            </w:r>
            <w:r>
              <w:rPr>
                <w:rFonts w:hint="eastAsia"/>
                <w:color w:val="auto"/>
                <w:sz w:val="24"/>
                <w:lang w:val="fr-FR"/>
                <w:highlight w:val="none"/>
              </w:rPr>
              <w:t>可按下式计算：</w:t>
            </w:r>
          </w:p>
          <w:p>
            <w:pPr>
              <w:keepNext w:val="0"/>
              <w:keepLines w:val="0"/>
              <w:pageBreakBefore w:val="0"/>
              <w:widowControl w:val="0"/>
              <w:kinsoku/>
              <w:wordWrap/>
              <w:overflowPunct/>
              <w:topLinePunct w:val="0"/>
              <w:autoSpaceDE/>
              <w:autoSpaceDN/>
              <w:bidi w:val="0"/>
              <w:adjustRightInd/>
              <w:snapToGrid/>
              <w:spacing w:line="460" w:lineRule="exact"/>
              <w:ind w:firstLineChars="200" w:firstLine="480"/>
              <w:jc w:val="center"/>
              <w:textAlignment w:val="auto"/>
              <w:rPr>
                <w:rFonts w:hint="eastAsia"/>
                <w:color w:val="auto"/>
                <w:sz w:val="24"/>
                <w:highlight w:val="none"/>
              </w:rPr>
            </w:pPr>
            <w:r>
              <w:rPr>
                <w:rFonts w:hint="eastAsia"/>
                <w:color w:val="auto"/>
                <w:sz w:val="24"/>
                <w:highlight w:val="none"/>
              </w:rPr>
              <w:drawing>
                <wp:inline distT="0" distB="0" distL="114300" distR="114300">
                  <wp:extent cx="1337310" cy="250190"/>
                  <wp:effectExtent l="0" t="0" r="1" b="0"/>
                  <wp:docPr id="100" name="图片 2" descr="C:\Users\user\AppData\Local\Temp\ksohtml4296\wps18.jpg"/>
                  <wp:cNvGraphicFramePr>
                    <a:graphicFrameLocks noChangeAspect="1"/>
                  </wp:cNvGraphicFramePr>
                  <a:graphic>
                    <a:graphicData uri="http://schemas.openxmlformats.org/drawingml/2006/picture">
                      <pic:pic>
                        <pic:nvPicPr>
                          <pic:cNvPr id="128" name="图片 2 128"/>
                          <pic:cNvPicPr/>
                        </pic:nvPicPr>
                        <pic:blipFill>
                          <a:blip r:embed="rId7"/>
                          <a:stretch>
                            <a:fillRect/>
                          </a:stretch>
                        </pic:blipFill>
                        <pic:spPr>
                          <a:xfrm rot="0">
                            <a:off x="0" y="0"/>
                            <a:ext cx="1337310" cy="250190"/>
                          </a:xfrm>
                          <a:prstGeom prst="rect"/>
                          <a:noFill/>
                          <a:ln cmpd="sng" cap="flat">
                            <a:noFill/>
                            <a:prstDash val="solid"/>
                            <a:round/>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460" w:lineRule="exact"/>
              <w:ind w:firstLineChars="200" w:firstLine="480"/>
              <w:jc w:val="center"/>
              <w:textAlignment w:val="auto"/>
              <w:rPr>
                <w:rFonts w:hint="eastAsia"/>
                <w:color w:val="auto"/>
                <w:sz w:val="24"/>
                <w:highlight w:val="none"/>
              </w:rPr>
            </w:pPr>
            <w:r>
              <w:rPr>
                <w:rFonts w:hint="eastAsia"/>
                <w:color w:val="auto"/>
                <w:sz w:val="24"/>
                <w:highlight w:val="none"/>
              </w:rPr>
              <w:drawing>
                <wp:inline distT="0" distB="0" distL="114300" distR="114300">
                  <wp:extent cx="2105025" cy="250190"/>
                  <wp:effectExtent l="0" t="0" r="0" b="0"/>
                  <wp:docPr id="101" name="图片 3" descr="C:\Users\user\AppData\Local\Temp\ksohtml4296\wps19.jpg"/>
                  <wp:cNvGraphicFramePr>
                    <a:graphicFrameLocks noChangeAspect="1"/>
                  </wp:cNvGraphicFramePr>
                  <a:graphic>
                    <a:graphicData uri="http://schemas.openxmlformats.org/drawingml/2006/picture">
                      <pic:pic>
                        <pic:nvPicPr>
                          <pic:cNvPr id="130" name="图片 3 130"/>
                          <pic:cNvPicPr/>
                        </pic:nvPicPr>
                        <pic:blipFill>
                          <a:blip r:embed="rId8"/>
                          <a:stretch>
                            <a:fillRect/>
                          </a:stretch>
                        </pic:blipFill>
                        <pic:spPr>
                          <a:xfrm rot="0">
                            <a:off x="0" y="0"/>
                            <a:ext cx="2105025" cy="250190"/>
                          </a:xfrm>
                          <a:prstGeom prst="rect"/>
                          <a:noFill/>
                          <a:ln cmpd="sng" cap="flat">
                            <a:noFill/>
                            <a:prstDash val="solid"/>
                            <a:round/>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460" w:lineRule="exact"/>
              <w:ind w:firstLineChars="200" w:firstLine="480"/>
              <w:textAlignment w:val="auto"/>
              <w:rPr>
                <w:rFonts w:hint="eastAsia"/>
                <w:color w:val="auto"/>
                <w:sz w:val="24"/>
                <w:highlight w:val="none"/>
              </w:rPr>
            </w:pPr>
            <w:r>
              <w:rPr>
                <w:rFonts w:hint="eastAsia"/>
                <w:color w:val="auto"/>
                <w:sz w:val="24"/>
                <w:highlight w:val="none"/>
              </w:rPr>
              <w:t>式中：</w:t>
            </w:r>
            <w:r>
              <w:rPr>
                <w:rFonts w:hint="eastAsia"/>
                <w:color w:val="auto"/>
                <w:sz w:val="24"/>
                <w:highlight w:val="none"/>
              </w:rPr>
              <w:drawing>
                <wp:inline distT="0" distB="0" distL="114300" distR="114300">
                  <wp:extent cx="396875" cy="250190"/>
                  <wp:effectExtent l="0" t="0" r="0" b="0"/>
                  <wp:docPr id="102" name="图片 4" descr="C:\Users\user\AppData\Local\Temp\ksohtml4296\wps20.jpg"/>
                  <wp:cNvGraphicFramePr>
                    <a:graphicFrameLocks noChangeAspect="1"/>
                  </wp:cNvGraphicFramePr>
                  <a:graphic>
                    <a:graphicData uri="http://schemas.openxmlformats.org/drawingml/2006/picture">
                      <pic:pic>
                        <pic:nvPicPr>
                          <pic:cNvPr id="132" name="图片 4 132"/>
                          <pic:cNvPicPr/>
                        </pic:nvPicPr>
                        <pic:blipFill>
                          <a:blip r:embed="rId9"/>
                          <a:stretch>
                            <a:fillRect/>
                          </a:stretch>
                        </pic:blipFill>
                        <pic:spPr>
                          <a:xfrm rot="0">
                            <a:off x="0" y="0"/>
                            <a:ext cx="396875" cy="250190"/>
                          </a:xfrm>
                          <a:prstGeom prst="rect"/>
                          <a:noFill/>
                          <a:ln cmpd="sng" cap="flat">
                            <a:noFill/>
                            <a:prstDash val="solid"/>
                            <a:round/>
                          </a:ln>
                        </pic:spPr>
                      </pic:pic>
                    </a:graphicData>
                  </a:graphic>
                </wp:inline>
              </w:drawing>
            </w:r>
            <w:r>
              <w:rPr>
                <w:rFonts w:hint="eastAsia"/>
                <w:color w:val="auto"/>
                <w:sz w:val="24"/>
                <w:highlight w:val="none"/>
              </w:rPr>
              <w:t>——距离声源r处的倍频带声压级，dB；</w:t>
            </w:r>
          </w:p>
          <w:p>
            <w:pPr>
              <w:keepNext w:val="0"/>
              <w:keepLines w:val="0"/>
              <w:pageBreakBefore w:val="0"/>
              <w:widowControl w:val="0"/>
              <w:kinsoku/>
              <w:wordWrap/>
              <w:overflowPunct/>
              <w:topLinePunct w:val="0"/>
              <w:autoSpaceDE/>
              <w:autoSpaceDN/>
              <w:bidi w:val="0"/>
              <w:adjustRightInd/>
              <w:snapToGrid/>
              <w:spacing w:line="460" w:lineRule="exact"/>
              <w:ind w:firstLineChars="200" w:firstLine="480"/>
              <w:textAlignment w:val="auto"/>
              <w:rPr>
                <w:rFonts w:hint="eastAsia"/>
                <w:color w:val="auto"/>
                <w:sz w:val="24"/>
                <w:highlight w:val="none"/>
              </w:rPr>
            </w:pPr>
            <w:r>
              <w:rPr>
                <w:rFonts w:hint="eastAsia"/>
                <w:color w:val="auto"/>
                <w:sz w:val="24"/>
                <w:highlight w:val="none"/>
              </w:rPr>
              <w:drawing>
                <wp:inline distT="0" distB="0" distL="114300" distR="114300">
                  <wp:extent cx="207010" cy="224154"/>
                  <wp:effectExtent l="0" t="0" r="1" b="1"/>
                  <wp:docPr id="103" name="图片 5" descr="C:\Users\user\AppData\Local\Temp\ksohtml4296\wps21.jpg"/>
                  <wp:cNvGraphicFramePr>
                    <a:graphicFrameLocks noChangeAspect="1"/>
                  </wp:cNvGraphicFramePr>
                  <a:graphic>
                    <a:graphicData uri="http://schemas.openxmlformats.org/drawingml/2006/picture">
                      <pic:pic>
                        <pic:nvPicPr>
                          <pic:cNvPr id="134" name="图片 5 134"/>
                          <pic:cNvPicPr/>
                        </pic:nvPicPr>
                        <pic:blipFill>
                          <a:blip r:embed="rId10"/>
                          <a:stretch>
                            <a:fillRect/>
                          </a:stretch>
                        </pic:blipFill>
                        <pic:spPr>
                          <a:xfrm rot="0">
                            <a:off x="0" y="0"/>
                            <a:ext cx="207010" cy="224154"/>
                          </a:xfrm>
                          <a:prstGeom prst="rect"/>
                          <a:noFill/>
                          <a:ln cmpd="sng" cap="flat">
                            <a:noFill/>
                            <a:prstDash val="solid"/>
                            <a:round/>
                          </a:ln>
                        </pic:spPr>
                      </pic:pic>
                    </a:graphicData>
                  </a:graphic>
                </wp:inline>
              </w:drawing>
            </w:r>
            <w:r>
              <w:rPr>
                <w:rFonts w:hint="eastAsia"/>
                <w:color w:val="auto"/>
                <w:sz w:val="24"/>
                <w:highlight w:val="none"/>
              </w:rPr>
              <w:t>——倍频带声功率级，dB；</w:t>
            </w:r>
          </w:p>
          <w:p>
            <w:pPr>
              <w:keepNext w:val="0"/>
              <w:keepLines w:val="0"/>
              <w:pageBreakBefore w:val="0"/>
              <w:widowControl w:val="0"/>
              <w:kinsoku/>
              <w:wordWrap/>
              <w:overflowPunct/>
              <w:topLinePunct w:val="0"/>
              <w:autoSpaceDE/>
              <w:autoSpaceDN/>
              <w:bidi w:val="0"/>
              <w:adjustRightInd/>
              <w:snapToGrid/>
              <w:spacing w:line="460" w:lineRule="exact"/>
              <w:ind w:firstLineChars="200" w:firstLine="480"/>
              <w:textAlignment w:val="auto"/>
              <w:rPr>
                <w:rFonts w:hint="eastAsia"/>
                <w:color w:val="auto"/>
                <w:sz w:val="24"/>
                <w:highlight w:val="none"/>
              </w:rPr>
            </w:pPr>
            <w:r>
              <w:rPr>
                <w:rFonts w:hint="eastAsia"/>
                <w:color w:val="auto"/>
                <w:sz w:val="24"/>
                <w:highlight w:val="none"/>
              </w:rPr>
              <w:drawing>
                <wp:inline distT="0" distB="0" distL="114300" distR="114300">
                  <wp:extent cx="207010" cy="250190"/>
                  <wp:effectExtent l="0" t="0" r="1" b="0"/>
                  <wp:docPr id="104" name="图片 6" descr="C:\Users\user\AppData\Local\Temp\ksohtml4296\wps22.jpg"/>
                  <wp:cNvGraphicFramePr>
                    <a:graphicFrameLocks noChangeAspect="1"/>
                  </wp:cNvGraphicFramePr>
                  <a:graphic>
                    <a:graphicData uri="http://schemas.openxmlformats.org/drawingml/2006/picture">
                      <pic:pic>
                        <pic:nvPicPr>
                          <pic:cNvPr id="136" name="图片 6 136"/>
                          <pic:cNvPicPr/>
                        </pic:nvPicPr>
                        <pic:blipFill>
                          <a:blip r:embed="rId11"/>
                          <a:stretch>
                            <a:fillRect/>
                          </a:stretch>
                        </pic:blipFill>
                        <pic:spPr>
                          <a:xfrm rot="0">
                            <a:off x="0" y="0"/>
                            <a:ext cx="207010" cy="250190"/>
                          </a:xfrm>
                          <a:prstGeom prst="rect"/>
                          <a:noFill/>
                          <a:ln cmpd="sng" cap="flat">
                            <a:noFill/>
                            <a:prstDash val="solid"/>
                            <a:round/>
                          </a:ln>
                        </pic:spPr>
                      </pic:pic>
                    </a:graphicData>
                  </a:graphic>
                </wp:inline>
              </w:drawing>
            </w:r>
            <w:r>
              <w:rPr>
                <w:rFonts w:hint="eastAsia"/>
                <w:color w:val="auto"/>
                <w:sz w:val="24"/>
                <w:highlight w:val="none"/>
              </w:rPr>
              <w:t>——指向性校正，dB；</w:t>
            </w:r>
          </w:p>
          <w:p>
            <w:pPr>
              <w:keepNext w:val="0"/>
              <w:keepLines w:val="0"/>
              <w:pageBreakBefore w:val="0"/>
              <w:widowControl w:val="0"/>
              <w:kinsoku/>
              <w:wordWrap/>
              <w:overflowPunct/>
              <w:topLinePunct w:val="0"/>
              <w:autoSpaceDE/>
              <w:autoSpaceDN/>
              <w:bidi w:val="0"/>
              <w:adjustRightInd/>
              <w:snapToGrid/>
              <w:spacing w:line="460" w:lineRule="exact"/>
              <w:ind w:firstLineChars="200" w:firstLine="480"/>
              <w:textAlignment w:val="auto"/>
              <w:rPr>
                <w:rFonts w:hint="eastAsia"/>
                <w:color w:val="auto"/>
                <w:sz w:val="24"/>
                <w:highlight w:val="none"/>
              </w:rPr>
            </w:pPr>
            <w:r>
              <w:rPr>
                <w:rFonts w:hint="eastAsia"/>
                <w:color w:val="auto"/>
                <w:sz w:val="24"/>
                <w:highlight w:val="none"/>
              </w:rPr>
              <w:drawing>
                <wp:inline distT="0" distB="0" distL="114300" distR="114300">
                  <wp:extent cx="155575" cy="172720"/>
                  <wp:effectExtent l="0" t="0" r="1" b="0"/>
                  <wp:docPr id="105" name="图片 7" descr="C:\Users\user\AppData\Local\Temp\ksohtml4296\wps23.jpg"/>
                  <wp:cNvGraphicFramePr>
                    <a:graphicFrameLocks noChangeAspect="1"/>
                  </wp:cNvGraphicFramePr>
                  <a:graphic>
                    <a:graphicData uri="http://schemas.openxmlformats.org/drawingml/2006/picture">
                      <pic:pic>
                        <pic:nvPicPr>
                          <pic:cNvPr id="138" name="图片 7 138"/>
                          <pic:cNvPicPr/>
                        </pic:nvPicPr>
                        <pic:blipFill>
                          <a:blip r:embed="rId12"/>
                          <a:stretch>
                            <a:fillRect/>
                          </a:stretch>
                        </pic:blipFill>
                        <pic:spPr>
                          <a:xfrm rot="0">
                            <a:off x="0" y="0"/>
                            <a:ext cx="155575" cy="172720"/>
                          </a:xfrm>
                          <a:prstGeom prst="rect"/>
                          <a:noFill/>
                          <a:ln cmpd="sng" cap="flat">
                            <a:noFill/>
                            <a:prstDash val="solid"/>
                            <a:round/>
                          </a:ln>
                        </pic:spPr>
                      </pic:pic>
                    </a:graphicData>
                  </a:graphic>
                </wp:inline>
              </w:drawing>
            </w:r>
            <w:r>
              <w:rPr>
                <w:rFonts w:hint="eastAsia"/>
                <w:color w:val="auto"/>
                <w:sz w:val="24"/>
                <w:highlight w:val="none"/>
              </w:rPr>
              <w:t>——倍频带衰减，dB；</w:t>
            </w:r>
          </w:p>
          <w:p>
            <w:pPr>
              <w:keepNext w:val="0"/>
              <w:keepLines w:val="0"/>
              <w:pageBreakBefore w:val="0"/>
              <w:widowControl w:val="0"/>
              <w:kinsoku/>
              <w:wordWrap/>
              <w:overflowPunct/>
              <w:topLinePunct w:val="0"/>
              <w:autoSpaceDE/>
              <w:autoSpaceDN/>
              <w:bidi w:val="0"/>
              <w:adjustRightInd/>
              <w:snapToGrid/>
              <w:spacing w:line="460" w:lineRule="exact"/>
              <w:ind w:firstLineChars="200" w:firstLine="480"/>
              <w:textAlignment w:val="auto"/>
              <w:rPr>
                <w:rFonts w:hint="eastAsia"/>
                <w:color w:val="auto"/>
                <w:sz w:val="24"/>
                <w:highlight w:val="none"/>
              </w:rPr>
            </w:pPr>
            <w:r>
              <w:rPr>
                <w:rFonts w:hint="eastAsia"/>
                <w:color w:val="auto"/>
                <w:sz w:val="24"/>
                <w:highlight w:val="none"/>
              </w:rPr>
              <w:drawing>
                <wp:inline distT="0" distB="0" distL="114300" distR="114300">
                  <wp:extent cx="267334" cy="224154"/>
                  <wp:effectExtent l="0" t="0" r="0" b="1"/>
                  <wp:docPr id="106" name="图片 8" descr="C:\Users\user\AppData\Local\Temp\ksohtml4296\wps24.jpg"/>
                  <wp:cNvGraphicFramePr>
                    <a:graphicFrameLocks noChangeAspect="1"/>
                  </wp:cNvGraphicFramePr>
                  <a:graphic>
                    <a:graphicData uri="http://schemas.openxmlformats.org/drawingml/2006/picture">
                      <pic:pic>
                        <pic:nvPicPr>
                          <pic:cNvPr id="140" name="图片 8 140"/>
                          <pic:cNvPicPr/>
                        </pic:nvPicPr>
                        <pic:blipFill>
                          <a:blip r:embed="rId13"/>
                          <a:stretch>
                            <a:fillRect/>
                          </a:stretch>
                        </pic:blipFill>
                        <pic:spPr>
                          <a:xfrm rot="0">
                            <a:off x="0" y="0"/>
                            <a:ext cx="267334" cy="224154"/>
                          </a:xfrm>
                          <a:prstGeom prst="rect"/>
                          <a:noFill/>
                          <a:ln cmpd="sng" cap="flat">
                            <a:noFill/>
                            <a:prstDash val="solid"/>
                            <a:round/>
                          </a:ln>
                        </pic:spPr>
                      </pic:pic>
                    </a:graphicData>
                  </a:graphic>
                </wp:inline>
              </w:drawing>
            </w:r>
            <w:r>
              <w:rPr>
                <w:rFonts w:hint="eastAsia"/>
                <w:color w:val="auto"/>
                <w:sz w:val="24"/>
                <w:highlight w:val="none"/>
              </w:rPr>
              <w:t>——几何发散引起的倍频带衰减，dB；</w:t>
            </w:r>
          </w:p>
          <w:p>
            <w:pPr>
              <w:keepNext w:val="0"/>
              <w:keepLines w:val="0"/>
              <w:pageBreakBefore w:val="0"/>
              <w:widowControl w:val="0"/>
              <w:kinsoku/>
              <w:wordWrap/>
              <w:overflowPunct/>
              <w:topLinePunct w:val="0"/>
              <w:autoSpaceDE/>
              <w:autoSpaceDN/>
              <w:bidi w:val="0"/>
              <w:adjustRightInd/>
              <w:snapToGrid/>
              <w:spacing w:line="460" w:lineRule="exact"/>
              <w:ind w:firstLineChars="200" w:firstLine="480"/>
              <w:textAlignment w:val="auto"/>
              <w:rPr>
                <w:rFonts w:hint="eastAsia"/>
                <w:color w:val="auto"/>
                <w:sz w:val="24"/>
                <w:highlight w:val="none"/>
              </w:rPr>
            </w:pPr>
            <w:r>
              <w:rPr>
                <w:rFonts w:hint="eastAsia"/>
                <w:color w:val="auto"/>
                <w:sz w:val="24"/>
                <w:highlight w:val="none"/>
              </w:rPr>
              <w:drawing>
                <wp:inline distT="0" distB="0" distL="114300" distR="114300">
                  <wp:extent cx="250190" cy="267334"/>
                  <wp:effectExtent l="0" t="0" r="0" b="0"/>
                  <wp:docPr id="107" name="图片 9" descr="C:\Users\user\AppData\Local\Temp\ksohtml4296\wps25.jpg"/>
                  <wp:cNvGraphicFramePr>
                    <a:graphicFrameLocks noChangeAspect="1"/>
                  </wp:cNvGraphicFramePr>
                  <a:graphic>
                    <a:graphicData uri="http://schemas.openxmlformats.org/drawingml/2006/picture">
                      <pic:pic>
                        <pic:nvPicPr>
                          <pic:cNvPr id="142" name="图片 9 142"/>
                          <pic:cNvPicPr/>
                        </pic:nvPicPr>
                        <pic:blipFill>
                          <a:blip r:embed="rId14"/>
                          <a:stretch>
                            <a:fillRect/>
                          </a:stretch>
                        </pic:blipFill>
                        <pic:spPr>
                          <a:xfrm rot="0">
                            <a:off x="0" y="0"/>
                            <a:ext cx="250190" cy="267334"/>
                          </a:xfrm>
                          <a:prstGeom prst="rect"/>
                          <a:noFill/>
                          <a:ln cmpd="sng" cap="flat">
                            <a:noFill/>
                            <a:prstDash val="solid"/>
                            <a:round/>
                          </a:ln>
                        </pic:spPr>
                      </pic:pic>
                    </a:graphicData>
                  </a:graphic>
                </wp:inline>
              </w:drawing>
            </w:r>
            <w:r>
              <w:rPr>
                <w:rFonts w:hint="eastAsia"/>
                <w:color w:val="auto"/>
                <w:sz w:val="24"/>
                <w:highlight w:val="none"/>
              </w:rPr>
              <w:t>——地面效应引起的倍频带衰减，dB；</w:t>
            </w:r>
          </w:p>
          <w:p>
            <w:pPr>
              <w:keepNext w:val="0"/>
              <w:keepLines w:val="0"/>
              <w:pageBreakBefore w:val="0"/>
              <w:widowControl w:val="0"/>
              <w:kinsoku/>
              <w:wordWrap/>
              <w:overflowPunct/>
              <w:topLinePunct w:val="0"/>
              <w:autoSpaceDE/>
              <w:autoSpaceDN/>
              <w:bidi w:val="0"/>
              <w:adjustRightInd/>
              <w:snapToGrid/>
              <w:spacing w:line="460" w:lineRule="exact"/>
              <w:ind w:firstLineChars="200" w:firstLine="480"/>
              <w:textAlignment w:val="auto"/>
              <w:rPr>
                <w:rFonts w:hint="eastAsia"/>
                <w:color w:val="auto"/>
                <w:sz w:val="24"/>
                <w:highlight w:val="none"/>
              </w:rPr>
            </w:pPr>
            <w:r>
              <w:rPr>
                <w:rFonts w:hint="eastAsia"/>
                <w:color w:val="auto"/>
                <w:sz w:val="24"/>
                <w:highlight w:val="none"/>
              </w:rPr>
              <w:drawing>
                <wp:inline distT="0" distB="0" distL="114300" distR="114300">
                  <wp:extent cx="284479" cy="224154"/>
                  <wp:effectExtent l="0" t="0" r="0" b="1"/>
                  <wp:docPr id="108" name="图片 10" descr="C:\Users\user\AppData\Local\Temp\ksohtml4296\wps26.jpg"/>
                  <wp:cNvGraphicFramePr>
                    <a:graphicFrameLocks noChangeAspect="1"/>
                  </wp:cNvGraphicFramePr>
                  <a:graphic>
                    <a:graphicData uri="http://schemas.openxmlformats.org/drawingml/2006/picture">
                      <pic:pic>
                        <pic:nvPicPr>
                          <pic:cNvPr id="144" name="图片 10 144"/>
                          <pic:cNvPicPr/>
                        </pic:nvPicPr>
                        <pic:blipFill>
                          <a:blip r:embed="rId15"/>
                          <a:stretch>
                            <a:fillRect/>
                          </a:stretch>
                        </pic:blipFill>
                        <pic:spPr>
                          <a:xfrm rot="0">
                            <a:off x="0" y="0"/>
                            <a:ext cx="284479" cy="224154"/>
                          </a:xfrm>
                          <a:prstGeom prst="rect"/>
                          <a:noFill/>
                          <a:ln cmpd="sng" cap="flat">
                            <a:noFill/>
                            <a:prstDash val="solid"/>
                            <a:round/>
                          </a:ln>
                        </pic:spPr>
                      </pic:pic>
                    </a:graphicData>
                  </a:graphic>
                </wp:inline>
              </w:drawing>
            </w:r>
            <w:r>
              <w:rPr>
                <w:rFonts w:hint="eastAsia"/>
                <w:color w:val="auto"/>
                <w:sz w:val="24"/>
                <w:highlight w:val="none"/>
              </w:rPr>
              <w:t>——大气吸收引起的倍频带衰减，dB；</w:t>
            </w:r>
          </w:p>
          <w:p>
            <w:pPr>
              <w:keepNext w:val="0"/>
              <w:keepLines w:val="0"/>
              <w:pageBreakBefore w:val="0"/>
              <w:widowControl w:val="0"/>
              <w:kinsoku/>
              <w:wordWrap/>
              <w:overflowPunct/>
              <w:topLinePunct w:val="0"/>
              <w:autoSpaceDE/>
              <w:autoSpaceDN/>
              <w:bidi w:val="0"/>
              <w:adjustRightInd/>
              <w:snapToGrid/>
              <w:spacing w:line="460" w:lineRule="exact"/>
              <w:ind w:firstLineChars="200" w:firstLine="480"/>
              <w:textAlignment w:val="auto"/>
              <w:rPr>
                <w:rFonts w:hint="eastAsia"/>
                <w:color w:val="auto"/>
                <w:sz w:val="24"/>
                <w:highlight w:val="none"/>
              </w:rPr>
            </w:pPr>
            <w:r>
              <w:rPr>
                <w:rFonts w:hint="eastAsia"/>
                <w:color w:val="auto"/>
                <w:sz w:val="24"/>
                <w:highlight w:val="none"/>
              </w:rPr>
              <w:drawing>
                <wp:inline distT="0" distB="0" distL="114300" distR="114300">
                  <wp:extent cx="284479" cy="224154"/>
                  <wp:effectExtent l="0" t="0" r="0" b="1"/>
                  <wp:docPr id="109" name="图片 11" descr="C:\Users\user\AppData\Local\Temp\ksohtml4296\wps27.jpg"/>
                  <wp:cNvGraphicFramePr>
                    <a:graphicFrameLocks noChangeAspect="1"/>
                  </wp:cNvGraphicFramePr>
                  <a:graphic>
                    <a:graphicData uri="http://schemas.openxmlformats.org/drawingml/2006/picture">
                      <pic:pic>
                        <pic:nvPicPr>
                          <pic:cNvPr id="146" name="图片 11 146"/>
                          <pic:cNvPicPr/>
                        </pic:nvPicPr>
                        <pic:blipFill>
                          <a:blip r:embed="rId16"/>
                          <a:stretch>
                            <a:fillRect/>
                          </a:stretch>
                        </pic:blipFill>
                        <pic:spPr>
                          <a:xfrm rot="0">
                            <a:off x="0" y="0"/>
                            <a:ext cx="284479" cy="224154"/>
                          </a:xfrm>
                          <a:prstGeom prst="rect"/>
                          <a:noFill/>
                          <a:ln cmpd="sng" cap="flat">
                            <a:noFill/>
                            <a:prstDash val="solid"/>
                            <a:round/>
                          </a:ln>
                        </pic:spPr>
                      </pic:pic>
                    </a:graphicData>
                  </a:graphic>
                </wp:inline>
              </w:drawing>
            </w:r>
            <w:r>
              <w:rPr>
                <w:rFonts w:hint="eastAsia"/>
                <w:color w:val="auto"/>
                <w:sz w:val="24"/>
                <w:highlight w:val="none"/>
              </w:rPr>
              <w:t>——声屏障引起的倍频带衰减，dB；</w:t>
            </w:r>
          </w:p>
          <w:p>
            <w:pPr>
              <w:keepNext w:val="0"/>
              <w:keepLines w:val="0"/>
              <w:pageBreakBefore w:val="0"/>
              <w:widowControl w:val="0"/>
              <w:kinsoku/>
              <w:wordWrap/>
              <w:overflowPunct/>
              <w:topLinePunct w:val="0"/>
              <w:autoSpaceDE/>
              <w:autoSpaceDN/>
              <w:bidi w:val="0"/>
              <w:adjustRightInd/>
              <w:snapToGrid/>
              <w:spacing w:line="460" w:lineRule="exact"/>
              <w:ind w:firstLineChars="200" w:firstLine="480"/>
              <w:textAlignment w:val="auto"/>
              <w:rPr>
                <w:rFonts w:hint="eastAsia"/>
                <w:color w:val="auto"/>
                <w:sz w:val="24"/>
                <w:highlight w:val="none"/>
              </w:rPr>
            </w:pPr>
            <w:r>
              <w:rPr>
                <w:rFonts w:hint="eastAsia"/>
                <w:color w:val="auto"/>
                <w:sz w:val="24"/>
                <w:highlight w:val="none"/>
              </w:rPr>
              <w:drawing>
                <wp:inline distT="0" distB="0" distL="114300" distR="114300">
                  <wp:extent cx="327660" cy="224154"/>
                  <wp:effectExtent l="0" t="0" r="0" b="1"/>
                  <wp:docPr id="110" name="图片 12" descr="C:\Users\user\AppData\Local\Temp\ksohtml4296\wps28.jpg"/>
                  <wp:cNvGraphicFramePr>
                    <a:graphicFrameLocks noChangeAspect="1"/>
                  </wp:cNvGraphicFramePr>
                  <a:graphic>
                    <a:graphicData uri="http://schemas.openxmlformats.org/drawingml/2006/picture">
                      <pic:pic>
                        <pic:nvPicPr>
                          <pic:cNvPr id="148" name="图片 12 148"/>
                          <pic:cNvPicPr/>
                        </pic:nvPicPr>
                        <pic:blipFill>
                          <a:blip r:embed="rId17"/>
                          <a:stretch>
                            <a:fillRect/>
                          </a:stretch>
                        </pic:blipFill>
                        <pic:spPr>
                          <a:xfrm rot="0">
                            <a:off x="0" y="0"/>
                            <a:ext cx="327660" cy="224154"/>
                          </a:xfrm>
                          <a:prstGeom prst="rect"/>
                          <a:noFill/>
                          <a:ln cmpd="sng" cap="flat">
                            <a:noFill/>
                            <a:prstDash val="solid"/>
                            <a:round/>
                          </a:ln>
                        </pic:spPr>
                      </pic:pic>
                    </a:graphicData>
                  </a:graphic>
                </wp:inline>
              </w:drawing>
            </w:r>
            <w:r>
              <w:rPr>
                <w:rFonts w:hint="eastAsia"/>
                <w:color w:val="auto"/>
                <w:sz w:val="24"/>
                <w:highlight w:val="none"/>
              </w:rPr>
              <w:t>——其它多方面效应引起的倍频带衰减，dB。</w:t>
            </w:r>
          </w:p>
          <w:p>
            <w:pPr>
              <w:keepNext w:val="0"/>
              <w:keepLines w:val="0"/>
              <w:pageBreakBefore w:val="0"/>
              <w:widowControl w:val="0"/>
              <w:kinsoku/>
              <w:wordWrap/>
              <w:overflowPunct/>
              <w:topLinePunct w:val="0"/>
              <w:autoSpaceDE/>
              <w:autoSpaceDN/>
              <w:bidi w:val="0"/>
              <w:adjustRightInd/>
              <w:snapToGrid/>
              <w:spacing w:line="460" w:lineRule="exact"/>
              <w:ind w:firstLineChars="200" w:firstLine="480"/>
              <w:textAlignment w:val="auto"/>
              <w:rPr>
                <w:rFonts w:hint="eastAsia"/>
                <w:color w:val="auto"/>
                <w:sz w:val="24"/>
                <w:highlight w:val="none"/>
              </w:rPr>
            </w:pPr>
            <w:r>
              <w:rPr>
                <w:rFonts w:hint="eastAsia"/>
                <w:color w:val="auto"/>
                <w:sz w:val="24"/>
                <w:highlight w:val="none"/>
              </w:rPr>
              <w:t>②室内点声源对厂界噪声预测点贡献值预测模式</w:t>
            </w:r>
          </w:p>
          <w:p>
            <w:pPr>
              <w:keepNext w:val="0"/>
              <w:keepLines w:val="0"/>
              <w:pageBreakBefore w:val="0"/>
              <w:widowControl w:val="0"/>
              <w:kinsoku/>
              <w:wordWrap/>
              <w:overflowPunct/>
              <w:topLinePunct w:val="0"/>
              <w:autoSpaceDE/>
              <w:autoSpaceDN/>
              <w:bidi w:val="0"/>
              <w:adjustRightInd/>
              <w:snapToGrid/>
              <w:spacing w:line="460" w:lineRule="exact"/>
              <w:ind w:firstLineChars="200" w:firstLine="480"/>
              <w:textAlignment w:val="auto"/>
              <w:rPr>
                <w:rFonts w:hint="eastAsia"/>
                <w:color w:val="auto"/>
                <w:sz w:val="24"/>
                <w:highlight w:val="none"/>
              </w:rPr>
            </w:pPr>
            <w:r>
              <w:rPr>
                <w:rFonts w:hint="eastAsia"/>
                <w:color w:val="auto"/>
                <w:sz w:val="24"/>
                <w:highlight w:val="none"/>
              </w:rPr>
              <w:t>室内声源首先换算为等效室外声源，再按各类声源模式计算。</w:t>
            </w:r>
          </w:p>
          <w:p>
            <w:pPr>
              <w:keepNext w:val="0"/>
              <w:keepLines w:val="0"/>
              <w:pageBreakBefore w:val="0"/>
              <w:widowControl w:val="0"/>
              <w:kinsoku/>
              <w:wordWrap/>
              <w:overflowPunct/>
              <w:topLinePunct w:val="0"/>
              <w:autoSpaceDE/>
              <w:autoSpaceDN/>
              <w:bidi w:val="0"/>
              <w:adjustRightInd/>
              <w:snapToGrid/>
              <w:spacing w:line="460" w:lineRule="exact"/>
              <w:ind w:firstLineChars="200" w:firstLine="480"/>
              <w:textAlignment w:val="auto"/>
              <w:rPr>
                <w:rFonts w:hint="eastAsia"/>
                <w:color w:val="auto"/>
                <w:sz w:val="24"/>
                <w:highlight w:val="none"/>
              </w:rPr>
            </w:pPr>
            <w:r>
              <w:rPr>
                <w:rFonts w:hint="eastAsia"/>
                <w:color w:val="auto"/>
                <w:sz w:val="24"/>
                <w:highlight w:val="none"/>
              </w:rPr>
              <w:t>A、首先计算出某个室内声源靠近围护结构处的倍频带声压级：</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olor w:val="auto"/>
                <w:sz w:val="24"/>
                <w:highlight w:val="none"/>
              </w:rPr>
            </w:pPr>
            <w:r>
              <w:rPr>
                <w:rFonts w:hint="eastAsia"/>
                <w:color w:val="auto"/>
                <w:sz w:val="24"/>
                <w:highlight w:val="none"/>
              </w:rPr>
              <w:drawing>
                <wp:inline distT="0" distB="0" distL="114300" distR="114300">
                  <wp:extent cx="1716405" cy="396875"/>
                  <wp:effectExtent l="0" t="0" r="0" b="0"/>
                  <wp:docPr id="111" name="图片 13" descr="C:\Users\user\AppData\Local\Temp\ksohtml4296\wps29.jpg"/>
                  <wp:cNvGraphicFramePr>
                    <a:graphicFrameLocks noChangeAspect="1"/>
                  </wp:cNvGraphicFramePr>
                  <a:graphic>
                    <a:graphicData uri="http://schemas.openxmlformats.org/drawingml/2006/picture">
                      <pic:pic>
                        <pic:nvPicPr>
                          <pic:cNvPr id="150" name="图片 13 150"/>
                          <pic:cNvPicPr/>
                        </pic:nvPicPr>
                        <pic:blipFill>
                          <a:blip r:embed="rId18"/>
                          <a:stretch>
                            <a:fillRect/>
                          </a:stretch>
                        </pic:blipFill>
                        <pic:spPr>
                          <a:xfrm rot="0">
                            <a:off x="0" y="0"/>
                            <a:ext cx="1716405" cy="396875"/>
                          </a:xfrm>
                          <a:prstGeom prst="rect"/>
                          <a:noFill/>
                          <a:ln cmpd="sng" cap="flat">
                            <a:noFill/>
                            <a:prstDash val="solid"/>
                            <a:round/>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460" w:lineRule="exact"/>
              <w:ind w:firstLineChars="200" w:firstLine="480"/>
              <w:textAlignment w:val="auto"/>
              <w:rPr>
                <w:rFonts w:hint="eastAsia"/>
                <w:color w:val="auto"/>
                <w:sz w:val="24"/>
                <w:highlight w:val="none"/>
              </w:rPr>
            </w:pPr>
            <w:r>
              <w:rPr>
                <w:rFonts w:hint="eastAsia"/>
                <w:color w:val="auto"/>
                <w:sz w:val="24"/>
                <w:highlight w:val="none"/>
              </w:rPr>
              <w:t>式中：</w:t>
            </w:r>
            <w:r>
              <w:rPr>
                <w:rFonts w:hint="eastAsia"/>
                <w:color w:val="auto"/>
                <w:sz w:val="24"/>
                <w:highlight w:val="none"/>
              </w:rPr>
              <w:drawing>
                <wp:inline distT="0" distB="0" distL="114300" distR="114300">
                  <wp:extent cx="224154" cy="250190"/>
                  <wp:effectExtent l="0" t="0" r="1" b="0"/>
                  <wp:docPr id="112" name="图片 14" descr="C:\Users\user\AppData\Local\Temp\ksohtml4296\wps30.jpg"/>
                  <wp:cNvGraphicFramePr>
                    <a:graphicFrameLocks noChangeAspect="1"/>
                  </wp:cNvGraphicFramePr>
                  <a:graphic>
                    <a:graphicData uri="http://schemas.openxmlformats.org/drawingml/2006/picture">
                      <pic:pic>
                        <pic:nvPicPr>
                          <pic:cNvPr id="152" name="图片 14 152"/>
                          <pic:cNvPicPr/>
                        </pic:nvPicPr>
                        <pic:blipFill>
                          <a:blip r:embed="rId19"/>
                          <a:stretch>
                            <a:fillRect/>
                          </a:stretch>
                        </pic:blipFill>
                        <pic:spPr>
                          <a:xfrm rot="0">
                            <a:off x="0" y="0"/>
                            <a:ext cx="224154" cy="250190"/>
                          </a:xfrm>
                          <a:prstGeom prst="rect"/>
                          <a:noFill/>
                          <a:ln cmpd="sng" cap="flat">
                            <a:noFill/>
                            <a:prstDash val="solid"/>
                            <a:round/>
                          </a:ln>
                        </pic:spPr>
                      </pic:pic>
                    </a:graphicData>
                  </a:graphic>
                </wp:inline>
              </w:drawing>
            </w:r>
            <w:r>
              <w:rPr>
                <w:rFonts w:hint="eastAsia"/>
                <w:color w:val="auto"/>
                <w:sz w:val="24"/>
                <w:highlight w:val="none"/>
              </w:rPr>
              <w:t>——室内声源在靠近围护结构处产生的倍频带声压级，dB；</w:t>
            </w:r>
          </w:p>
          <w:p>
            <w:pPr>
              <w:keepNext w:val="0"/>
              <w:keepLines w:val="0"/>
              <w:pageBreakBefore w:val="0"/>
              <w:widowControl w:val="0"/>
              <w:kinsoku/>
              <w:wordWrap/>
              <w:overflowPunct/>
              <w:topLinePunct w:val="0"/>
              <w:autoSpaceDE/>
              <w:autoSpaceDN/>
              <w:bidi w:val="0"/>
              <w:adjustRightInd/>
              <w:snapToGrid/>
              <w:spacing w:line="460" w:lineRule="exact"/>
              <w:ind w:firstLineChars="200" w:firstLine="480"/>
              <w:textAlignment w:val="auto"/>
              <w:rPr>
                <w:rFonts w:hint="eastAsia"/>
                <w:color w:val="auto"/>
                <w:sz w:val="24"/>
                <w:highlight w:val="none"/>
              </w:rPr>
            </w:pPr>
            <w:r>
              <w:rPr>
                <w:rFonts w:hint="eastAsia"/>
                <w:color w:val="auto"/>
                <w:sz w:val="24"/>
                <w:highlight w:val="none"/>
              </w:rPr>
              <w:drawing>
                <wp:inline distT="0" distB="0" distL="114300" distR="114300">
                  <wp:extent cx="207010" cy="224154"/>
                  <wp:effectExtent l="0" t="0" r="1" b="1"/>
                  <wp:docPr id="113" name="图片 15" descr="C:\Users\user\AppData\Local\Temp\ksohtml4296\wps31.jpg"/>
                  <wp:cNvGraphicFramePr>
                    <a:graphicFrameLocks noChangeAspect="1"/>
                  </wp:cNvGraphicFramePr>
                  <a:graphic>
                    <a:graphicData uri="http://schemas.openxmlformats.org/drawingml/2006/picture">
                      <pic:pic>
                        <pic:nvPicPr>
                          <pic:cNvPr id="153" name="图片 15 153"/>
                          <pic:cNvPicPr/>
                        </pic:nvPicPr>
                        <pic:blipFill>
                          <a:blip r:embed="rId20"/>
                          <a:stretch>
                            <a:fillRect/>
                          </a:stretch>
                        </pic:blipFill>
                        <pic:spPr>
                          <a:xfrm rot="0">
                            <a:off x="0" y="0"/>
                            <a:ext cx="207010" cy="224154"/>
                          </a:xfrm>
                          <a:prstGeom prst="rect"/>
                          <a:noFill/>
                          <a:ln cmpd="sng" cap="flat">
                            <a:noFill/>
                            <a:prstDash val="solid"/>
                            <a:round/>
                          </a:ln>
                        </pic:spPr>
                      </pic:pic>
                    </a:graphicData>
                  </a:graphic>
                </wp:inline>
              </w:drawing>
            </w:r>
            <w:r>
              <w:rPr>
                <w:rFonts w:hint="eastAsia"/>
                <w:color w:val="auto"/>
                <w:sz w:val="24"/>
                <w:highlight w:val="none"/>
              </w:rPr>
              <w:t>——声源的倍频带声功率级，dB；</w:t>
            </w:r>
          </w:p>
          <w:p>
            <w:pPr>
              <w:keepNext w:val="0"/>
              <w:keepLines w:val="0"/>
              <w:pageBreakBefore w:val="0"/>
              <w:widowControl w:val="0"/>
              <w:kinsoku/>
              <w:wordWrap/>
              <w:overflowPunct/>
              <w:topLinePunct w:val="0"/>
              <w:autoSpaceDE/>
              <w:autoSpaceDN/>
              <w:bidi w:val="0"/>
              <w:adjustRightInd/>
              <w:snapToGrid/>
              <w:spacing w:line="460" w:lineRule="exact"/>
              <w:ind w:firstLineChars="200" w:firstLine="480"/>
              <w:textAlignment w:val="auto"/>
              <w:rPr>
                <w:rFonts w:hint="eastAsia"/>
                <w:color w:val="auto"/>
                <w:sz w:val="24"/>
                <w:highlight w:val="none"/>
              </w:rPr>
            </w:pPr>
            <w:r>
              <w:rPr>
                <w:rFonts w:hint="eastAsia"/>
                <w:color w:val="auto"/>
                <w:sz w:val="24"/>
                <w:highlight w:val="none"/>
              </w:rPr>
              <w:drawing>
                <wp:inline distT="0" distB="0" distL="114300" distR="114300">
                  <wp:extent cx="120650" cy="120650"/>
                  <wp:effectExtent l="0" t="0" r="0" b="0"/>
                  <wp:docPr id="114" name="图片 16" descr="C:\Users\user\AppData\Local\Temp\ksohtml4296\wps32.jpg"/>
                  <wp:cNvGraphicFramePr>
                    <a:graphicFrameLocks noChangeAspect="1"/>
                  </wp:cNvGraphicFramePr>
                  <a:graphic>
                    <a:graphicData uri="http://schemas.openxmlformats.org/drawingml/2006/picture">
                      <pic:pic>
                        <pic:nvPicPr>
                          <pic:cNvPr id="155" name="图片 16 155"/>
                          <pic:cNvPicPr/>
                        </pic:nvPicPr>
                        <pic:blipFill>
                          <a:blip r:embed="rId21"/>
                          <a:stretch>
                            <a:fillRect/>
                          </a:stretch>
                        </pic:blipFill>
                        <pic:spPr>
                          <a:xfrm rot="0">
                            <a:off x="0" y="0"/>
                            <a:ext cx="120650" cy="120650"/>
                          </a:xfrm>
                          <a:prstGeom prst="rect"/>
                          <a:noFill/>
                          <a:ln cmpd="sng" cap="flat">
                            <a:noFill/>
                            <a:prstDash val="solid"/>
                            <a:round/>
                          </a:ln>
                        </pic:spPr>
                      </pic:pic>
                    </a:graphicData>
                  </a:graphic>
                </wp:inline>
              </w:drawing>
            </w:r>
            <w:r>
              <w:rPr>
                <w:rFonts w:hint="eastAsia"/>
                <w:color w:val="auto"/>
                <w:sz w:val="24"/>
                <w:highlight w:val="none"/>
              </w:rPr>
              <w:t>——声源到靠近围护结构某点处的距离，m；</w:t>
            </w:r>
          </w:p>
          <w:p>
            <w:pPr>
              <w:keepNext w:val="0"/>
              <w:keepLines w:val="0"/>
              <w:pageBreakBefore w:val="0"/>
              <w:widowControl w:val="0"/>
              <w:kinsoku/>
              <w:wordWrap/>
              <w:overflowPunct/>
              <w:topLinePunct w:val="0"/>
              <w:autoSpaceDE/>
              <w:autoSpaceDN/>
              <w:bidi w:val="0"/>
              <w:adjustRightInd/>
              <w:snapToGrid/>
              <w:spacing w:line="460" w:lineRule="exact"/>
              <w:ind w:firstLineChars="200" w:firstLine="480"/>
              <w:textAlignment w:val="auto"/>
              <w:rPr>
                <w:rFonts w:hint="eastAsia"/>
                <w:color w:val="auto"/>
                <w:sz w:val="24"/>
                <w:highlight w:val="none"/>
              </w:rPr>
            </w:pPr>
            <w:r>
              <w:rPr>
                <w:rFonts w:hint="eastAsia"/>
                <w:color w:val="auto"/>
                <w:sz w:val="24"/>
                <w:highlight w:val="none"/>
              </w:rPr>
              <w:drawing>
                <wp:inline distT="0" distB="0" distL="114300" distR="114300">
                  <wp:extent cx="155575" cy="207010"/>
                  <wp:effectExtent l="0" t="0" r="1" b="1"/>
                  <wp:docPr id="115" name="图片 17" descr="C:\Users\user\AppData\Local\Temp\ksohtml4296\wps33.jpg"/>
                  <wp:cNvGraphicFramePr>
                    <a:graphicFrameLocks noChangeAspect="1"/>
                  </wp:cNvGraphicFramePr>
                  <a:graphic>
                    <a:graphicData uri="http://schemas.openxmlformats.org/drawingml/2006/picture">
                      <pic:pic>
                        <pic:nvPicPr>
                          <pic:cNvPr id="157" name="图片 17 157"/>
                          <pic:cNvPicPr/>
                        </pic:nvPicPr>
                        <pic:blipFill>
                          <a:blip r:embed="rId22"/>
                          <a:stretch>
                            <a:fillRect/>
                          </a:stretch>
                        </pic:blipFill>
                        <pic:spPr>
                          <a:xfrm rot="0">
                            <a:off x="0" y="0"/>
                            <a:ext cx="155575" cy="207010"/>
                          </a:xfrm>
                          <a:prstGeom prst="rect"/>
                          <a:noFill/>
                          <a:ln cmpd="sng" cap="flat">
                            <a:noFill/>
                            <a:prstDash val="solid"/>
                            <a:round/>
                          </a:ln>
                        </pic:spPr>
                      </pic:pic>
                    </a:graphicData>
                  </a:graphic>
                </wp:inline>
              </w:drawing>
            </w:r>
            <w:r>
              <w:rPr>
                <w:rFonts w:hint="eastAsia"/>
                <w:color w:val="auto"/>
                <w:sz w:val="24"/>
                <w:highlight w:val="none"/>
              </w:rPr>
              <w:t>——指向性因子；</w:t>
            </w:r>
          </w:p>
          <w:p>
            <w:pPr>
              <w:keepNext w:val="0"/>
              <w:keepLines w:val="0"/>
              <w:pageBreakBefore w:val="0"/>
              <w:widowControl w:val="0"/>
              <w:kinsoku/>
              <w:wordWrap/>
              <w:overflowPunct/>
              <w:topLinePunct w:val="0"/>
              <w:autoSpaceDE/>
              <w:autoSpaceDN/>
              <w:bidi w:val="0"/>
              <w:adjustRightInd/>
              <w:snapToGrid/>
              <w:spacing w:line="460" w:lineRule="exact"/>
              <w:ind w:firstLineChars="200" w:firstLine="480"/>
              <w:textAlignment w:val="auto"/>
              <w:rPr>
                <w:rFonts w:hint="eastAsia"/>
                <w:color w:val="auto"/>
                <w:sz w:val="24"/>
                <w:highlight w:val="none"/>
              </w:rPr>
            </w:pPr>
            <w:r>
              <w:rPr>
                <w:rFonts w:hint="eastAsia"/>
                <w:color w:val="auto"/>
                <w:sz w:val="24"/>
                <w:highlight w:val="none"/>
              </w:rPr>
              <w:drawing>
                <wp:inline distT="0" distB="0" distL="114300" distR="114300">
                  <wp:extent cx="155575" cy="172720"/>
                  <wp:effectExtent l="0" t="0" r="1" b="1"/>
                  <wp:docPr id="116" name="图片 18" descr="C:\Users\user\AppData\Local\Temp\ksohtml4296\wps34.jpg"/>
                  <wp:cNvGraphicFramePr>
                    <a:graphicFrameLocks noChangeAspect="1"/>
                  </wp:cNvGraphicFramePr>
                  <a:graphic>
                    <a:graphicData uri="http://schemas.openxmlformats.org/drawingml/2006/picture">
                      <pic:pic>
                        <pic:nvPicPr>
                          <pic:cNvPr id="159" name="图片 18 159"/>
                          <pic:cNvPicPr/>
                        </pic:nvPicPr>
                        <pic:blipFill>
                          <a:blip r:embed="rId23"/>
                          <a:stretch>
                            <a:fillRect/>
                          </a:stretch>
                        </pic:blipFill>
                        <pic:spPr>
                          <a:xfrm rot="0">
                            <a:off x="0" y="0"/>
                            <a:ext cx="155575" cy="172720"/>
                          </a:xfrm>
                          <a:prstGeom prst="rect"/>
                          <a:noFill/>
                          <a:ln cmpd="sng" cap="flat">
                            <a:noFill/>
                            <a:prstDash val="solid"/>
                            <a:round/>
                          </a:ln>
                        </pic:spPr>
                      </pic:pic>
                    </a:graphicData>
                  </a:graphic>
                </wp:inline>
              </w:drawing>
            </w:r>
            <w:r>
              <w:rPr>
                <w:rFonts w:hint="eastAsia"/>
                <w:color w:val="auto"/>
                <w:sz w:val="24"/>
                <w:highlight w:val="none"/>
              </w:rPr>
              <w:t>——房间常数，</w:t>
            </w:r>
            <w:r>
              <w:rPr>
                <w:rFonts w:hint="eastAsia"/>
                <w:color w:val="auto"/>
                <w:sz w:val="24"/>
                <w:highlight w:val="none"/>
              </w:rPr>
              <w:drawing>
                <wp:inline distT="0" distB="0" distL="114300" distR="114300">
                  <wp:extent cx="974725" cy="207010"/>
                  <wp:effectExtent l="0" t="0" r="1" b="1"/>
                  <wp:docPr id="117" name="图片 19" descr="C:\Users\user\AppData\Local\Temp\ksohtml4296\wps35.jpg"/>
                  <wp:cNvGraphicFramePr>
                    <a:graphicFrameLocks noChangeAspect="1"/>
                  </wp:cNvGraphicFramePr>
                  <a:graphic>
                    <a:graphicData uri="http://schemas.openxmlformats.org/drawingml/2006/picture">
                      <pic:pic>
                        <pic:nvPicPr>
                          <pic:cNvPr id="161" name="图片 19 161"/>
                          <pic:cNvPicPr/>
                        </pic:nvPicPr>
                        <pic:blipFill>
                          <a:blip r:embed="rId24"/>
                          <a:stretch>
                            <a:fillRect/>
                          </a:stretch>
                        </pic:blipFill>
                        <pic:spPr>
                          <a:xfrm rot="0">
                            <a:off x="0" y="0"/>
                            <a:ext cx="974725" cy="207010"/>
                          </a:xfrm>
                          <a:prstGeom prst="rect"/>
                          <a:noFill/>
                          <a:ln cmpd="sng" cap="flat">
                            <a:noFill/>
                            <a:prstDash val="solid"/>
                            <a:round/>
                          </a:ln>
                        </pic:spPr>
                      </pic:pic>
                    </a:graphicData>
                  </a:graphic>
                </wp:inline>
              </w:drawing>
            </w:r>
            <w:r>
              <w:rPr>
                <w:rFonts w:hint="eastAsia"/>
                <w:color w:val="auto"/>
                <w:sz w:val="24"/>
                <w:highlight w:val="none"/>
              </w:rPr>
              <w:t>，</w:t>
            </w:r>
            <w:r>
              <w:rPr>
                <w:rFonts w:hint="eastAsia"/>
                <w:color w:val="auto"/>
                <w:sz w:val="24"/>
                <w:highlight w:val="none"/>
              </w:rPr>
              <w:drawing>
                <wp:inline distT="0" distB="0" distL="114300" distR="114300">
                  <wp:extent cx="146685" cy="180975"/>
                  <wp:effectExtent l="0" t="0" r="1" b="0"/>
                  <wp:docPr id="118" name="图片 20" descr="C:\Users\user\AppData\Local\Temp\ksohtml4296\wps36.jpg"/>
                  <wp:cNvGraphicFramePr>
                    <a:graphicFrameLocks noChangeAspect="1"/>
                  </wp:cNvGraphicFramePr>
                  <a:graphic>
                    <a:graphicData uri="http://schemas.openxmlformats.org/drawingml/2006/picture">
                      <pic:pic>
                        <pic:nvPicPr>
                          <pic:cNvPr id="163" name="图片 20 163"/>
                          <pic:cNvPicPr/>
                        </pic:nvPicPr>
                        <pic:blipFill>
                          <a:blip r:embed="rId25"/>
                          <a:stretch>
                            <a:fillRect/>
                          </a:stretch>
                        </pic:blipFill>
                        <pic:spPr>
                          <a:xfrm rot="0">
                            <a:off x="0" y="0"/>
                            <a:ext cx="146685" cy="180975"/>
                          </a:xfrm>
                          <a:prstGeom prst="rect"/>
                          <a:noFill/>
                          <a:ln cmpd="sng" cap="flat">
                            <a:noFill/>
                            <a:prstDash val="solid"/>
                            <a:round/>
                          </a:ln>
                        </pic:spPr>
                      </pic:pic>
                    </a:graphicData>
                  </a:graphic>
                </wp:inline>
              </w:drawing>
            </w:r>
            <w:r>
              <w:rPr>
                <w:rFonts w:hint="eastAsia"/>
                <w:color w:val="auto"/>
                <w:sz w:val="24"/>
                <w:highlight w:val="none"/>
              </w:rPr>
              <w:t>为房间内表面面积，m</w:t>
            </w:r>
            <w:r>
              <w:rPr>
                <w:rFonts w:hint="eastAsia"/>
                <w:color w:val="auto"/>
                <w:sz w:val="24"/>
                <w:vertAlign w:val="superscript"/>
                <w:highlight w:val="none"/>
              </w:rPr>
              <w:t>2</w:t>
            </w:r>
            <w:r>
              <w:rPr>
                <w:rFonts w:hint="eastAsia"/>
                <w:color w:val="auto"/>
                <w:sz w:val="24"/>
                <w:highlight w:val="none"/>
              </w:rPr>
              <w:t>，</w:t>
            </w:r>
            <w:r>
              <w:rPr>
                <w:rFonts w:hint="eastAsia"/>
                <w:color w:val="auto"/>
                <w:sz w:val="24"/>
                <w:highlight w:val="none"/>
              </w:rPr>
              <w:drawing>
                <wp:inline distT="0" distB="0" distL="114300" distR="114300">
                  <wp:extent cx="155575" cy="146685"/>
                  <wp:effectExtent l="0" t="0" r="1" b="1"/>
                  <wp:docPr id="119" name="图片 21" descr="C:\Users\user\AppData\Local\Temp\ksohtml4296\wps37.jpg"/>
                  <wp:cNvGraphicFramePr>
                    <a:graphicFrameLocks noChangeAspect="1"/>
                  </wp:cNvGraphicFramePr>
                  <a:graphic>
                    <a:graphicData uri="http://schemas.openxmlformats.org/drawingml/2006/picture">
                      <pic:pic>
                        <pic:nvPicPr>
                          <pic:cNvPr id="165" name="图片 21 165"/>
                          <pic:cNvPicPr/>
                        </pic:nvPicPr>
                        <pic:blipFill>
                          <a:blip r:embed="rId26"/>
                          <a:stretch>
                            <a:fillRect/>
                          </a:stretch>
                        </pic:blipFill>
                        <pic:spPr>
                          <a:xfrm rot="0">
                            <a:off x="0" y="0"/>
                            <a:ext cx="155575" cy="146685"/>
                          </a:xfrm>
                          <a:prstGeom prst="rect"/>
                          <a:noFill/>
                          <a:ln cmpd="sng" cap="flat">
                            <a:noFill/>
                            <a:prstDash val="solid"/>
                            <a:round/>
                          </a:ln>
                        </pic:spPr>
                      </pic:pic>
                    </a:graphicData>
                  </a:graphic>
                </wp:inline>
              </w:drawing>
            </w:r>
            <w:r>
              <w:rPr>
                <w:rFonts w:hint="eastAsia"/>
                <w:color w:val="auto"/>
                <w:sz w:val="24"/>
                <w:highlight w:val="none"/>
              </w:rPr>
              <w:t>为平均吸声系数。</w:t>
            </w:r>
          </w:p>
          <w:p>
            <w:pPr>
              <w:keepNext w:val="0"/>
              <w:keepLines w:val="0"/>
              <w:pageBreakBefore w:val="0"/>
              <w:widowControl w:val="0"/>
              <w:kinsoku/>
              <w:wordWrap/>
              <w:overflowPunct/>
              <w:topLinePunct w:val="0"/>
              <w:autoSpaceDE/>
              <w:autoSpaceDN/>
              <w:bidi w:val="0"/>
              <w:adjustRightInd/>
              <w:snapToGrid/>
              <w:spacing w:line="460" w:lineRule="exact"/>
              <w:ind w:firstLineChars="200" w:firstLine="480"/>
              <w:textAlignment w:val="auto"/>
              <w:rPr>
                <w:rFonts w:hint="eastAsia"/>
                <w:color w:val="auto"/>
                <w:sz w:val="24"/>
                <w:highlight w:val="none"/>
              </w:rPr>
            </w:pPr>
            <w:r>
              <w:rPr>
                <w:rFonts w:hint="eastAsia"/>
                <w:color w:val="auto"/>
                <w:sz w:val="24"/>
                <w:highlight w:val="none"/>
              </w:rPr>
              <w:t>B、计算出所有室内声源在靠近围护结构处产生的</w:t>
            </w:r>
            <w:r>
              <w:rPr>
                <w:rFonts w:hint="eastAsia"/>
                <w:color w:val="auto"/>
                <w:sz w:val="24"/>
                <w:highlight w:val="none"/>
              </w:rPr>
              <w:drawing>
                <wp:inline distT="0" distB="0" distL="114300" distR="114300">
                  <wp:extent cx="86360" cy="172720"/>
                  <wp:effectExtent l="0" t="0" r="0" b="1"/>
                  <wp:docPr id="120" name="图片 22" descr="C:\Users\user\AppData\Local\Temp\ksohtml4296\wps38.jpg"/>
                  <wp:cNvGraphicFramePr>
                    <a:graphicFrameLocks noChangeAspect="1"/>
                  </wp:cNvGraphicFramePr>
                  <a:graphic>
                    <a:graphicData uri="http://schemas.openxmlformats.org/drawingml/2006/picture">
                      <pic:pic>
                        <pic:nvPicPr>
                          <pic:cNvPr id="167" name="图片 22 167"/>
                          <pic:cNvPicPr/>
                        </pic:nvPicPr>
                        <pic:blipFill>
                          <a:blip r:embed="rId27"/>
                          <a:stretch>
                            <a:fillRect/>
                          </a:stretch>
                        </pic:blipFill>
                        <pic:spPr>
                          <a:xfrm rot="0">
                            <a:off x="0" y="0"/>
                            <a:ext cx="86360" cy="172720"/>
                          </a:xfrm>
                          <a:prstGeom prst="rect"/>
                          <a:noFill/>
                          <a:ln cmpd="sng" cap="flat">
                            <a:noFill/>
                            <a:prstDash val="solid"/>
                            <a:round/>
                          </a:ln>
                        </pic:spPr>
                      </pic:pic>
                    </a:graphicData>
                  </a:graphic>
                </wp:inline>
              </w:drawing>
            </w:r>
            <w:r>
              <w:rPr>
                <w:rFonts w:hint="eastAsia"/>
                <w:color w:val="auto"/>
                <w:sz w:val="24"/>
                <w:highlight w:val="none"/>
              </w:rPr>
              <w:t>倍频带叠加声压级：</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olor w:val="auto"/>
                <w:sz w:val="24"/>
                <w:highlight w:val="none"/>
              </w:rPr>
            </w:pPr>
            <w:r>
              <w:rPr>
                <w:rFonts w:hint="eastAsia"/>
                <w:color w:val="auto"/>
                <w:sz w:val="24"/>
                <w:highlight w:val="none"/>
              </w:rPr>
              <w:drawing>
                <wp:inline distT="0" distB="0" distL="114300" distR="114300">
                  <wp:extent cx="1655445" cy="448309"/>
                  <wp:effectExtent l="0" t="0" r="0" b="0"/>
                  <wp:docPr id="121" name="图片 23" descr="C:\Users\user\AppData\Local\Temp\ksohtml4296\wps39.jpg"/>
                  <wp:cNvGraphicFramePr>
                    <a:graphicFrameLocks noChangeAspect="1"/>
                  </wp:cNvGraphicFramePr>
                  <a:graphic>
                    <a:graphicData uri="http://schemas.openxmlformats.org/drawingml/2006/picture">
                      <pic:pic>
                        <pic:nvPicPr>
                          <pic:cNvPr id="169" name="图片 23 169"/>
                          <pic:cNvPicPr/>
                        </pic:nvPicPr>
                        <pic:blipFill>
                          <a:blip r:embed="rId28"/>
                          <a:stretch>
                            <a:fillRect/>
                          </a:stretch>
                        </pic:blipFill>
                        <pic:spPr>
                          <a:xfrm rot="0">
                            <a:off x="0" y="0"/>
                            <a:ext cx="1655445" cy="448309"/>
                          </a:xfrm>
                          <a:prstGeom prst="rect"/>
                          <a:noFill/>
                          <a:ln cmpd="sng" cap="flat">
                            <a:noFill/>
                            <a:prstDash val="solid"/>
                            <a:round/>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460" w:lineRule="exact"/>
              <w:ind w:firstLineChars="200" w:firstLine="480"/>
              <w:textAlignment w:val="auto"/>
              <w:rPr>
                <w:rFonts w:hint="eastAsia"/>
                <w:color w:val="auto"/>
                <w:sz w:val="24"/>
                <w:highlight w:val="none"/>
              </w:rPr>
            </w:pPr>
            <w:r>
              <w:rPr>
                <w:rFonts w:hint="eastAsia"/>
                <w:color w:val="auto"/>
                <w:sz w:val="24"/>
                <w:highlight w:val="none"/>
              </w:rPr>
              <w:t>式中：</w:t>
            </w:r>
            <w:r>
              <w:rPr>
                <w:rFonts w:hint="eastAsia"/>
                <w:color w:val="auto"/>
                <w:sz w:val="24"/>
                <w:highlight w:val="none"/>
              </w:rPr>
              <w:drawing>
                <wp:inline distT="0" distB="0" distL="114300" distR="114300">
                  <wp:extent cx="466090" cy="250190"/>
                  <wp:effectExtent l="0" t="0" r="1" b="0"/>
                  <wp:docPr id="122" name="图片 24" descr="C:\Users\user\AppData\Local\Temp\ksohtml4296\wps40.jpg"/>
                  <wp:cNvGraphicFramePr>
                    <a:graphicFrameLocks noChangeAspect="1"/>
                  </wp:cNvGraphicFramePr>
                  <a:graphic>
                    <a:graphicData uri="http://schemas.openxmlformats.org/drawingml/2006/picture">
                      <pic:pic>
                        <pic:nvPicPr>
                          <pic:cNvPr id="171" name="图片 24 171"/>
                          <pic:cNvPicPr/>
                        </pic:nvPicPr>
                        <pic:blipFill>
                          <a:blip r:embed="rId29"/>
                          <a:stretch>
                            <a:fillRect/>
                          </a:stretch>
                        </pic:blipFill>
                        <pic:spPr>
                          <a:xfrm rot="0">
                            <a:off x="0" y="0"/>
                            <a:ext cx="466090" cy="250190"/>
                          </a:xfrm>
                          <a:prstGeom prst="rect"/>
                          <a:noFill/>
                          <a:ln cmpd="sng" cap="flat">
                            <a:noFill/>
                            <a:prstDash val="solid"/>
                            <a:round/>
                          </a:ln>
                        </pic:spPr>
                      </pic:pic>
                    </a:graphicData>
                  </a:graphic>
                </wp:inline>
              </w:drawing>
            </w:r>
            <w:r>
              <w:rPr>
                <w:rFonts w:hint="eastAsia"/>
                <w:color w:val="auto"/>
                <w:sz w:val="24"/>
                <w:highlight w:val="none"/>
              </w:rPr>
              <w:t>——靠近围护结构处室内N个声源</w:t>
            </w:r>
            <w:r>
              <w:rPr>
                <w:rFonts w:hint="eastAsia"/>
                <w:color w:val="auto"/>
                <w:sz w:val="24"/>
                <w:highlight w:val="none"/>
              </w:rPr>
              <w:drawing>
                <wp:inline distT="0" distB="0" distL="114300" distR="114300">
                  <wp:extent cx="86360" cy="172720"/>
                  <wp:effectExtent l="0" t="0" r="0" b="1"/>
                  <wp:docPr id="123" name="图片 25" descr="C:\Users\user\AppData\Local\Temp\ksohtml4296\wps41.jpg"/>
                  <wp:cNvGraphicFramePr>
                    <a:graphicFrameLocks noChangeAspect="1"/>
                  </wp:cNvGraphicFramePr>
                  <a:graphic>
                    <a:graphicData uri="http://schemas.openxmlformats.org/drawingml/2006/picture">
                      <pic:pic>
                        <pic:nvPicPr>
                          <pic:cNvPr id="172" name="图片 25 172"/>
                          <pic:cNvPicPr/>
                        </pic:nvPicPr>
                        <pic:blipFill>
                          <a:blip r:embed="rId30"/>
                          <a:stretch>
                            <a:fillRect/>
                          </a:stretch>
                        </pic:blipFill>
                        <pic:spPr>
                          <a:xfrm rot="0">
                            <a:off x="0" y="0"/>
                            <a:ext cx="86360" cy="172720"/>
                          </a:xfrm>
                          <a:prstGeom prst="rect"/>
                          <a:noFill/>
                          <a:ln cmpd="sng" cap="flat">
                            <a:noFill/>
                            <a:prstDash val="solid"/>
                            <a:round/>
                          </a:ln>
                        </pic:spPr>
                      </pic:pic>
                    </a:graphicData>
                  </a:graphic>
                </wp:inline>
              </w:drawing>
            </w:r>
            <w:r>
              <w:rPr>
                <w:rFonts w:hint="eastAsia"/>
                <w:color w:val="auto"/>
                <w:sz w:val="24"/>
                <w:highlight w:val="none"/>
              </w:rPr>
              <w:t>倍频带的叠加声压级，dB；</w:t>
            </w:r>
          </w:p>
          <w:p>
            <w:pPr>
              <w:keepNext w:val="0"/>
              <w:keepLines w:val="0"/>
              <w:pageBreakBefore w:val="0"/>
              <w:widowControl w:val="0"/>
              <w:kinsoku/>
              <w:wordWrap/>
              <w:overflowPunct/>
              <w:topLinePunct w:val="0"/>
              <w:autoSpaceDE/>
              <w:autoSpaceDN/>
              <w:bidi w:val="0"/>
              <w:adjustRightInd/>
              <w:snapToGrid/>
              <w:spacing w:line="460" w:lineRule="exact"/>
              <w:ind w:firstLineChars="200" w:firstLine="480"/>
              <w:textAlignment w:val="auto"/>
              <w:rPr>
                <w:rFonts w:hint="eastAsia"/>
                <w:color w:val="auto"/>
                <w:sz w:val="24"/>
                <w:highlight w:val="none"/>
              </w:rPr>
            </w:pPr>
            <w:r>
              <w:rPr>
                <w:rFonts w:hint="eastAsia"/>
                <w:color w:val="auto"/>
                <w:sz w:val="24"/>
                <w:highlight w:val="none"/>
              </w:rPr>
              <w:drawing>
                <wp:inline distT="0" distB="0" distL="114300" distR="114300">
                  <wp:extent cx="284479" cy="250190"/>
                  <wp:effectExtent l="0" t="0" r="0" b="0"/>
                  <wp:docPr id="124" name="图片 26" descr="C:\Users\user\AppData\Local\Temp\ksohtml4296\wps42.jpg"/>
                  <wp:cNvGraphicFramePr>
                    <a:graphicFrameLocks noChangeAspect="1"/>
                  </wp:cNvGraphicFramePr>
                  <a:graphic>
                    <a:graphicData uri="http://schemas.openxmlformats.org/drawingml/2006/picture">
                      <pic:pic>
                        <pic:nvPicPr>
                          <pic:cNvPr id="174" name="图片 26 174"/>
                          <pic:cNvPicPr/>
                        </pic:nvPicPr>
                        <pic:blipFill>
                          <a:blip r:embed="rId31"/>
                          <a:stretch>
                            <a:fillRect/>
                          </a:stretch>
                        </pic:blipFill>
                        <pic:spPr>
                          <a:xfrm rot="0">
                            <a:off x="0" y="0"/>
                            <a:ext cx="284479" cy="250190"/>
                          </a:xfrm>
                          <a:prstGeom prst="rect"/>
                          <a:noFill/>
                          <a:ln cmpd="sng" cap="flat">
                            <a:noFill/>
                            <a:prstDash val="solid"/>
                            <a:round/>
                          </a:ln>
                        </pic:spPr>
                      </pic:pic>
                    </a:graphicData>
                  </a:graphic>
                </wp:inline>
              </w:drawing>
            </w:r>
            <w:r>
              <w:rPr>
                <w:rFonts w:hint="eastAsia"/>
                <w:color w:val="auto"/>
                <w:sz w:val="24"/>
                <w:highlight w:val="none"/>
              </w:rPr>
              <w:t>——室内</w:t>
            </w:r>
            <w:r>
              <w:rPr>
                <w:rFonts w:hint="eastAsia"/>
                <w:color w:val="auto"/>
                <w:sz w:val="24"/>
                <w:highlight w:val="none"/>
              </w:rPr>
              <w:drawing>
                <wp:inline distT="0" distB="0" distL="114300" distR="114300">
                  <wp:extent cx="120650" cy="189865"/>
                  <wp:effectExtent l="0" t="0" r="0" b="0"/>
                  <wp:docPr id="125" name="图片 27" descr="C:\Users\user\AppData\Local\Temp\ksohtml4296\wps43.jpg"/>
                  <wp:cNvGraphicFramePr>
                    <a:graphicFrameLocks noChangeAspect="1"/>
                  </wp:cNvGraphicFramePr>
                  <a:graphic>
                    <a:graphicData uri="http://schemas.openxmlformats.org/drawingml/2006/picture">
                      <pic:pic>
                        <pic:nvPicPr>
                          <pic:cNvPr id="176" name="图片 27 176"/>
                          <pic:cNvPicPr/>
                        </pic:nvPicPr>
                        <pic:blipFill>
                          <a:blip r:embed="rId32"/>
                          <a:stretch>
                            <a:fillRect/>
                          </a:stretch>
                        </pic:blipFill>
                        <pic:spPr>
                          <a:xfrm rot="0">
                            <a:off x="0" y="0"/>
                            <a:ext cx="120650" cy="189865"/>
                          </a:xfrm>
                          <a:prstGeom prst="rect"/>
                          <a:noFill/>
                          <a:ln cmpd="sng" cap="flat">
                            <a:noFill/>
                            <a:prstDash val="solid"/>
                            <a:round/>
                          </a:ln>
                        </pic:spPr>
                      </pic:pic>
                    </a:graphicData>
                  </a:graphic>
                </wp:inline>
              </w:drawing>
            </w:r>
            <w:r>
              <w:rPr>
                <w:rFonts w:hint="eastAsia"/>
                <w:color w:val="auto"/>
                <w:sz w:val="24"/>
                <w:highlight w:val="none"/>
              </w:rPr>
              <w:t>声源</w:t>
            </w:r>
            <w:r>
              <w:rPr>
                <w:rFonts w:hint="eastAsia"/>
                <w:color w:val="auto"/>
                <w:sz w:val="24"/>
                <w:highlight w:val="none"/>
              </w:rPr>
              <w:drawing>
                <wp:inline distT="0" distB="0" distL="114300" distR="114300">
                  <wp:extent cx="86360" cy="172720"/>
                  <wp:effectExtent l="0" t="0" r="0" b="1"/>
                  <wp:docPr id="126" name="图片 28" descr="C:\Users\user\AppData\Local\Temp\ksohtml4296\wps44.jpg"/>
                  <wp:cNvGraphicFramePr>
                    <a:graphicFrameLocks noChangeAspect="1"/>
                  </wp:cNvGraphicFramePr>
                  <a:graphic>
                    <a:graphicData uri="http://schemas.openxmlformats.org/drawingml/2006/picture">
                      <pic:pic>
                        <pic:nvPicPr>
                          <pic:cNvPr id="177" name="图片 28 177"/>
                          <pic:cNvPicPr/>
                        </pic:nvPicPr>
                        <pic:blipFill>
                          <a:blip r:embed="rId33"/>
                          <a:stretch>
                            <a:fillRect/>
                          </a:stretch>
                        </pic:blipFill>
                        <pic:spPr>
                          <a:xfrm rot="0">
                            <a:off x="0" y="0"/>
                            <a:ext cx="86360" cy="172720"/>
                          </a:xfrm>
                          <a:prstGeom prst="rect"/>
                          <a:noFill/>
                          <a:ln cmpd="sng" cap="flat">
                            <a:noFill/>
                            <a:prstDash val="solid"/>
                            <a:round/>
                          </a:ln>
                        </pic:spPr>
                      </pic:pic>
                    </a:graphicData>
                  </a:graphic>
                </wp:inline>
              </w:drawing>
            </w:r>
            <w:r>
              <w:rPr>
                <w:rFonts w:hint="eastAsia"/>
                <w:color w:val="auto"/>
                <w:sz w:val="24"/>
                <w:highlight w:val="none"/>
              </w:rPr>
              <w:t>倍频带的声压级，dB；</w:t>
            </w:r>
          </w:p>
          <w:p>
            <w:pPr>
              <w:keepNext w:val="0"/>
              <w:keepLines w:val="0"/>
              <w:pageBreakBefore w:val="0"/>
              <w:widowControl w:val="0"/>
              <w:kinsoku/>
              <w:wordWrap/>
              <w:overflowPunct/>
              <w:topLinePunct w:val="0"/>
              <w:autoSpaceDE/>
              <w:autoSpaceDN/>
              <w:bidi w:val="0"/>
              <w:adjustRightInd/>
              <w:snapToGrid/>
              <w:spacing w:line="460" w:lineRule="exact"/>
              <w:ind w:firstLineChars="200" w:firstLine="480"/>
              <w:textAlignment w:val="auto"/>
              <w:rPr>
                <w:rFonts w:hint="eastAsia"/>
                <w:color w:val="auto"/>
                <w:sz w:val="24"/>
                <w:highlight w:val="none"/>
              </w:rPr>
            </w:pPr>
            <w:r>
              <w:rPr>
                <w:rFonts w:hint="eastAsia"/>
                <w:color w:val="auto"/>
                <w:sz w:val="24"/>
                <w:highlight w:val="none"/>
              </w:rPr>
              <w:drawing>
                <wp:inline distT="0" distB="0" distL="114300" distR="114300">
                  <wp:extent cx="180975" cy="180975"/>
                  <wp:effectExtent l="0" t="0" r="0" b="0"/>
                  <wp:docPr id="127" name="图片 29" descr="C:\Users\user\AppData\Local\Temp\ksohtml4296\wps45.jpg"/>
                  <wp:cNvGraphicFramePr>
                    <a:graphicFrameLocks noChangeAspect="1"/>
                  </wp:cNvGraphicFramePr>
                  <a:graphic>
                    <a:graphicData uri="http://schemas.openxmlformats.org/drawingml/2006/picture">
                      <pic:pic>
                        <pic:nvPicPr>
                          <pic:cNvPr id="179" name="图片 29 179"/>
                          <pic:cNvPicPr/>
                        </pic:nvPicPr>
                        <pic:blipFill>
                          <a:blip r:embed="rId34"/>
                          <a:stretch>
                            <a:fillRect/>
                          </a:stretch>
                        </pic:blipFill>
                        <pic:spPr>
                          <a:xfrm rot="0">
                            <a:off x="0" y="0"/>
                            <a:ext cx="180975" cy="180975"/>
                          </a:xfrm>
                          <a:prstGeom prst="rect"/>
                          <a:noFill/>
                          <a:ln cmpd="sng" cap="flat">
                            <a:noFill/>
                            <a:prstDash val="solid"/>
                            <a:round/>
                          </a:ln>
                        </pic:spPr>
                      </pic:pic>
                    </a:graphicData>
                  </a:graphic>
                </wp:inline>
              </w:drawing>
            </w:r>
            <w:r>
              <w:rPr>
                <w:rFonts w:hint="eastAsia"/>
                <w:color w:val="auto"/>
                <w:sz w:val="24"/>
                <w:highlight w:val="none"/>
              </w:rPr>
              <w:t>——室内声源总数。</w:t>
            </w:r>
          </w:p>
          <w:p>
            <w:pPr>
              <w:keepNext w:val="0"/>
              <w:keepLines w:val="0"/>
              <w:pageBreakBefore w:val="0"/>
              <w:widowControl w:val="0"/>
              <w:kinsoku/>
              <w:wordWrap/>
              <w:overflowPunct/>
              <w:topLinePunct w:val="0"/>
              <w:autoSpaceDE/>
              <w:autoSpaceDN/>
              <w:bidi w:val="0"/>
              <w:adjustRightInd/>
              <w:snapToGrid/>
              <w:spacing w:line="460" w:lineRule="exact"/>
              <w:ind w:firstLineChars="200" w:firstLine="480"/>
              <w:textAlignment w:val="auto"/>
              <w:rPr>
                <w:rFonts w:hint="eastAsia"/>
                <w:color w:val="auto"/>
                <w:sz w:val="24"/>
                <w:highlight w:val="none"/>
              </w:rPr>
            </w:pPr>
            <w:r>
              <w:rPr>
                <w:rFonts w:hint="eastAsia"/>
                <w:color w:val="auto"/>
                <w:sz w:val="24"/>
                <w:highlight w:val="none"/>
              </w:rPr>
              <w:t>C、计算出室外靠近围护结构处的声压级：</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olor w:val="auto"/>
                <w:sz w:val="24"/>
                <w:highlight w:val="none"/>
              </w:rPr>
            </w:pPr>
            <w:r>
              <w:rPr>
                <w:rFonts w:hint="eastAsia"/>
                <w:color w:val="auto"/>
                <w:sz w:val="24"/>
                <w:highlight w:val="none"/>
              </w:rPr>
              <w:drawing>
                <wp:inline distT="0" distB="0" distL="114300" distR="114300">
                  <wp:extent cx="1777365" cy="250190"/>
                  <wp:effectExtent l="0" t="0" r="0" b="0"/>
                  <wp:docPr id="128" name="图片 30" descr="C:\Users\user\AppData\Local\Temp\ksohtml4296\wps46.jpg"/>
                  <wp:cNvGraphicFramePr>
                    <a:graphicFrameLocks noChangeAspect="1"/>
                  </wp:cNvGraphicFramePr>
                  <a:graphic>
                    <a:graphicData uri="http://schemas.openxmlformats.org/drawingml/2006/picture">
                      <pic:pic>
                        <pic:nvPicPr>
                          <pic:cNvPr id="181" name="图片 30 181"/>
                          <pic:cNvPicPr/>
                        </pic:nvPicPr>
                        <pic:blipFill>
                          <a:blip r:embed="rId35"/>
                          <a:stretch>
                            <a:fillRect/>
                          </a:stretch>
                        </pic:blipFill>
                        <pic:spPr>
                          <a:xfrm rot="0">
                            <a:off x="0" y="0"/>
                            <a:ext cx="1777365" cy="250190"/>
                          </a:xfrm>
                          <a:prstGeom prst="rect"/>
                          <a:noFill/>
                          <a:ln cmpd="sng" cap="flat">
                            <a:noFill/>
                            <a:prstDash val="solid"/>
                            <a:round/>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460" w:lineRule="exact"/>
              <w:ind w:firstLineChars="200" w:firstLine="480"/>
              <w:textAlignment w:val="auto"/>
              <w:rPr>
                <w:rFonts w:hint="eastAsia"/>
                <w:color w:val="auto"/>
                <w:sz w:val="24"/>
                <w:highlight w:val="none"/>
              </w:rPr>
            </w:pPr>
            <w:r>
              <w:rPr>
                <w:rFonts w:hint="eastAsia"/>
                <w:color w:val="auto"/>
                <w:sz w:val="24"/>
                <w:highlight w:val="none"/>
              </w:rPr>
              <w:t>式中：</w:t>
            </w:r>
            <w:r>
              <w:rPr>
                <w:rFonts w:hint="eastAsia"/>
                <w:color w:val="auto"/>
                <w:sz w:val="24"/>
                <w:highlight w:val="none"/>
              </w:rPr>
              <w:drawing>
                <wp:inline distT="0" distB="0" distL="114300" distR="114300">
                  <wp:extent cx="509270" cy="250190"/>
                  <wp:effectExtent l="0" t="0" r="0" b="0"/>
                  <wp:docPr id="129" name="图片 31" descr="C:\Users\user\AppData\Local\Temp\ksohtml4296\wps47.jpg"/>
                  <wp:cNvGraphicFramePr>
                    <a:graphicFrameLocks noChangeAspect="1"/>
                  </wp:cNvGraphicFramePr>
                  <a:graphic>
                    <a:graphicData uri="http://schemas.openxmlformats.org/drawingml/2006/picture">
                      <pic:pic>
                        <pic:nvPicPr>
                          <pic:cNvPr id="183" name="图片 31 183"/>
                          <pic:cNvPicPr/>
                        </pic:nvPicPr>
                        <pic:blipFill>
                          <a:blip r:embed="rId36"/>
                          <a:stretch>
                            <a:fillRect/>
                          </a:stretch>
                        </pic:blipFill>
                        <pic:spPr>
                          <a:xfrm rot="0">
                            <a:off x="0" y="0"/>
                            <a:ext cx="509270" cy="250190"/>
                          </a:xfrm>
                          <a:prstGeom prst="rect"/>
                          <a:noFill/>
                          <a:ln cmpd="sng" cap="flat">
                            <a:noFill/>
                            <a:prstDash val="solid"/>
                            <a:round/>
                          </a:ln>
                        </pic:spPr>
                      </pic:pic>
                    </a:graphicData>
                  </a:graphic>
                </wp:inline>
              </w:drawing>
            </w:r>
            <w:r>
              <w:rPr>
                <w:rFonts w:hint="eastAsia"/>
                <w:color w:val="auto"/>
                <w:sz w:val="24"/>
                <w:highlight w:val="none"/>
              </w:rPr>
              <w:t>——靠近围护结构处室外N个声源</w:t>
            </w:r>
            <w:r>
              <w:rPr>
                <w:rFonts w:hint="eastAsia"/>
                <w:color w:val="auto"/>
                <w:sz w:val="24"/>
                <w:highlight w:val="none"/>
              </w:rPr>
              <w:drawing>
                <wp:inline distT="0" distB="0" distL="114300" distR="114300">
                  <wp:extent cx="86360" cy="172720"/>
                  <wp:effectExtent l="0" t="0" r="0" b="1"/>
                  <wp:docPr id="130" name="图片 32" descr="C:\Users\user\AppData\Local\Temp\ksohtml4296\wps48.jpg"/>
                  <wp:cNvGraphicFramePr>
                    <a:graphicFrameLocks noChangeAspect="1"/>
                  </wp:cNvGraphicFramePr>
                  <a:graphic>
                    <a:graphicData uri="http://schemas.openxmlformats.org/drawingml/2006/picture">
                      <pic:pic>
                        <pic:nvPicPr>
                          <pic:cNvPr id="184" name="图片 32 184"/>
                          <pic:cNvPicPr/>
                        </pic:nvPicPr>
                        <pic:blipFill>
                          <a:blip r:embed="rId37"/>
                          <a:stretch>
                            <a:fillRect/>
                          </a:stretch>
                        </pic:blipFill>
                        <pic:spPr>
                          <a:xfrm rot="0">
                            <a:off x="0" y="0"/>
                            <a:ext cx="86360" cy="172720"/>
                          </a:xfrm>
                          <a:prstGeom prst="rect"/>
                          <a:noFill/>
                          <a:ln cmpd="sng" cap="flat">
                            <a:noFill/>
                            <a:prstDash val="solid"/>
                            <a:round/>
                          </a:ln>
                        </pic:spPr>
                      </pic:pic>
                    </a:graphicData>
                  </a:graphic>
                </wp:inline>
              </w:drawing>
            </w:r>
            <w:r>
              <w:rPr>
                <w:rFonts w:hint="eastAsia"/>
                <w:color w:val="auto"/>
                <w:sz w:val="24"/>
                <w:highlight w:val="none"/>
              </w:rPr>
              <w:t>倍频带的叠加声压级，dB；</w:t>
            </w:r>
          </w:p>
          <w:p>
            <w:pPr>
              <w:keepNext w:val="0"/>
              <w:keepLines w:val="0"/>
              <w:pageBreakBefore w:val="0"/>
              <w:widowControl w:val="0"/>
              <w:kinsoku/>
              <w:wordWrap/>
              <w:overflowPunct/>
              <w:topLinePunct w:val="0"/>
              <w:autoSpaceDE/>
              <w:autoSpaceDN/>
              <w:bidi w:val="0"/>
              <w:adjustRightInd/>
              <w:snapToGrid/>
              <w:spacing w:line="460" w:lineRule="exact"/>
              <w:ind w:firstLineChars="200" w:firstLine="480"/>
              <w:textAlignment w:val="auto"/>
              <w:rPr>
                <w:rFonts w:hint="eastAsia"/>
                <w:color w:val="auto"/>
                <w:sz w:val="24"/>
                <w:highlight w:val="none"/>
              </w:rPr>
            </w:pPr>
            <w:r>
              <w:rPr>
                <w:rFonts w:hint="eastAsia"/>
                <w:color w:val="auto"/>
                <w:sz w:val="24"/>
                <w:highlight w:val="none"/>
              </w:rPr>
              <w:drawing>
                <wp:inline distT="0" distB="0" distL="114300" distR="114300">
                  <wp:extent cx="250190" cy="250190"/>
                  <wp:effectExtent l="0" t="0" r="0" b="0"/>
                  <wp:docPr id="131" name="图片 33" descr="C:\Users\user\AppData\Local\Temp\ksohtml4296\wps49.jpg"/>
                  <wp:cNvGraphicFramePr>
                    <a:graphicFrameLocks noChangeAspect="1"/>
                  </wp:cNvGraphicFramePr>
                  <a:graphic>
                    <a:graphicData uri="http://schemas.openxmlformats.org/drawingml/2006/picture">
                      <pic:pic>
                        <pic:nvPicPr>
                          <pic:cNvPr id="186" name="图片 33 186"/>
                          <pic:cNvPicPr/>
                        </pic:nvPicPr>
                        <pic:blipFill>
                          <a:blip r:embed="rId38"/>
                          <a:stretch>
                            <a:fillRect/>
                          </a:stretch>
                        </pic:blipFill>
                        <pic:spPr>
                          <a:xfrm rot="0">
                            <a:off x="0" y="0"/>
                            <a:ext cx="250190" cy="250190"/>
                          </a:xfrm>
                          <a:prstGeom prst="rect"/>
                          <a:noFill/>
                          <a:ln cmpd="sng" cap="flat">
                            <a:noFill/>
                            <a:prstDash val="solid"/>
                            <a:round/>
                          </a:ln>
                        </pic:spPr>
                      </pic:pic>
                    </a:graphicData>
                  </a:graphic>
                </wp:inline>
              </w:drawing>
            </w:r>
            <w:r>
              <w:rPr>
                <w:rFonts w:hint="eastAsia"/>
                <w:color w:val="auto"/>
                <w:sz w:val="24"/>
                <w:highlight w:val="none"/>
              </w:rPr>
              <w:t>——围护结构</w:t>
            </w:r>
            <w:r>
              <w:rPr>
                <w:rFonts w:hint="eastAsia"/>
                <w:color w:val="auto"/>
                <w:sz w:val="24"/>
                <w:highlight w:val="none"/>
              </w:rPr>
              <w:drawing>
                <wp:inline distT="0" distB="0" distL="114300" distR="114300">
                  <wp:extent cx="86360" cy="172720"/>
                  <wp:effectExtent l="0" t="0" r="0" b="1"/>
                  <wp:docPr id="132" name="图片 34" descr="C:\Users\user\AppData\Local\Temp\ksohtml4296\wps50.jpg"/>
                  <wp:cNvGraphicFramePr>
                    <a:graphicFrameLocks noChangeAspect="1"/>
                  </wp:cNvGraphicFramePr>
                  <a:graphic>
                    <a:graphicData uri="http://schemas.openxmlformats.org/drawingml/2006/picture">
                      <pic:pic>
                        <pic:nvPicPr>
                          <pic:cNvPr id="187" name="图片 34 187"/>
                          <pic:cNvPicPr/>
                        </pic:nvPicPr>
                        <pic:blipFill>
                          <a:blip r:embed="rId39"/>
                          <a:stretch>
                            <a:fillRect/>
                          </a:stretch>
                        </pic:blipFill>
                        <pic:spPr>
                          <a:xfrm rot="0">
                            <a:off x="0" y="0"/>
                            <a:ext cx="86360" cy="172720"/>
                          </a:xfrm>
                          <a:prstGeom prst="rect"/>
                          <a:noFill/>
                          <a:ln cmpd="sng" cap="flat">
                            <a:noFill/>
                            <a:prstDash val="solid"/>
                            <a:round/>
                          </a:ln>
                        </pic:spPr>
                      </pic:pic>
                    </a:graphicData>
                  </a:graphic>
                </wp:inline>
              </w:drawing>
            </w:r>
            <w:r>
              <w:rPr>
                <w:rFonts w:hint="eastAsia"/>
                <w:color w:val="auto"/>
                <w:sz w:val="24"/>
                <w:highlight w:val="none"/>
              </w:rPr>
              <w:t>倍频带的隔声量，dB；</w:t>
            </w:r>
          </w:p>
          <w:p>
            <w:pPr>
              <w:keepNext w:val="0"/>
              <w:keepLines w:val="0"/>
              <w:pageBreakBefore w:val="0"/>
              <w:widowControl w:val="0"/>
              <w:kinsoku/>
              <w:wordWrap/>
              <w:overflowPunct/>
              <w:topLinePunct w:val="0"/>
              <w:autoSpaceDE/>
              <w:autoSpaceDN/>
              <w:bidi w:val="0"/>
              <w:adjustRightInd/>
              <w:snapToGrid/>
              <w:spacing w:line="460" w:lineRule="exact"/>
              <w:ind w:firstLineChars="200" w:firstLine="480"/>
              <w:textAlignment w:val="auto"/>
              <w:rPr>
                <w:rFonts w:hint="eastAsia"/>
                <w:color w:val="auto"/>
                <w:sz w:val="24"/>
                <w:highlight w:val="none"/>
              </w:rPr>
            </w:pPr>
            <w:r>
              <w:rPr>
                <w:rFonts w:hint="eastAsia"/>
                <w:color w:val="auto"/>
                <w:sz w:val="24"/>
                <w:highlight w:val="none"/>
              </w:rPr>
              <w:t>D、将室外声源的声压级和透过面积换算成等效的室外声源，计算出中心位置位于透声面积</w:t>
            </w:r>
            <w:r>
              <w:rPr>
                <w:rFonts w:hint="eastAsia"/>
                <w:color w:val="auto"/>
                <w:sz w:val="24"/>
                <w:lang w:eastAsia="zh-CN"/>
                <w:highlight w:val="none"/>
              </w:rPr>
              <w:t>（</w:t>
            </w:r>
            <w:r>
              <w:rPr>
                <w:rFonts w:hint="eastAsia"/>
                <w:color w:val="auto"/>
                <w:sz w:val="24"/>
                <w:highlight w:val="none"/>
              </w:rPr>
              <w:t>S</w:t>
            </w:r>
            <w:r>
              <w:rPr>
                <w:rFonts w:hint="eastAsia"/>
                <w:color w:val="auto"/>
                <w:sz w:val="24"/>
                <w:lang w:eastAsia="zh-CN"/>
                <w:highlight w:val="none"/>
              </w:rPr>
              <w:t>）</w:t>
            </w:r>
            <w:r>
              <w:rPr>
                <w:rFonts w:hint="eastAsia"/>
                <w:color w:val="auto"/>
                <w:sz w:val="24"/>
                <w:highlight w:val="none"/>
              </w:rPr>
              <w:t>处的等效声源的倍频带声功率级。</w:t>
            </w:r>
          </w:p>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color w:val="auto"/>
                <w:sz w:val="24"/>
                <w:highlight w:val="none"/>
              </w:rPr>
            </w:pPr>
            <w:r>
              <w:rPr>
                <w:rFonts w:hint="eastAsia"/>
                <w:color w:val="auto"/>
                <w:sz w:val="24"/>
                <w:highlight w:val="none"/>
              </w:rPr>
              <w:drawing>
                <wp:inline distT="0" distB="0" distL="114300" distR="114300">
                  <wp:extent cx="1345564" cy="250190"/>
                  <wp:effectExtent l="0" t="0" r="0" b="0"/>
                  <wp:docPr id="133" name="图片 35" descr="C:\Users\user\AppData\Local\Temp\ksohtml4296\wps51.jpg"/>
                  <wp:cNvGraphicFramePr>
                    <a:graphicFrameLocks noChangeAspect="1"/>
                  </wp:cNvGraphicFramePr>
                  <a:graphic>
                    <a:graphicData uri="http://schemas.openxmlformats.org/drawingml/2006/picture">
                      <pic:pic>
                        <pic:nvPicPr>
                          <pic:cNvPr id="189" name="图片 35 189"/>
                          <pic:cNvPicPr/>
                        </pic:nvPicPr>
                        <pic:blipFill>
                          <a:blip r:embed="rId40"/>
                          <a:stretch>
                            <a:fillRect/>
                          </a:stretch>
                        </pic:blipFill>
                        <pic:spPr>
                          <a:xfrm rot="0">
                            <a:off x="0" y="0"/>
                            <a:ext cx="1345564" cy="250190"/>
                          </a:xfrm>
                          <a:prstGeom prst="rect"/>
                          <a:noFill/>
                          <a:ln cmpd="sng" cap="flat">
                            <a:noFill/>
                            <a:prstDash val="solid"/>
                            <a:round/>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460" w:lineRule="exact"/>
              <w:ind w:firstLineChars="200" w:firstLine="480"/>
              <w:textAlignment w:val="auto"/>
              <w:rPr>
                <w:rFonts w:hint="eastAsia"/>
                <w:color w:val="auto"/>
                <w:sz w:val="24"/>
                <w:highlight w:val="none"/>
              </w:rPr>
            </w:pPr>
            <w:r>
              <w:rPr>
                <w:rFonts w:hint="eastAsia"/>
                <w:color w:val="auto"/>
                <w:sz w:val="24"/>
                <w:highlight w:val="none"/>
              </w:rPr>
              <w:t>E、等效室外声源的位置为围护结构的位置，其倍频带声功率级为</w:t>
            </w:r>
            <w:r>
              <w:rPr>
                <w:rFonts w:hint="eastAsia"/>
                <w:color w:val="auto"/>
                <w:sz w:val="24"/>
                <w:highlight w:val="none"/>
              </w:rPr>
              <w:drawing>
                <wp:inline distT="0" distB="0" distL="114300" distR="114300">
                  <wp:extent cx="207010" cy="250190"/>
                  <wp:effectExtent l="0" t="0" r="1" b="0"/>
                  <wp:docPr id="134" name="图片 36" descr="C:\Users\user\AppData\Local\Temp\ksohtml4296\wps52.jpg"/>
                  <wp:cNvGraphicFramePr>
                    <a:graphicFrameLocks noChangeAspect="1"/>
                  </wp:cNvGraphicFramePr>
                  <a:graphic>
                    <a:graphicData uri="http://schemas.openxmlformats.org/drawingml/2006/picture">
                      <pic:pic>
                        <pic:nvPicPr>
                          <pic:cNvPr id="191" name="图片 36 191"/>
                          <pic:cNvPicPr/>
                        </pic:nvPicPr>
                        <pic:blipFill>
                          <a:blip r:embed="rId41"/>
                          <a:stretch>
                            <a:fillRect/>
                          </a:stretch>
                        </pic:blipFill>
                        <pic:spPr>
                          <a:xfrm rot="0">
                            <a:off x="0" y="0"/>
                            <a:ext cx="207010" cy="250190"/>
                          </a:xfrm>
                          <a:prstGeom prst="rect"/>
                          <a:noFill/>
                          <a:ln cmpd="sng" cap="flat">
                            <a:noFill/>
                            <a:prstDash val="solid"/>
                            <a:round/>
                          </a:ln>
                        </pic:spPr>
                      </pic:pic>
                    </a:graphicData>
                  </a:graphic>
                </wp:inline>
              </w:drawing>
            </w:r>
            <w:r>
              <w:rPr>
                <w:rFonts w:hint="eastAsia"/>
                <w:color w:val="auto"/>
                <w:sz w:val="24"/>
                <w:highlight w:val="none"/>
              </w:rPr>
              <w:t>，根据厂房结构</w:t>
            </w:r>
            <w:r>
              <w:rPr>
                <w:rFonts w:hint="eastAsia"/>
                <w:color w:val="auto"/>
                <w:sz w:val="24"/>
                <w:lang w:eastAsia="zh-CN"/>
                <w:highlight w:val="none"/>
              </w:rPr>
              <w:t>（</w:t>
            </w:r>
            <w:r>
              <w:rPr>
                <w:rFonts w:hint="eastAsia"/>
                <w:color w:val="auto"/>
                <w:sz w:val="24"/>
                <w:highlight w:val="none"/>
              </w:rPr>
              <w:t>门、窗</w:t>
            </w:r>
            <w:r>
              <w:rPr>
                <w:rFonts w:hint="eastAsia"/>
                <w:color w:val="auto"/>
                <w:sz w:val="24"/>
                <w:lang w:eastAsia="zh-CN"/>
                <w:highlight w:val="none"/>
              </w:rPr>
              <w:t>）</w:t>
            </w:r>
            <w:r>
              <w:rPr>
                <w:rFonts w:hint="eastAsia"/>
                <w:color w:val="auto"/>
                <w:sz w:val="24"/>
                <w:highlight w:val="none"/>
              </w:rPr>
              <w:t>和预测点的位置关系，分别按照面声源、线声源和点声源的衰减模式，计算预测点处的声级。</w:t>
            </w:r>
          </w:p>
          <w:p>
            <w:pPr>
              <w:keepNext w:val="0"/>
              <w:keepLines w:val="0"/>
              <w:pageBreakBefore w:val="0"/>
              <w:widowControl w:val="0"/>
              <w:kinsoku/>
              <w:wordWrap/>
              <w:overflowPunct/>
              <w:topLinePunct w:val="0"/>
              <w:autoSpaceDE/>
              <w:autoSpaceDN/>
              <w:bidi w:val="0"/>
              <w:adjustRightInd/>
              <w:snapToGrid/>
              <w:spacing w:line="460" w:lineRule="exact"/>
              <w:ind w:firstLineChars="200" w:firstLine="480"/>
              <w:textAlignment w:val="auto"/>
              <w:rPr>
                <w:rFonts w:hint="eastAsia"/>
                <w:color w:val="auto"/>
                <w:sz w:val="24"/>
                <w:highlight w:val="none"/>
              </w:rPr>
            </w:pPr>
            <w:r>
              <w:rPr>
                <w:rFonts w:hint="eastAsia"/>
                <w:color w:val="auto"/>
                <w:sz w:val="24"/>
                <w:highlight w:val="none"/>
              </w:rPr>
              <w:t>假设窗户的宽度为a，高度为b，窗户个数为n；预测点距墙中心的距离为</w:t>
            </w:r>
            <w:r>
              <w:rPr>
                <w:rFonts w:hint="eastAsia"/>
                <w:color w:val="auto"/>
                <w:sz w:val="24"/>
                <w:highlight w:val="none"/>
              </w:rPr>
              <w:drawing>
                <wp:inline distT="0" distB="0" distL="114300" distR="114300">
                  <wp:extent cx="120650" cy="120650"/>
                  <wp:effectExtent l="0" t="0" r="0" b="0"/>
                  <wp:docPr id="135" name="图片 37" descr="C:\Users\user\AppData\Local\Temp\ksohtml4296\wps53.jpg"/>
                  <wp:cNvGraphicFramePr>
                    <a:graphicFrameLocks noChangeAspect="1"/>
                  </wp:cNvGraphicFramePr>
                  <a:graphic>
                    <a:graphicData uri="http://schemas.openxmlformats.org/drawingml/2006/picture">
                      <pic:pic>
                        <pic:nvPicPr>
                          <pic:cNvPr id="192" name="图片 37 192"/>
                          <pic:cNvPicPr/>
                        </pic:nvPicPr>
                        <pic:blipFill>
                          <a:blip r:embed="rId42"/>
                          <a:stretch>
                            <a:fillRect/>
                          </a:stretch>
                        </pic:blipFill>
                        <pic:spPr>
                          <a:xfrm rot="0">
                            <a:off x="0" y="0"/>
                            <a:ext cx="120650" cy="120650"/>
                          </a:xfrm>
                          <a:prstGeom prst="rect"/>
                          <a:noFill/>
                          <a:ln cmpd="sng" cap="flat">
                            <a:noFill/>
                            <a:prstDash val="solid"/>
                            <a:round/>
                          </a:ln>
                        </pic:spPr>
                      </pic:pic>
                    </a:graphicData>
                  </a:graphic>
                </wp:inline>
              </w:drawing>
            </w:r>
            <w:r>
              <w:rPr>
                <w:rFonts w:hint="eastAsia"/>
                <w:color w:val="auto"/>
                <w:sz w:val="24"/>
                <w:highlight w:val="none"/>
              </w:rPr>
              <w:t>。预测点的声级按照下述公式进行预测：</w:t>
            </w:r>
          </w:p>
          <w:p>
            <w:pPr>
              <w:keepNext w:val="0"/>
              <w:keepLines w:val="0"/>
              <w:pageBreakBefore w:val="0"/>
              <w:widowControl w:val="0"/>
              <w:kinsoku/>
              <w:wordWrap/>
              <w:overflowPunct/>
              <w:topLinePunct w:val="0"/>
              <w:autoSpaceDE/>
              <w:autoSpaceDN/>
              <w:bidi w:val="0"/>
              <w:adjustRightInd/>
              <w:snapToGrid/>
              <w:spacing w:line="240" w:lineRule="auto"/>
              <w:ind w:firstLineChars="200" w:firstLine="480"/>
              <w:textAlignment w:val="auto"/>
              <w:rPr>
                <w:rFonts w:hint="eastAsia"/>
                <w:color w:val="auto"/>
                <w:sz w:val="24"/>
                <w:highlight w:val="none"/>
              </w:rPr>
            </w:pPr>
            <w:r>
              <w:rPr>
                <w:rFonts w:hint="eastAsia"/>
                <w:color w:val="auto"/>
                <w:sz w:val="24"/>
                <w:highlight w:val="none"/>
              </w:rPr>
              <w:t>当</w:t>
            </w:r>
            <w:r>
              <w:rPr>
                <w:rFonts w:hint="eastAsia"/>
                <w:color w:val="auto"/>
                <w:sz w:val="24"/>
                <w:highlight w:val="none"/>
              </w:rPr>
              <w:drawing>
                <wp:inline distT="0" distB="0" distL="114300" distR="114300">
                  <wp:extent cx="396875" cy="396875"/>
                  <wp:effectExtent l="0" t="0" r="0" b="0"/>
                  <wp:docPr id="136" name="图片 38" descr="C:\Users\user\AppData\Local\Temp\ksohtml4296\wps54.jpg"/>
                  <wp:cNvGraphicFramePr>
                    <a:graphicFrameLocks noChangeAspect="1"/>
                  </wp:cNvGraphicFramePr>
                  <a:graphic>
                    <a:graphicData uri="http://schemas.openxmlformats.org/drawingml/2006/picture">
                      <pic:pic>
                        <pic:nvPicPr>
                          <pic:cNvPr id="194" name="图片 38 194"/>
                          <pic:cNvPicPr/>
                        </pic:nvPicPr>
                        <pic:blipFill>
                          <a:blip r:embed="rId43"/>
                          <a:stretch>
                            <a:fillRect/>
                          </a:stretch>
                        </pic:blipFill>
                        <pic:spPr>
                          <a:xfrm rot="0">
                            <a:off x="0" y="0"/>
                            <a:ext cx="396875" cy="396875"/>
                          </a:xfrm>
                          <a:prstGeom prst="rect"/>
                          <a:noFill/>
                          <a:ln cmpd="sng" cap="flat">
                            <a:noFill/>
                            <a:prstDash val="solid"/>
                            <a:round/>
                          </a:ln>
                        </pic:spPr>
                      </pic:pic>
                    </a:graphicData>
                  </a:graphic>
                </wp:inline>
              </w:drawing>
            </w:r>
            <w:r>
              <w:rPr>
                <w:rFonts w:hint="eastAsia"/>
                <w:color w:val="auto"/>
                <w:sz w:val="24"/>
                <w:highlight w:val="none"/>
              </w:rPr>
              <w:t>时，</w:t>
            </w:r>
            <w:r>
              <w:rPr>
                <w:rFonts w:hint="eastAsia"/>
                <w:color w:val="auto"/>
                <w:sz w:val="24"/>
                <w:highlight w:val="none"/>
              </w:rPr>
              <w:drawing>
                <wp:inline distT="0" distB="0" distL="114300" distR="114300">
                  <wp:extent cx="690245" cy="224154"/>
                  <wp:effectExtent l="0" t="0" r="0" b="1"/>
                  <wp:docPr id="137" name="图片 39" descr="C:\Users\user\AppData\Local\Temp\ksohtml4296\wps55.jpg"/>
                  <wp:cNvGraphicFramePr>
                    <a:graphicFrameLocks noChangeAspect="1"/>
                  </wp:cNvGraphicFramePr>
                  <a:graphic>
                    <a:graphicData uri="http://schemas.openxmlformats.org/drawingml/2006/picture">
                      <pic:pic>
                        <pic:nvPicPr>
                          <pic:cNvPr id="196" name="图片 39 196"/>
                          <pic:cNvPicPr/>
                        </pic:nvPicPr>
                        <pic:blipFill>
                          <a:blip r:embed="rId44"/>
                          <a:stretch>
                            <a:fillRect/>
                          </a:stretch>
                        </pic:blipFill>
                        <pic:spPr>
                          <a:xfrm rot="0">
                            <a:off x="0" y="0"/>
                            <a:ext cx="690245" cy="224154"/>
                          </a:xfrm>
                          <a:prstGeom prst="rect"/>
                          <a:noFill/>
                          <a:ln cmpd="sng" cap="flat">
                            <a:noFill/>
                            <a:prstDash val="solid"/>
                            <a:round/>
                          </a:ln>
                        </pic:spPr>
                      </pic:pic>
                    </a:graphicData>
                  </a:graphic>
                </wp:inline>
              </w:drawing>
            </w:r>
            <w:r>
              <w:rPr>
                <w:rFonts w:hint="eastAsia"/>
                <w:color w:val="auto"/>
                <w:sz w:val="24"/>
                <w:lang w:eastAsia="zh-CN"/>
                <w:highlight w:val="none"/>
              </w:rPr>
              <w:t>（</w:t>
            </w:r>
            <w:r>
              <w:rPr>
                <w:rFonts w:hint="eastAsia"/>
                <w:color w:val="auto"/>
                <w:sz w:val="24"/>
                <w:highlight w:val="none"/>
              </w:rPr>
              <w:t>即按面声源处理</w:t>
            </w:r>
            <w:r>
              <w:rPr>
                <w:rFonts w:hint="eastAsia"/>
                <w:color w:val="auto"/>
                <w:sz w:val="24"/>
                <w:lang w:eastAsia="zh-CN"/>
                <w:highlight w:val="none"/>
              </w:rPr>
              <w:t>）</w:t>
            </w:r>
            <w:r>
              <w:rPr>
                <w:rFonts w:hint="eastAsia"/>
                <w:color w:val="auto"/>
                <w:sz w:val="24"/>
                <w:highlight w:val="none"/>
              </w:rPr>
              <w:t>；</w:t>
            </w:r>
          </w:p>
          <w:p>
            <w:pPr>
              <w:keepNext w:val="0"/>
              <w:keepLines w:val="0"/>
              <w:pageBreakBefore w:val="0"/>
              <w:widowControl w:val="0"/>
              <w:kinsoku/>
              <w:wordWrap/>
              <w:overflowPunct/>
              <w:topLinePunct w:val="0"/>
              <w:autoSpaceDE/>
              <w:autoSpaceDN/>
              <w:bidi w:val="0"/>
              <w:adjustRightInd/>
              <w:snapToGrid/>
              <w:spacing w:line="240" w:lineRule="auto"/>
              <w:ind w:firstLineChars="200" w:firstLine="480"/>
              <w:textAlignment w:val="auto"/>
              <w:rPr>
                <w:rFonts w:hint="eastAsia"/>
                <w:color w:val="auto"/>
                <w:sz w:val="24"/>
                <w:highlight w:val="none"/>
              </w:rPr>
            </w:pPr>
            <w:r>
              <w:rPr>
                <w:rFonts w:hint="eastAsia"/>
                <w:color w:val="auto"/>
                <w:sz w:val="24"/>
                <w:highlight w:val="none"/>
              </w:rPr>
              <w:t>当</w:t>
            </w:r>
            <w:r>
              <w:rPr>
                <w:rFonts w:hint="eastAsia"/>
                <w:color w:val="auto"/>
                <w:sz w:val="24"/>
                <w:highlight w:val="none"/>
              </w:rPr>
              <w:drawing>
                <wp:inline distT="0" distB="0" distL="114300" distR="114300">
                  <wp:extent cx="733425" cy="396875"/>
                  <wp:effectExtent l="0" t="0" r="0" b="0"/>
                  <wp:docPr id="138" name="图片 40" descr="C:\Users\user\AppData\Local\Temp\ksohtml4296\wps56.jpg"/>
                  <wp:cNvGraphicFramePr>
                    <a:graphicFrameLocks noChangeAspect="1"/>
                  </wp:cNvGraphicFramePr>
                  <a:graphic>
                    <a:graphicData uri="http://schemas.openxmlformats.org/drawingml/2006/picture">
                      <pic:pic>
                        <pic:nvPicPr>
                          <pic:cNvPr id="198" name="图片 40 198"/>
                          <pic:cNvPicPr/>
                        </pic:nvPicPr>
                        <pic:blipFill>
                          <a:blip r:embed="rId45"/>
                          <a:stretch>
                            <a:fillRect/>
                          </a:stretch>
                        </pic:blipFill>
                        <pic:spPr>
                          <a:xfrm rot="0">
                            <a:off x="0" y="0"/>
                            <a:ext cx="733425" cy="396875"/>
                          </a:xfrm>
                          <a:prstGeom prst="rect"/>
                          <a:noFill/>
                          <a:ln cmpd="sng" cap="flat">
                            <a:noFill/>
                            <a:prstDash val="solid"/>
                            <a:round/>
                          </a:ln>
                        </pic:spPr>
                      </pic:pic>
                    </a:graphicData>
                  </a:graphic>
                </wp:inline>
              </w:drawing>
            </w:r>
            <w:r>
              <w:rPr>
                <w:rFonts w:hint="eastAsia"/>
                <w:color w:val="auto"/>
                <w:sz w:val="24"/>
                <w:highlight w:val="none"/>
              </w:rPr>
              <w:t>时，</w:t>
            </w:r>
            <w:r>
              <w:rPr>
                <w:rFonts w:hint="eastAsia"/>
                <w:color w:val="auto"/>
                <w:sz w:val="24"/>
                <w:highlight w:val="none"/>
              </w:rPr>
              <w:drawing>
                <wp:inline distT="0" distB="0" distL="114300" distR="114300">
                  <wp:extent cx="1251585" cy="396875"/>
                  <wp:effectExtent l="0" t="0" r="1" b="0"/>
                  <wp:docPr id="139" name="图片 41" descr="C:\Users\user\AppData\Local\Temp\ksohtml4296\wps57.jpg"/>
                  <wp:cNvGraphicFramePr>
                    <a:graphicFrameLocks noChangeAspect="1"/>
                  </wp:cNvGraphicFramePr>
                  <a:graphic>
                    <a:graphicData uri="http://schemas.openxmlformats.org/drawingml/2006/picture">
                      <pic:pic>
                        <pic:nvPicPr>
                          <pic:cNvPr id="200" name="图片 41 200"/>
                          <pic:cNvPicPr/>
                        </pic:nvPicPr>
                        <pic:blipFill>
                          <a:blip r:embed="rId46"/>
                          <a:stretch>
                            <a:fillRect/>
                          </a:stretch>
                        </pic:blipFill>
                        <pic:spPr>
                          <a:xfrm rot="0">
                            <a:off x="0" y="0"/>
                            <a:ext cx="1251585" cy="396875"/>
                          </a:xfrm>
                          <a:prstGeom prst="rect"/>
                          <a:noFill/>
                          <a:ln cmpd="sng" cap="flat">
                            <a:noFill/>
                            <a:prstDash val="solid"/>
                            <a:round/>
                          </a:ln>
                        </pic:spPr>
                      </pic:pic>
                    </a:graphicData>
                  </a:graphic>
                </wp:inline>
              </w:drawing>
            </w:r>
            <w:r>
              <w:rPr>
                <w:rFonts w:hint="eastAsia"/>
                <w:color w:val="auto"/>
                <w:sz w:val="24"/>
                <w:lang w:eastAsia="zh-CN"/>
                <w:highlight w:val="none"/>
              </w:rPr>
              <w:t>（</w:t>
            </w:r>
            <w:r>
              <w:rPr>
                <w:rFonts w:hint="eastAsia"/>
                <w:color w:val="auto"/>
                <w:sz w:val="24"/>
                <w:highlight w:val="none"/>
              </w:rPr>
              <w:t>即按线声源处理</w:t>
            </w:r>
            <w:r>
              <w:rPr>
                <w:rFonts w:hint="eastAsia"/>
                <w:color w:val="auto"/>
                <w:sz w:val="24"/>
                <w:lang w:eastAsia="zh-CN"/>
                <w:highlight w:val="none"/>
              </w:rPr>
              <w:t>）</w:t>
            </w:r>
            <w:r>
              <w:rPr>
                <w:rFonts w:hint="eastAsia"/>
                <w:color w:val="auto"/>
                <w:sz w:val="24"/>
                <w:highlight w:val="none"/>
              </w:rPr>
              <w:t>；</w:t>
            </w:r>
          </w:p>
          <w:p>
            <w:pPr>
              <w:keepNext w:val="0"/>
              <w:keepLines w:val="0"/>
              <w:pageBreakBefore w:val="0"/>
              <w:widowControl w:val="0"/>
              <w:kinsoku/>
              <w:wordWrap/>
              <w:overflowPunct/>
              <w:topLinePunct w:val="0"/>
              <w:autoSpaceDE/>
              <w:autoSpaceDN/>
              <w:bidi w:val="0"/>
              <w:adjustRightInd/>
              <w:snapToGrid/>
              <w:spacing w:line="240" w:lineRule="auto"/>
              <w:ind w:firstLineChars="200" w:firstLine="480"/>
              <w:textAlignment w:val="auto"/>
              <w:rPr>
                <w:rFonts w:hint="eastAsia"/>
                <w:color w:val="auto"/>
                <w:sz w:val="24"/>
                <w:highlight w:val="none"/>
              </w:rPr>
            </w:pPr>
            <w:r>
              <w:rPr>
                <w:rFonts w:hint="eastAsia"/>
                <w:color w:val="auto"/>
                <w:sz w:val="24"/>
                <w:highlight w:val="none"/>
              </w:rPr>
              <w:t>当</w:t>
            </w:r>
            <w:r>
              <w:rPr>
                <w:rFonts w:hint="eastAsia"/>
                <w:color w:val="auto"/>
                <w:sz w:val="24"/>
                <w:highlight w:val="none"/>
              </w:rPr>
              <w:drawing>
                <wp:inline distT="0" distB="0" distL="114300" distR="114300">
                  <wp:extent cx="466090" cy="396875"/>
                  <wp:effectExtent l="0" t="0" r="1" b="0"/>
                  <wp:docPr id="140" name="图片 42" descr="C:\Users\user\AppData\Local\Temp\ksohtml4296\wps58.jpg"/>
                  <wp:cNvGraphicFramePr>
                    <a:graphicFrameLocks noChangeAspect="1"/>
                  </wp:cNvGraphicFramePr>
                  <a:graphic>
                    <a:graphicData uri="http://schemas.openxmlformats.org/drawingml/2006/picture">
                      <pic:pic>
                        <pic:nvPicPr>
                          <pic:cNvPr id="202" name="图片 42 202"/>
                          <pic:cNvPicPr/>
                        </pic:nvPicPr>
                        <pic:blipFill>
                          <a:blip r:embed="rId47"/>
                          <a:stretch>
                            <a:fillRect/>
                          </a:stretch>
                        </pic:blipFill>
                        <pic:spPr>
                          <a:xfrm rot="0">
                            <a:off x="0" y="0"/>
                            <a:ext cx="466090" cy="396875"/>
                          </a:xfrm>
                          <a:prstGeom prst="rect"/>
                          <a:noFill/>
                          <a:ln cmpd="sng" cap="flat">
                            <a:noFill/>
                            <a:prstDash val="solid"/>
                            <a:round/>
                          </a:ln>
                        </pic:spPr>
                      </pic:pic>
                    </a:graphicData>
                  </a:graphic>
                </wp:inline>
              </w:drawing>
            </w:r>
            <w:r>
              <w:rPr>
                <w:rFonts w:hint="eastAsia"/>
                <w:color w:val="auto"/>
                <w:sz w:val="24"/>
                <w:highlight w:val="none"/>
              </w:rPr>
              <w:t>时，</w:t>
            </w:r>
            <w:r>
              <w:rPr>
                <w:rFonts w:hint="eastAsia"/>
                <w:color w:val="auto"/>
                <w:sz w:val="24"/>
                <w:highlight w:val="none"/>
              </w:rPr>
              <w:drawing>
                <wp:inline distT="0" distB="0" distL="114300" distR="114300">
                  <wp:extent cx="1345564" cy="396875"/>
                  <wp:effectExtent l="0" t="0" r="0" b="0"/>
                  <wp:docPr id="141" name="图片 43" descr="C:\Users\user\AppData\Local\Temp\ksohtml4296\wps59.jpg"/>
                  <wp:cNvGraphicFramePr>
                    <a:graphicFrameLocks noChangeAspect="1"/>
                  </wp:cNvGraphicFramePr>
                  <a:graphic>
                    <a:graphicData uri="http://schemas.openxmlformats.org/drawingml/2006/picture">
                      <pic:pic>
                        <pic:nvPicPr>
                          <pic:cNvPr id="204" name="图片 43 204"/>
                          <pic:cNvPicPr/>
                        </pic:nvPicPr>
                        <pic:blipFill>
                          <a:blip r:embed="rId48"/>
                          <a:stretch>
                            <a:fillRect/>
                          </a:stretch>
                        </pic:blipFill>
                        <pic:spPr>
                          <a:xfrm rot="0">
                            <a:off x="0" y="0"/>
                            <a:ext cx="1345564" cy="396875"/>
                          </a:xfrm>
                          <a:prstGeom prst="rect"/>
                          <a:noFill/>
                          <a:ln cmpd="sng" cap="flat">
                            <a:noFill/>
                            <a:prstDash val="solid"/>
                            <a:round/>
                          </a:ln>
                        </pic:spPr>
                      </pic:pic>
                    </a:graphicData>
                  </a:graphic>
                </wp:inline>
              </w:drawing>
            </w:r>
            <w:r>
              <w:rPr>
                <w:rFonts w:hint="eastAsia"/>
                <w:color w:val="auto"/>
                <w:sz w:val="24"/>
                <w:lang w:eastAsia="zh-CN"/>
                <w:highlight w:val="none"/>
              </w:rPr>
              <w:t>（</w:t>
            </w:r>
            <w:r>
              <w:rPr>
                <w:rFonts w:hint="eastAsia"/>
                <w:color w:val="auto"/>
                <w:sz w:val="24"/>
                <w:highlight w:val="none"/>
              </w:rPr>
              <w:t>即按点声源处理</w:t>
            </w:r>
            <w:r>
              <w:rPr>
                <w:rFonts w:hint="eastAsia"/>
                <w:color w:val="auto"/>
                <w:sz w:val="24"/>
                <w:lang w:eastAsia="zh-CN"/>
                <w:highlight w:val="none"/>
              </w:rPr>
              <w:t>）</w:t>
            </w:r>
            <w:r>
              <w:rPr>
                <w:rFonts w:hint="eastAsia"/>
                <w:color w:val="auto"/>
                <w:sz w:val="24"/>
                <w:highlight w:val="none"/>
              </w:rPr>
              <w:t>；</w:t>
            </w:r>
          </w:p>
          <w:p>
            <w:pPr>
              <w:keepNext w:val="0"/>
              <w:keepLines w:val="0"/>
              <w:pageBreakBefore w:val="0"/>
              <w:widowControl w:val="0"/>
              <w:kinsoku/>
              <w:wordWrap/>
              <w:overflowPunct/>
              <w:topLinePunct w:val="0"/>
              <w:autoSpaceDE/>
              <w:autoSpaceDN/>
              <w:bidi w:val="0"/>
              <w:adjustRightInd/>
              <w:snapToGrid/>
              <w:spacing w:line="460" w:lineRule="exact"/>
              <w:ind w:firstLineChars="200" w:firstLine="480"/>
              <w:textAlignment w:val="auto"/>
              <w:rPr>
                <w:rFonts w:hint="eastAsia"/>
                <w:color w:val="auto"/>
                <w:sz w:val="24"/>
                <w:lang w:val="fr-FR"/>
                <w:highlight w:val="none"/>
              </w:rPr>
            </w:pPr>
            <w:r>
              <w:rPr>
                <w:rFonts w:hint="eastAsia"/>
                <w:color w:val="auto"/>
                <w:sz w:val="24"/>
                <w:highlight w:val="none"/>
              </w:rPr>
              <w:t>F、</w:t>
            </w:r>
            <w:r>
              <w:rPr>
                <w:rFonts w:hint="eastAsia"/>
                <w:color w:val="auto"/>
                <w:sz w:val="24"/>
                <w:lang w:val="fr-FR"/>
                <w:highlight w:val="none"/>
              </w:rPr>
              <w:t>计算总声压级</w:t>
            </w:r>
          </w:p>
          <w:p>
            <w:pPr>
              <w:keepNext w:val="0"/>
              <w:keepLines w:val="0"/>
              <w:pageBreakBefore w:val="0"/>
              <w:widowControl w:val="0"/>
              <w:kinsoku/>
              <w:wordWrap/>
              <w:overflowPunct/>
              <w:topLinePunct w:val="0"/>
              <w:autoSpaceDE/>
              <w:autoSpaceDN/>
              <w:bidi w:val="0"/>
              <w:adjustRightInd/>
              <w:snapToGrid/>
              <w:spacing w:line="460" w:lineRule="exact"/>
              <w:ind w:firstLineChars="200" w:firstLine="480"/>
              <w:textAlignment w:val="auto"/>
              <w:rPr>
                <w:rFonts w:hint="eastAsia"/>
                <w:color w:val="auto"/>
                <w:sz w:val="24"/>
                <w:lang w:val="fr-FR"/>
                <w:highlight w:val="none"/>
              </w:rPr>
            </w:pPr>
            <w:r>
              <w:rPr>
                <w:rFonts w:hint="eastAsia"/>
                <w:color w:val="auto"/>
                <w:sz w:val="24"/>
                <w:lang w:val="fr-FR"/>
                <w:highlight w:val="none"/>
              </w:rPr>
              <w:fldChar w:fldCharType="begin"/>
            </w:r>
            <w:r>
              <w:rPr>
                <w:rFonts w:hint="eastAsia"/>
                <w:color w:val="auto"/>
                <w:sz w:val="24"/>
                <w:lang w:val="fr-FR"/>
                <w:highlight w:val="none"/>
              </w:rPr>
              <w:instrText xml:space="preserve"> = 1 \* ROMAN \* MERGEFORMAT </w:instrText>
            </w:r>
            <w:r>
              <w:rPr>
                <w:rFonts w:hint="eastAsia"/>
                <w:color w:val="auto"/>
                <w:sz w:val="24"/>
                <w:lang w:val="fr-FR"/>
                <w:highlight w:val="none"/>
              </w:rPr>
              <w:fldChar w:fldCharType="separate"/>
            </w:r>
            <w:r>
              <w:rPr>
                <w:rFonts w:hint="eastAsia"/>
                <w:color w:val="auto"/>
                <w:sz w:val="24"/>
                <w:highlight w:val="none"/>
              </w:rPr>
              <w:t>I</w:t>
            </w:r>
            <w:r>
              <w:rPr>
                <w:rFonts w:hint="eastAsia"/>
                <w:color w:val="auto"/>
                <w:sz w:val="24"/>
                <w:lang w:val="fr-FR"/>
                <w:highlight w:val="none"/>
              </w:rPr>
              <w:fldChar w:fldCharType="end"/>
            </w:r>
            <w:r>
              <w:rPr>
                <w:rFonts w:hint="eastAsia"/>
                <w:color w:val="auto"/>
                <w:sz w:val="24"/>
                <w:lang w:val="fr-FR"/>
                <w:highlight w:val="none"/>
              </w:rPr>
              <w:t>计算各室外噪声源和各含噪声源厂房对各预测点噪声贡献值</w:t>
            </w:r>
          </w:p>
          <w:p>
            <w:pPr>
              <w:keepNext w:val="0"/>
              <w:keepLines w:val="0"/>
              <w:pageBreakBefore w:val="0"/>
              <w:widowControl w:val="0"/>
              <w:kinsoku/>
              <w:wordWrap/>
              <w:overflowPunct/>
              <w:topLinePunct w:val="0"/>
              <w:autoSpaceDE/>
              <w:autoSpaceDN/>
              <w:bidi w:val="0"/>
              <w:adjustRightInd/>
              <w:snapToGrid/>
              <w:spacing w:line="460" w:lineRule="exact"/>
              <w:ind w:firstLineChars="200" w:firstLine="480"/>
              <w:textAlignment w:val="auto"/>
              <w:rPr>
                <w:rFonts w:hint="eastAsia"/>
                <w:color w:val="auto"/>
                <w:sz w:val="24"/>
                <w:lang w:val="fr-FR"/>
                <w:highlight w:val="none"/>
              </w:rPr>
            </w:pPr>
            <w:r>
              <w:rPr>
                <w:rFonts w:hint="eastAsia"/>
                <w:color w:val="auto"/>
                <w:sz w:val="24"/>
                <w:lang w:val="fr-FR"/>
                <w:highlight w:val="none"/>
              </w:rPr>
              <w:t>设第</w:t>
            </w:r>
            <w:r>
              <w:rPr>
                <w:rFonts w:hint="eastAsia"/>
                <w:color w:val="auto"/>
                <w:sz w:val="24"/>
                <w:highlight w:val="none"/>
              </w:rPr>
              <w:drawing>
                <wp:inline distT="0" distB="0" distL="114300" distR="114300">
                  <wp:extent cx="86360" cy="172720"/>
                  <wp:effectExtent l="0" t="0" r="0" b="0"/>
                  <wp:docPr id="142" name="图片 44" descr="C:\Users\user\AppData\Local\Temp\ksohtml4296\wps60.jpg"/>
                  <wp:cNvGraphicFramePr>
                    <a:graphicFrameLocks noChangeAspect="1"/>
                  </wp:cNvGraphicFramePr>
                  <a:graphic>
                    <a:graphicData uri="http://schemas.openxmlformats.org/drawingml/2006/picture">
                      <pic:pic>
                        <pic:nvPicPr>
                          <pic:cNvPr id="205" name="图片 44 205"/>
                          <pic:cNvPicPr/>
                        </pic:nvPicPr>
                        <pic:blipFill>
                          <a:blip r:embed="rId49"/>
                          <a:stretch>
                            <a:fillRect/>
                          </a:stretch>
                        </pic:blipFill>
                        <pic:spPr>
                          <a:xfrm rot="0">
                            <a:off x="0" y="0"/>
                            <a:ext cx="86360" cy="172720"/>
                          </a:xfrm>
                          <a:prstGeom prst="rect"/>
                          <a:noFill/>
                          <a:ln cmpd="sng" cap="flat">
                            <a:noFill/>
                            <a:prstDash val="solid"/>
                            <a:round/>
                          </a:ln>
                        </pic:spPr>
                      </pic:pic>
                    </a:graphicData>
                  </a:graphic>
                </wp:inline>
              </w:drawing>
            </w:r>
            <w:r>
              <w:rPr>
                <w:rFonts w:hint="eastAsia"/>
                <w:color w:val="auto"/>
                <w:sz w:val="24"/>
                <w:lang w:val="fr-FR"/>
                <w:highlight w:val="none"/>
              </w:rPr>
              <w:t>个室外声源在预测点产生的A声级为</w:t>
            </w:r>
            <w:r>
              <w:rPr>
                <w:rFonts w:hint="eastAsia"/>
                <w:color w:val="auto"/>
                <w:sz w:val="24"/>
                <w:highlight w:val="none"/>
              </w:rPr>
              <w:drawing>
                <wp:inline distT="0" distB="0" distL="114300" distR="114300">
                  <wp:extent cx="250190" cy="250190"/>
                  <wp:effectExtent l="0" t="0" r="0" b="0"/>
                  <wp:docPr id="143" name="图片 45" descr="C:\Users\user\AppData\Local\Temp\ksohtml4296\wps61.jpg"/>
                  <wp:cNvGraphicFramePr>
                    <a:graphicFrameLocks noChangeAspect="1"/>
                  </wp:cNvGraphicFramePr>
                  <a:graphic>
                    <a:graphicData uri="http://schemas.openxmlformats.org/drawingml/2006/picture">
                      <pic:pic>
                        <pic:nvPicPr>
                          <pic:cNvPr id="207" name="图片 45 207"/>
                          <pic:cNvPicPr/>
                        </pic:nvPicPr>
                        <pic:blipFill>
                          <a:blip r:embed="rId50"/>
                          <a:stretch>
                            <a:fillRect/>
                          </a:stretch>
                        </pic:blipFill>
                        <pic:spPr>
                          <a:xfrm rot="0">
                            <a:off x="0" y="0"/>
                            <a:ext cx="250190" cy="250190"/>
                          </a:xfrm>
                          <a:prstGeom prst="rect"/>
                          <a:noFill/>
                          <a:ln cmpd="sng" cap="flat">
                            <a:noFill/>
                            <a:prstDash val="solid"/>
                            <a:round/>
                          </a:ln>
                        </pic:spPr>
                      </pic:pic>
                    </a:graphicData>
                  </a:graphic>
                </wp:inline>
              </w:drawing>
            </w:r>
            <w:r>
              <w:rPr>
                <w:rFonts w:hint="eastAsia"/>
                <w:color w:val="auto"/>
                <w:sz w:val="24"/>
                <w:lang w:val="fr-FR"/>
                <w:highlight w:val="none"/>
              </w:rPr>
              <w:t>，在T时间内该声源工作时间为</w:t>
            </w:r>
            <w:r>
              <w:rPr>
                <w:rFonts w:hint="eastAsia"/>
                <w:color w:val="auto"/>
                <w:sz w:val="24"/>
                <w:highlight w:val="none"/>
              </w:rPr>
              <w:drawing>
                <wp:inline distT="0" distB="0" distL="114300" distR="114300">
                  <wp:extent cx="120650" cy="250190"/>
                  <wp:effectExtent l="0" t="0" r="0" b="0"/>
                  <wp:docPr id="144" name="图片 46" descr="C:\Users\user\AppData\Local\Temp\ksohtml4296\wps62.jpg"/>
                  <wp:cNvGraphicFramePr>
                    <a:graphicFrameLocks noChangeAspect="1"/>
                  </wp:cNvGraphicFramePr>
                  <a:graphic>
                    <a:graphicData uri="http://schemas.openxmlformats.org/drawingml/2006/picture">
                      <pic:pic>
                        <pic:nvPicPr>
                          <pic:cNvPr id="209" name="图片 46 209"/>
                          <pic:cNvPicPr/>
                        </pic:nvPicPr>
                        <pic:blipFill>
                          <a:blip r:embed="rId51"/>
                          <a:stretch>
                            <a:fillRect/>
                          </a:stretch>
                        </pic:blipFill>
                        <pic:spPr>
                          <a:xfrm rot="0">
                            <a:off x="0" y="0"/>
                            <a:ext cx="120650" cy="250190"/>
                          </a:xfrm>
                          <a:prstGeom prst="rect"/>
                          <a:noFill/>
                          <a:ln cmpd="sng" cap="flat">
                            <a:noFill/>
                            <a:prstDash val="solid"/>
                            <a:round/>
                          </a:ln>
                        </pic:spPr>
                      </pic:pic>
                    </a:graphicData>
                  </a:graphic>
                </wp:inline>
              </w:drawing>
            </w:r>
            <w:r>
              <w:rPr>
                <w:rFonts w:hint="eastAsia"/>
                <w:color w:val="auto"/>
                <w:sz w:val="24"/>
                <w:lang w:val="fr-FR"/>
                <w:highlight w:val="none"/>
              </w:rPr>
              <w:t>；第</w:t>
            </w:r>
            <w:r>
              <w:rPr>
                <w:rFonts w:hint="eastAsia"/>
                <w:color w:val="auto"/>
                <w:sz w:val="24"/>
                <w:highlight w:val="none"/>
              </w:rPr>
              <w:drawing>
                <wp:inline distT="0" distB="0" distL="114300" distR="114300">
                  <wp:extent cx="120650" cy="189865"/>
                  <wp:effectExtent l="0" t="0" r="0" b="0"/>
                  <wp:docPr id="145" name="图片 47" descr="C:\Users\user\AppData\Local\Temp\ksohtml4296\wps63.jpg"/>
                  <wp:cNvGraphicFramePr>
                    <a:graphicFrameLocks noChangeAspect="1"/>
                  </wp:cNvGraphicFramePr>
                  <a:graphic>
                    <a:graphicData uri="http://schemas.openxmlformats.org/drawingml/2006/picture">
                      <pic:pic>
                        <pic:nvPicPr>
                          <pic:cNvPr id="210" name="图片 47 210"/>
                          <pic:cNvPicPr/>
                        </pic:nvPicPr>
                        <pic:blipFill>
                          <a:blip r:embed="rId52"/>
                          <a:stretch>
                            <a:fillRect/>
                          </a:stretch>
                        </pic:blipFill>
                        <pic:spPr>
                          <a:xfrm rot="0">
                            <a:off x="0" y="0"/>
                            <a:ext cx="120650" cy="189865"/>
                          </a:xfrm>
                          <a:prstGeom prst="rect"/>
                          <a:noFill/>
                          <a:ln cmpd="sng" cap="flat">
                            <a:noFill/>
                            <a:prstDash val="solid"/>
                            <a:round/>
                          </a:ln>
                        </pic:spPr>
                      </pic:pic>
                    </a:graphicData>
                  </a:graphic>
                </wp:inline>
              </w:drawing>
            </w:r>
            <w:r>
              <w:rPr>
                <w:rFonts w:hint="eastAsia"/>
                <w:color w:val="auto"/>
                <w:sz w:val="24"/>
                <w:lang w:val="fr-FR"/>
                <w:highlight w:val="none"/>
              </w:rPr>
              <w:t>个等效室外声源在预测点产生的A声级为</w:t>
            </w:r>
            <w:r>
              <w:rPr>
                <w:rFonts w:hint="eastAsia"/>
                <w:color w:val="auto"/>
                <w:sz w:val="24"/>
                <w:highlight w:val="none"/>
              </w:rPr>
              <w:drawing>
                <wp:inline distT="0" distB="0" distL="114300" distR="114300">
                  <wp:extent cx="250190" cy="250190"/>
                  <wp:effectExtent l="0" t="0" r="0" b="0"/>
                  <wp:docPr id="146" name="图片 48" descr="C:\Users\user\AppData\Local\Temp\ksohtml4296\wps64.jpg"/>
                  <wp:cNvGraphicFramePr>
                    <a:graphicFrameLocks noChangeAspect="1"/>
                  </wp:cNvGraphicFramePr>
                  <a:graphic>
                    <a:graphicData uri="http://schemas.openxmlformats.org/drawingml/2006/picture">
                      <pic:pic>
                        <pic:nvPicPr>
                          <pic:cNvPr id="212" name="图片 48 212"/>
                          <pic:cNvPicPr/>
                        </pic:nvPicPr>
                        <pic:blipFill>
                          <a:blip r:embed="rId53"/>
                          <a:stretch>
                            <a:fillRect/>
                          </a:stretch>
                        </pic:blipFill>
                        <pic:spPr>
                          <a:xfrm rot="0">
                            <a:off x="0" y="0"/>
                            <a:ext cx="250190" cy="250190"/>
                          </a:xfrm>
                          <a:prstGeom prst="rect"/>
                          <a:noFill/>
                          <a:ln cmpd="sng" cap="flat">
                            <a:noFill/>
                            <a:prstDash val="solid"/>
                            <a:round/>
                          </a:ln>
                        </pic:spPr>
                      </pic:pic>
                    </a:graphicData>
                  </a:graphic>
                </wp:inline>
              </w:drawing>
            </w:r>
            <w:r>
              <w:rPr>
                <w:rFonts w:hint="eastAsia"/>
                <w:color w:val="auto"/>
                <w:sz w:val="24"/>
                <w:lang w:val="fr-FR"/>
                <w:highlight w:val="none"/>
              </w:rPr>
              <w:t>，在T时间内该声源工作时间为</w:t>
            </w:r>
            <w:r>
              <w:rPr>
                <w:rFonts w:hint="eastAsia"/>
                <w:color w:val="auto"/>
                <w:sz w:val="24"/>
                <w:highlight w:val="none"/>
              </w:rPr>
              <w:drawing>
                <wp:inline distT="0" distB="0" distL="114300" distR="114300">
                  <wp:extent cx="146685" cy="250190"/>
                  <wp:effectExtent l="0" t="0" r="0" b="0"/>
                  <wp:docPr id="147" name="图片 49" descr="C:\Users\user\AppData\Local\Temp\ksohtml4296\wps65.jpg"/>
                  <wp:cNvGraphicFramePr>
                    <a:graphicFrameLocks noChangeAspect="1"/>
                  </wp:cNvGraphicFramePr>
                  <a:graphic>
                    <a:graphicData uri="http://schemas.openxmlformats.org/drawingml/2006/picture">
                      <pic:pic>
                        <pic:nvPicPr>
                          <pic:cNvPr id="214" name="图片 49 214"/>
                          <pic:cNvPicPr/>
                        </pic:nvPicPr>
                        <pic:blipFill>
                          <a:blip r:embed="rId54"/>
                          <a:stretch>
                            <a:fillRect/>
                          </a:stretch>
                        </pic:blipFill>
                        <pic:spPr>
                          <a:xfrm rot="0">
                            <a:off x="0" y="0"/>
                            <a:ext cx="146685" cy="250190"/>
                          </a:xfrm>
                          <a:prstGeom prst="rect"/>
                          <a:noFill/>
                          <a:ln cmpd="sng" cap="flat">
                            <a:noFill/>
                            <a:prstDash val="solid"/>
                            <a:round/>
                          </a:ln>
                        </pic:spPr>
                      </pic:pic>
                    </a:graphicData>
                  </a:graphic>
                </wp:inline>
              </w:drawing>
            </w:r>
            <w:r>
              <w:rPr>
                <w:rFonts w:hint="eastAsia"/>
                <w:color w:val="auto"/>
                <w:sz w:val="24"/>
                <w:lang w:val="fr-FR"/>
                <w:highlight w:val="none"/>
              </w:rPr>
              <w:t>，则搬迁改造项目声源对预测点产生的贡献值</w:t>
            </w:r>
            <w:r>
              <w:rPr>
                <w:rFonts w:hint="eastAsia"/>
                <w:color w:val="auto"/>
                <w:sz w:val="24"/>
                <w:lang w:val="fr-FR" w:eastAsia="zh-CN"/>
                <w:highlight w:val="none"/>
              </w:rPr>
              <w:t>（</w:t>
            </w:r>
            <w:r>
              <w:rPr>
                <w:rFonts w:hint="eastAsia"/>
                <w:color w:val="auto"/>
                <w:sz w:val="24"/>
                <w:highlight w:val="none"/>
              </w:rPr>
              <w:drawing>
                <wp:inline distT="0" distB="0" distL="114300" distR="114300">
                  <wp:extent cx="284479" cy="250190"/>
                  <wp:effectExtent l="0" t="0" r="0" b="0"/>
                  <wp:docPr id="148" name="图片 50" descr="C:\Users\user\AppData\Local\Temp\ksohtml4296\wps66.jpg"/>
                  <wp:cNvGraphicFramePr>
                    <a:graphicFrameLocks noChangeAspect="1"/>
                  </wp:cNvGraphicFramePr>
                  <a:graphic>
                    <a:graphicData uri="http://schemas.openxmlformats.org/drawingml/2006/picture">
                      <pic:pic>
                        <pic:nvPicPr>
                          <pic:cNvPr id="216" name="图片 50 216"/>
                          <pic:cNvPicPr/>
                        </pic:nvPicPr>
                        <pic:blipFill>
                          <a:blip r:embed="rId55"/>
                          <a:stretch>
                            <a:fillRect/>
                          </a:stretch>
                        </pic:blipFill>
                        <pic:spPr>
                          <a:xfrm rot="0">
                            <a:off x="0" y="0"/>
                            <a:ext cx="284479" cy="250190"/>
                          </a:xfrm>
                          <a:prstGeom prst="rect"/>
                          <a:noFill/>
                          <a:ln cmpd="sng" cap="flat">
                            <a:noFill/>
                            <a:prstDash val="solid"/>
                            <a:round/>
                          </a:ln>
                        </pic:spPr>
                      </pic:pic>
                    </a:graphicData>
                  </a:graphic>
                </wp:inline>
              </w:drawing>
            </w:r>
            <w:r>
              <w:rPr>
                <w:rFonts w:hint="eastAsia"/>
                <w:color w:val="auto"/>
                <w:sz w:val="24"/>
                <w:lang w:val="fr-FR" w:eastAsia="zh-CN"/>
                <w:highlight w:val="none"/>
              </w:rPr>
              <w:t>）</w:t>
            </w:r>
            <w:r>
              <w:rPr>
                <w:rFonts w:hint="eastAsia"/>
                <w:color w:val="auto"/>
                <w:sz w:val="24"/>
                <w:lang w:val="fr-FR"/>
                <w:highlight w:val="none"/>
              </w:rPr>
              <w:t>为:</w:t>
            </w:r>
          </w:p>
          <w:p>
            <w:pPr>
              <w:keepNext w:val="0"/>
              <w:keepLines w:val="0"/>
              <w:pageBreakBefore w:val="0"/>
              <w:widowControl w:val="0"/>
              <w:kinsoku/>
              <w:wordWrap/>
              <w:overflowPunct/>
              <w:topLinePunct w:val="0"/>
              <w:autoSpaceDE/>
              <w:autoSpaceDN/>
              <w:bidi w:val="0"/>
              <w:adjustRightInd/>
              <w:snapToGrid/>
              <w:spacing w:line="240" w:lineRule="auto"/>
              <w:ind w:firstLineChars="200" w:firstLine="480"/>
              <w:jc w:val="center"/>
              <w:textAlignment w:val="auto"/>
              <w:rPr>
                <w:rFonts w:hint="eastAsia"/>
                <w:color w:val="auto"/>
                <w:sz w:val="24"/>
                <w:highlight w:val="none"/>
              </w:rPr>
            </w:pPr>
            <w:r>
              <w:rPr>
                <w:rFonts w:hint="eastAsia"/>
                <w:color w:val="auto"/>
                <w:sz w:val="24"/>
                <w:highlight w:val="none"/>
              </w:rPr>
              <w:drawing>
                <wp:inline distT="0" distB="0" distL="114300" distR="114300">
                  <wp:extent cx="2526664" cy="448309"/>
                  <wp:effectExtent l="0" t="0" r="0" b="0"/>
                  <wp:docPr id="149" name="图片 51" descr="C:\Users\user\AppData\Local\Temp\ksohtml4296\wps67.jpg"/>
                  <wp:cNvGraphicFramePr>
                    <a:graphicFrameLocks noChangeAspect="1"/>
                  </wp:cNvGraphicFramePr>
                  <a:graphic>
                    <a:graphicData uri="http://schemas.openxmlformats.org/drawingml/2006/picture">
                      <pic:pic>
                        <pic:nvPicPr>
                          <pic:cNvPr id="218" name="图片 51 218"/>
                          <pic:cNvPicPr/>
                        </pic:nvPicPr>
                        <pic:blipFill>
                          <a:blip r:embed="rId56"/>
                          <a:stretch>
                            <a:fillRect/>
                          </a:stretch>
                        </pic:blipFill>
                        <pic:spPr>
                          <a:xfrm rot="0">
                            <a:off x="0" y="0"/>
                            <a:ext cx="2526664" cy="448309"/>
                          </a:xfrm>
                          <a:prstGeom prst="rect"/>
                          <a:noFill/>
                          <a:ln cmpd="sng" cap="flat">
                            <a:noFill/>
                            <a:prstDash val="solid"/>
                            <a:round/>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460" w:lineRule="exact"/>
              <w:ind w:firstLineChars="200" w:firstLine="480"/>
              <w:textAlignment w:val="auto"/>
              <w:rPr>
                <w:rFonts w:hint="eastAsia"/>
                <w:color w:val="auto"/>
                <w:sz w:val="24"/>
                <w:lang w:val="fr-FR"/>
                <w:highlight w:val="none"/>
              </w:rPr>
            </w:pPr>
            <w:r>
              <w:rPr>
                <w:rFonts w:hint="eastAsia"/>
                <w:color w:val="auto"/>
                <w:sz w:val="24"/>
                <w:lang w:val="fr-FR"/>
                <w:highlight w:val="none"/>
              </w:rPr>
              <w:fldChar w:fldCharType="begin"/>
            </w:r>
            <w:r>
              <w:rPr>
                <w:rFonts w:hint="eastAsia"/>
                <w:color w:val="auto"/>
                <w:sz w:val="24"/>
                <w:lang w:val="fr-FR"/>
                <w:highlight w:val="none"/>
              </w:rPr>
              <w:instrText xml:space="preserve"> = 2 \* ROMAN \* MERGEFORMAT </w:instrText>
            </w:r>
            <w:r>
              <w:rPr>
                <w:rFonts w:hint="eastAsia"/>
                <w:color w:val="auto"/>
                <w:sz w:val="24"/>
                <w:lang w:val="fr-FR"/>
                <w:highlight w:val="none"/>
              </w:rPr>
              <w:fldChar w:fldCharType="separate"/>
            </w:r>
            <w:r>
              <w:rPr>
                <w:rFonts w:hint="eastAsia"/>
                <w:color w:val="auto"/>
                <w:sz w:val="24"/>
                <w:highlight w:val="none"/>
              </w:rPr>
              <w:t>II</w:t>
            </w:r>
            <w:r>
              <w:rPr>
                <w:rFonts w:hint="eastAsia"/>
                <w:color w:val="auto"/>
                <w:sz w:val="24"/>
                <w:lang w:val="fr-FR"/>
                <w:highlight w:val="none"/>
              </w:rPr>
              <w:fldChar w:fldCharType="end"/>
            </w:r>
            <w:r>
              <w:rPr>
                <w:rFonts w:hint="eastAsia"/>
                <w:color w:val="auto"/>
                <w:sz w:val="24"/>
                <w:lang w:val="fr-FR"/>
                <w:highlight w:val="none"/>
              </w:rPr>
              <w:t>预测点的噪声预测值</w:t>
            </w:r>
          </w:p>
          <w:p>
            <w:pPr>
              <w:keepNext w:val="0"/>
              <w:keepLines w:val="0"/>
              <w:pageBreakBefore w:val="0"/>
              <w:widowControl w:val="0"/>
              <w:kinsoku/>
              <w:wordWrap/>
              <w:overflowPunct/>
              <w:topLinePunct w:val="0"/>
              <w:autoSpaceDE/>
              <w:autoSpaceDN/>
              <w:bidi w:val="0"/>
              <w:adjustRightInd/>
              <w:snapToGrid/>
              <w:spacing w:line="360" w:lineRule="auto"/>
              <w:ind w:firstLineChars="200" w:firstLine="480"/>
              <w:jc w:val="center"/>
              <w:textAlignment w:val="auto"/>
              <w:rPr>
                <w:rFonts w:hint="eastAsia"/>
                <w:color w:val="auto"/>
                <w:sz w:val="24"/>
                <w:lang w:val="fr-FR"/>
                <w:highlight w:val="none"/>
              </w:rPr>
            </w:pPr>
            <w:r>
              <w:rPr>
                <w:rFonts w:hint="eastAsia"/>
                <w:color w:val="auto"/>
                <w:sz w:val="24"/>
                <w:highlight w:val="none"/>
              </w:rPr>
              <w:drawing>
                <wp:inline distT="0" distB="0" distL="114300" distR="114300">
                  <wp:extent cx="1794510" cy="267334"/>
                  <wp:effectExtent l="0" t="0" r="0" b="0"/>
                  <wp:docPr id="150" name="图片 52" descr="C:\Users\user\AppData\Local\Temp\ksohtml4296\wps68.jpg"/>
                  <wp:cNvGraphicFramePr>
                    <a:graphicFrameLocks noChangeAspect="1"/>
                  </wp:cNvGraphicFramePr>
                  <a:graphic>
                    <a:graphicData uri="http://schemas.openxmlformats.org/drawingml/2006/picture">
                      <pic:pic>
                        <pic:nvPicPr>
                          <pic:cNvPr id="220" name="图片 52 220"/>
                          <pic:cNvPicPr/>
                        </pic:nvPicPr>
                        <pic:blipFill>
                          <a:blip r:embed="rId57"/>
                          <a:stretch>
                            <a:fillRect/>
                          </a:stretch>
                        </pic:blipFill>
                        <pic:spPr>
                          <a:xfrm rot="0">
                            <a:off x="0" y="0"/>
                            <a:ext cx="1794510" cy="267334"/>
                          </a:xfrm>
                          <a:prstGeom prst="rect"/>
                          <a:noFill/>
                          <a:ln cmpd="sng" cap="flat">
                            <a:noFill/>
                            <a:prstDash val="solid"/>
                            <a:round/>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460" w:lineRule="exact"/>
              <w:ind w:firstLineChars="200" w:firstLine="480"/>
              <w:textAlignment w:val="auto"/>
              <w:rPr>
                <w:rFonts w:hint="eastAsia"/>
                <w:color w:val="auto"/>
                <w:sz w:val="24"/>
                <w:lang w:val="fr-FR"/>
                <w:highlight w:val="none"/>
              </w:rPr>
            </w:pPr>
            <w:r>
              <w:rPr>
                <w:rFonts w:hint="eastAsia"/>
                <w:color w:val="auto"/>
                <w:sz w:val="24"/>
                <w:lang w:val="fr-FR"/>
                <w:highlight w:val="none"/>
              </w:rPr>
              <w:t>式中：</w:t>
            </w:r>
            <w:r>
              <w:rPr>
                <w:rFonts w:hint="eastAsia"/>
                <w:color w:val="auto"/>
                <w:sz w:val="24"/>
                <w:highlight w:val="none"/>
              </w:rPr>
              <w:drawing>
                <wp:inline distT="0" distB="0" distL="114300" distR="114300">
                  <wp:extent cx="267334" cy="250190"/>
                  <wp:effectExtent l="0" t="0" r="0" b="0"/>
                  <wp:docPr id="151" name="图片 53" descr="C:\Users\user\AppData\Local\Temp\ksohtml4296\wps69.jpg"/>
                  <wp:cNvGraphicFramePr>
                    <a:graphicFrameLocks noChangeAspect="1"/>
                  </wp:cNvGraphicFramePr>
                  <a:graphic>
                    <a:graphicData uri="http://schemas.openxmlformats.org/drawingml/2006/picture">
                      <pic:pic>
                        <pic:nvPicPr>
                          <pic:cNvPr id="222" name="图片 53 222"/>
                          <pic:cNvPicPr/>
                        </pic:nvPicPr>
                        <pic:blipFill>
                          <a:blip r:embed="rId58"/>
                          <a:stretch>
                            <a:fillRect/>
                          </a:stretch>
                        </pic:blipFill>
                        <pic:spPr>
                          <a:xfrm rot="0">
                            <a:off x="0" y="0"/>
                            <a:ext cx="267334" cy="250190"/>
                          </a:xfrm>
                          <a:prstGeom prst="rect"/>
                          <a:noFill/>
                          <a:ln cmpd="sng" cap="flat">
                            <a:noFill/>
                            <a:prstDash val="solid"/>
                            <a:round/>
                          </a:ln>
                        </pic:spPr>
                      </pic:pic>
                    </a:graphicData>
                  </a:graphic>
                </wp:inline>
              </w:drawing>
            </w:r>
            <w:r>
              <w:rPr>
                <w:rFonts w:hint="eastAsia"/>
                <w:color w:val="auto"/>
                <w:sz w:val="24"/>
                <w:lang w:val="fr-FR"/>
                <w:highlight w:val="none"/>
              </w:rPr>
              <w:t>——建设项目声源在预测点的等效声级贡献值，dB</w:t>
            </w:r>
            <w:r>
              <w:rPr>
                <w:rFonts w:hint="eastAsia"/>
                <w:color w:val="auto"/>
                <w:sz w:val="24"/>
                <w:lang w:val="fr-FR" w:eastAsia="zh-CN"/>
                <w:highlight w:val="none"/>
              </w:rPr>
              <w:t>（</w:t>
            </w:r>
            <w:r>
              <w:rPr>
                <w:rFonts w:hint="eastAsia"/>
                <w:color w:val="auto"/>
                <w:sz w:val="24"/>
                <w:lang w:val="fr-FR"/>
                <w:highlight w:val="none"/>
              </w:rPr>
              <w:t>A</w:t>
            </w:r>
            <w:r>
              <w:rPr>
                <w:rFonts w:hint="eastAsia"/>
                <w:color w:val="auto"/>
                <w:sz w:val="24"/>
                <w:lang w:val="fr-FR" w:eastAsia="zh-CN"/>
                <w:highlight w:val="none"/>
              </w:rPr>
              <w:t>）</w:t>
            </w:r>
            <w:r>
              <w:rPr>
                <w:rFonts w:hint="eastAsia"/>
                <w:color w:val="auto"/>
                <w:sz w:val="24"/>
                <w:lang w:val="fr-FR"/>
                <w:highlight w:val="none"/>
              </w:rPr>
              <w:t>；</w:t>
            </w:r>
          </w:p>
          <w:p>
            <w:pPr>
              <w:keepNext w:val="0"/>
              <w:keepLines w:val="0"/>
              <w:pageBreakBefore w:val="0"/>
              <w:widowControl w:val="0"/>
              <w:kinsoku/>
              <w:wordWrap/>
              <w:overflowPunct/>
              <w:topLinePunct w:val="0"/>
              <w:autoSpaceDE/>
              <w:autoSpaceDN/>
              <w:bidi w:val="0"/>
              <w:adjustRightInd/>
              <w:snapToGrid/>
              <w:spacing w:line="460" w:lineRule="exact"/>
              <w:ind w:firstLineChars="500" w:firstLine="1200"/>
              <w:textAlignment w:val="auto"/>
              <w:rPr>
                <w:rFonts w:hint="eastAsia"/>
                <w:color w:val="auto"/>
                <w:sz w:val="24"/>
                <w:lang w:val="fr-FR"/>
                <w:highlight w:val="none"/>
              </w:rPr>
            </w:pPr>
            <w:r>
              <w:rPr>
                <w:rFonts w:hint="eastAsia"/>
                <w:color w:val="auto"/>
                <w:sz w:val="24"/>
                <w:highlight w:val="none"/>
              </w:rPr>
              <w:drawing>
                <wp:inline distT="0" distB="0" distL="114300" distR="114300">
                  <wp:extent cx="267334" cy="250190"/>
                  <wp:effectExtent l="0" t="0" r="0" b="0"/>
                  <wp:docPr id="152" name="图片 54" descr="C:\Users\user\AppData\Local\Temp\ksohtml4296\wps70.jpg"/>
                  <wp:cNvGraphicFramePr>
                    <a:graphicFrameLocks noChangeAspect="1"/>
                  </wp:cNvGraphicFramePr>
                  <a:graphic>
                    <a:graphicData uri="http://schemas.openxmlformats.org/drawingml/2006/picture">
                      <pic:pic>
                        <pic:nvPicPr>
                          <pic:cNvPr id="224" name="图片 54 224"/>
                          <pic:cNvPicPr/>
                        </pic:nvPicPr>
                        <pic:blipFill>
                          <a:blip r:embed="rId59"/>
                          <a:stretch>
                            <a:fillRect/>
                          </a:stretch>
                        </pic:blipFill>
                        <pic:spPr>
                          <a:xfrm rot="0">
                            <a:off x="0" y="0"/>
                            <a:ext cx="267334" cy="250190"/>
                          </a:xfrm>
                          <a:prstGeom prst="rect"/>
                          <a:noFill/>
                          <a:ln cmpd="sng" cap="flat">
                            <a:noFill/>
                            <a:prstDash val="solid"/>
                            <a:round/>
                          </a:ln>
                        </pic:spPr>
                      </pic:pic>
                    </a:graphicData>
                  </a:graphic>
                </wp:inline>
              </w:drawing>
            </w:r>
            <w:r>
              <w:rPr>
                <w:rFonts w:hint="eastAsia"/>
                <w:color w:val="auto"/>
                <w:sz w:val="24"/>
                <w:lang w:val="fr-FR"/>
                <w:highlight w:val="none"/>
              </w:rPr>
              <w:t>——预测点的背景值，dB</w:t>
            </w:r>
            <w:r>
              <w:rPr>
                <w:rFonts w:hint="eastAsia"/>
                <w:color w:val="auto"/>
                <w:sz w:val="24"/>
                <w:lang w:val="fr-FR" w:eastAsia="zh-CN"/>
                <w:highlight w:val="none"/>
              </w:rPr>
              <w:t>（</w:t>
            </w:r>
            <w:r>
              <w:rPr>
                <w:rFonts w:hint="eastAsia"/>
                <w:color w:val="auto"/>
                <w:sz w:val="24"/>
                <w:lang w:val="fr-FR"/>
                <w:highlight w:val="none"/>
              </w:rPr>
              <w:t>A</w:t>
            </w:r>
            <w:r>
              <w:rPr>
                <w:rFonts w:hint="eastAsia"/>
                <w:color w:val="auto"/>
                <w:sz w:val="24"/>
                <w:lang w:val="fr-FR" w:eastAsia="zh-CN"/>
                <w:highlight w:val="none"/>
              </w:rPr>
              <w:t>）</w:t>
            </w:r>
            <w:r>
              <w:rPr>
                <w:rFonts w:hint="eastAsia"/>
                <w:color w:val="auto"/>
                <w:sz w:val="24"/>
                <w:lang w:val="fr-FR"/>
                <w:highlight w:val="none"/>
              </w:rPr>
              <w:t>。</w:t>
            </w:r>
          </w:p>
          <w:p>
            <w:pPr>
              <w:keepNext w:val="0"/>
              <w:keepLines w:val="0"/>
              <w:pageBreakBefore w:val="0"/>
              <w:widowControl w:val="0"/>
              <w:kinsoku/>
              <w:wordWrap/>
              <w:overflowPunct/>
              <w:topLinePunct w:val="0"/>
              <w:autoSpaceDE/>
              <w:autoSpaceDN/>
              <w:bidi w:val="0"/>
              <w:adjustRightInd/>
              <w:snapToGrid/>
              <w:spacing w:line="460" w:lineRule="exact"/>
              <w:ind w:firstLineChars="200" w:firstLine="480"/>
              <w:textAlignment w:val="auto"/>
              <w:rPr>
                <w:rFonts w:hint="eastAsia"/>
                <w:color w:val="auto"/>
                <w:sz w:val="24"/>
                <w:highlight w:val="none"/>
              </w:rPr>
            </w:pPr>
            <w:r>
              <w:rPr>
                <w:rFonts w:hint="eastAsia"/>
                <w:color w:val="auto"/>
                <w:sz w:val="24"/>
                <w:highlight w:val="none"/>
              </w:rPr>
              <w:t>（3）预测结果</w:t>
            </w:r>
          </w:p>
          <w:p>
            <w:pPr>
              <w:keepNext w:val="0"/>
              <w:keepLines w:val="0"/>
              <w:pageBreakBefore w:val="0"/>
              <w:widowControl w:val="0"/>
              <w:kinsoku/>
              <w:wordWrap/>
              <w:overflowPunct/>
              <w:topLinePunct w:val="0"/>
              <w:autoSpaceDE/>
              <w:autoSpaceDN/>
              <w:bidi w:val="0"/>
              <w:adjustRightInd/>
              <w:snapToGrid/>
              <w:spacing w:line="460" w:lineRule="exact"/>
              <w:ind w:firstLineChars="200" w:firstLine="480"/>
              <w:textAlignment w:val="auto"/>
              <w:rPr>
                <w:rFonts w:hint="eastAsia"/>
                <w:color w:val="auto"/>
              </w:rPr>
            </w:pPr>
            <w:r>
              <w:rPr>
                <w:rFonts w:hint="eastAsia"/>
                <w:color w:val="auto"/>
                <w:sz w:val="24"/>
                <w:highlight w:val="none"/>
              </w:rPr>
              <w:t>本项目采用《环境影响评价技术导则  声环境》（HJ2.4-2021）中推荐的模式进行预测，</w:t>
            </w:r>
            <w:r>
              <w:rPr>
                <w:rFonts w:hint="eastAsia"/>
                <w:color w:val="auto"/>
                <w:sz w:val="24"/>
                <w:lang w:eastAsia="zh-CN"/>
                <w:highlight w:val="none"/>
              </w:rPr>
              <w:t>考虑到本项目租赁区域较为分散，但产噪设备仅位于大库房内，小库房和办公室不涉及固定声源，因此，本项目对大库房边界进行预测，同时对整个厂区边界进行预测，</w:t>
            </w:r>
            <w:r>
              <w:rPr>
                <w:rFonts w:hint="eastAsia"/>
                <w:color w:val="auto"/>
                <w:sz w:val="24"/>
                <w:highlight w:val="none"/>
              </w:rPr>
              <w:t>预测结果见下表。</w:t>
            </w:r>
          </w:p>
          <w:p>
            <w:pPr>
              <w:keepNext w:val="0"/>
              <w:keepLines w:val="0"/>
              <w:pageBreakBefore w:val="0"/>
              <w:widowControl/>
              <w:kinsoku/>
              <w:wordWrap/>
              <w:overflowPunct/>
              <w:topLinePunct w:val="0"/>
              <w:autoSpaceDE/>
              <w:autoSpaceDN/>
              <w:bidi w:val="0"/>
              <w:adjustRightInd w:val="0"/>
              <w:snapToGrid w:val="0"/>
              <w:spacing w:line="460" w:lineRule="exact"/>
              <w:ind w:firstLineChars="200" w:firstLine="480"/>
              <w:jc w:val="center"/>
              <w:textAlignment w:val="auto"/>
              <w:rPr>
                <w:rFonts w:ascii="Times New Roman" w:eastAsia="宋体" w:cs="Times New Roman" w:hAnsi="Times New Roman"/>
                <w:b/>
                <w:bCs w:val="0"/>
                <w:color w:val="auto"/>
                <w:kern w:val="0"/>
                <w:sz w:val="24"/>
                <w:szCs w:val="22"/>
                <w:lang w:val="en-GB" w:eastAsia="zh-CN"/>
                <w:highlight w:val="none"/>
              </w:rPr>
            </w:pPr>
            <w:r>
              <w:rPr>
                <w:rFonts w:ascii="Times New Roman" w:eastAsia="宋体" w:cs="Times New Roman" w:hAnsi="Times New Roman" w:hint="eastAsia"/>
                <w:b/>
                <w:bCs w:val="0"/>
                <w:color w:val="auto"/>
                <w:kern w:val="0"/>
                <w:sz w:val="24"/>
                <w:szCs w:val="22"/>
                <w:lang w:val="en-GB" w:eastAsia="zh-CN"/>
                <w:highlight w:val="none"/>
              </w:rPr>
              <w:t>表</w:t>
            </w:r>
            <w:r>
              <w:rPr>
                <w:rFonts w:ascii="Times New Roman" w:eastAsia="宋体" w:cs="Times New Roman" w:hAnsi="Times New Roman" w:hint="eastAsia"/>
                <w:b/>
                <w:bCs w:val="0"/>
                <w:color w:val="auto"/>
                <w:kern w:val="0"/>
                <w:sz w:val="24"/>
                <w:szCs w:val="22"/>
                <w:lang w:val="en-US" w:eastAsia="zh-CN"/>
                <w:highlight w:val="none"/>
              </w:rPr>
              <w:t>4-</w:t>
            </w:r>
            <w:r>
              <w:rPr>
                <w:rFonts w:cs="Times New Roman" w:hint="eastAsia"/>
                <w:b/>
                <w:bCs w:val="0"/>
                <w:color w:val="auto"/>
                <w:kern w:val="0"/>
                <w:sz w:val="24"/>
                <w:szCs w:val="22"/>
                <w:lang w:val="en-US" w:eastAsia="zh-CN"/>
                <w:highlight w:val="none"/>
              </w:rPr>
              <w:t>6</w:t>
            </w:r>
            <w:r>
              <w:rPr>
                <w:rFonts w:ascii="Times New Roman" w:eastAsia="宋体" w:cs="Times New Roman" w:hAnsi="Times New Roman" w:hint="eastAsia"/>
                <w:b/>
                <w:bCs w:val="0"/>
                <w:color w:val="auto"/>
                <w:kern w:val="0"/>
                <w:sz w:val="24"/>
                <w:szCs w:val="22"/>
                <w:lang w:val="en-GB" w:eastAsia="zh-CN"/>
                <w:highlight w:val="none"/>
              </w:rPr>
              <w:t xml:space="preserve">   噪声预测结果 dB</w:t>
            </w:r>
            <w:r>
              <w:rPr>
                <w:rFonts w:cs="Times New Roman" w:hint="eastAsia"/>
                <w:b/>
                <w:bCs w:val="0"/>
                <w:color w:val="auto"/>
                <w:kern w:val="0"/>
                <w:sz w:val="24"/>
                <w:szCs w:val="22"/>
                <w:lang w:val="en-GB" w:eastAsia="zh-CN"/>
                <w:highlight w:val="none"/>
              </w:rPr>
              <w:t>（</w:t>
            </w:r>
            <w:r>
              <w:rPr>
                <w:rFonts w:ascii="Times New Roman" w:eastAsia="宋体" w:cs="Times New Roman" w:hAnsi="Times New Roman" w:hint="eastAsia"/>
                <w:b/>
                <w:bCs w:val="0"/>
                <w:color w:val="auto"/>
                <w:kern w:val="0"/>
                <w:sz w:val="24"/>
                <w:szCs w:val="22"/>
                <w:lang w:val="en-GB" w:eastAsia="zh-CN"/>
                <w:highlight w:val="none"/>
              </w:rPr>
              <w:t>A</w:t>
            </w:r>
            <w:r>
              <w:rPr>
                <w:rFonts w:cs="Times New Roman" w:hint="eastAsia"/>
                <w:b/>
                <w:bCs w:val="0"/>
                <w:color w:val="auto"/>
                <w:kern w:val="0"/>
                <w:sz w:val="24"/>
                <w:szCs w:val="22"/>
                <w:lang w:val="en-GB" w:eastAsia="zh-CN"/>
                <w:highlight w:val="none"/>
              </w:rPr>
              <w:t>）</w:t>
            </w:r>
          </w:p>
          <w:tbl>
            <w:tblPr>
              <w:jc w:val="center"/>
              <w:tblW w:w="5000" w:type="pct"/>
              <w:tblBorders>
                <w:top w:val="single" w:sz="12" w:space="0" w:color="auto"/>
                <w:left w:val="none" w:sz="0" w:space="0" w:color="auto"/>
                <w:bottom w:val="single" w:sz="12" w:space="0" w:color="auto"/>
                <w:right w:val="none" w:sz="0" w:space="0" w:color="auto"/>
                <w:insideH w:val="single" w:sz="4" w:space="0" w:color="auto"/>
                <w:insideV w:val="single" w:sz="4" w:space="0" w:color="auto"/>
              </w:tblBorders>
              <w:tblLayout w:type="fixed"/>
              <w:tblCellMar>
                <w:top w:w="0" w:type="dxa"/>
                <w:left w:w="108" w:type="dxa"/>
                <w:bottom w:w="0" w:type="dxa"/>
                <w:right w:w="108" w:type="dxa"/>
              </w:tblCellMar>
              <w:tblLook w:val="0600" w:firstRow="0" w:lastRow="0" w:firstColumn="0" w:lastColumn="0" w:noHBand="1" w:noVBand="1"/>
            </w:tblPr>
            <w:tblGrid>
              <w:gridCol w:w="234"/>
              <w:gridCol w:w="580"/>
              <w:gridCol w:w="531"/>
              <w:gridCol w:w="1662"/>
              <w:gridCol w:w="1795"/>
              <w:gridCol w:w="2075"/>
              <w:gridCol w:w="2054"/>
            </w:tblGrid>
            <w:tr>
              <w:trPr>
                <w:trHeight w:hRule="exact" w:val="420"/>
              </w:trPr>
              <w:tc>
                <w:tcPr>
                  <w:tcW w:w="384" w:type="pct"/>
                  <w:vMerge w:val="restart"/>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bCs/>
                      <w:color w:val="auto"/>
                      <w:kern w:val="0"/>
                      <w:sz w:val="21"/>
                      <w:szCs w:val="21"/>
                      <w:lang w:val="en-US" w:eastAsia="zh-CN" w:bidi="ar-SA"/>
                      <w:highlight w:val="none"/>
                    </w:rPr>
                  </w:pPr>
                  <w:r>
                    <w:rPr>
                      <w:rFonts w:ascii="Times New Roman" w:eastAsia="宋体" w:cs="Times New Roman" w:hAnsi="Times New Roman"/>
                      <w:bCs/>
                      <w:color w:val="auto"/>
                      <w:kern w:val="0"/>
                      <w:sz w:val="21"/>
                      <w:szCs w:val="21"/>
                      <w:lang w:val="en-US" w:eastAsia="zh-CN" w:bidi="ar-SA"/>
                      <w:highlight w:val="none"/>
                    </w:rPr>
                    <w:t>序号</w:t>
                  </w:r>
                </w:p>
              </w:tc>
              <w:tc>
                <w:tcPr>
                  <w:tcW w:w="953" w:type="pct"/>
                  <w:vMerge w:val="restart"/>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bCs/>
                      <w:color w:val="auto"/>
                      <w:kern w:val="0"/>
                      <w:sz w:val="21"/>
                      <w:szCs w:val="21"/>
                      <w:lang w:val="en-US" w:eastAsia="zh-CN" w:bidi="ar-SA"/>
                      <w:highlight w:val="none"/>
                    </w:rPr>
                  </w:pPr>
                  <w:r>
                    <w:rPr>
                      <w:rFonts w:cs="Times New Roman" w:hint="eastAsia"/>
                      <w:bCs/>
                      <w:color w:val="auto"/>
                      <w:kern w:val="0"/>
                      <w:sz w:val="21"/>
                      <w:szCs w:val="21"/>
                      <w:lang w:val="en-US" w:eastAsia="zh-CN" w:bidi="ar-SA"/>
                      <w:highlight w:val="none"/>
                    </w:rPr>
                    <w:t>预测点位</w:t>
                  </w:r>
                </w:p>
              </w:tc>
              <w:tc>
                <w:tcPr>
                  <w:tcW w:w="872" w:type="pct"/>
                  <w:vMerge w:val="restart"/>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bCs/>
                      <w:color w:val="auto"/>
                      <w:kern w:val="0"/>
                      <w:sz w:val="21"/>
                      <w:szCs w:val="21"/>
                      <w:lang w:val="en-US" w:eastAsia="zh-CN" w:bidi="ar-SA"/>
                      <w:highlight w:val="none"/>
                    </w:rPr>
                  </w:pPr>
                  <w:r>
                    <w:rPr>
                      <w:rFonts w:ascii="Times New Roman" w:eastAsia="宋体" w:cs="Times New Roman" w:hAnsi="Times New Roman"/>
                      <w:bCs/>
                      <w:color w:val="auto"/>
                      <w:kern w:val="0"/>
                      <w:sz w:val="21"/>
                      <w:szCs w:val="21"/>
                      <w:lang w:val="en-US" w:eastAsia="zh-CN" w:bidi="ar-SA"/>
                      <w:highlight w:val="none"/>
                    </w:rPr>
                    <w:t>噪声贡献值/dB</w:t>
                  </w:r>
                  <w:r>
                    <w:rPr>
                      <w:rFonts w:cs="Times New Roman" w:hint="eastAsia"/>
                      <w:bCs/>
                      <w:color w:val="auto"/>
                      <w:kern w:val="0"/>
                      <w:sz w:val="21"/>
                      <w:szCs w:val="21"/>
                      <w:lang w:val="en-US" w:eastAsia="zh-CN" w:bidi="ar-SA"/>
                      <w:highlight w:val="none"/>
                    </w:rPr>
                    <w:t>（</w:t>
                  </w:r>
                  <w:r>
                    <w:rPr>
                      <w:rFonts w:ascii="Times New Roman" w:eastAsia="宋体" w:cs="Times New Roman" w:hAnsi="Times New Roman"/>
                      <w:bCs/>
                      <w:color w:val="auto"/>
                      <w:kern w:val="0"/>
                      <w:sz w:val="21"/>
                      <w:szCs w:val="21"/>
                      <w:lang w:val="en-US" w:eastAsia="zh-CN" w:bidi="ar-SA"/>
                      <w:highlight w:val="none"/>
                    </w:rPr>
                    <w:t>A</w:t>
                  </w:r>
                  <w:r>
                    <w:rPr>
                      <w:rFonts w:cs="Times New Roman" w:hint="eastAsia"/>
                      <w:bCs/>
                      <w:color w:val="auto"/>
                      <w:kern w:val="0"/>
                      <w:sz w:val="21"/>
                      <w:szCs w:val="21"/>
                      <w:lang w:val="en-US" w:eastAsia="zh-CN" w:bidi="ar-SA"/>
                      <w:highlight w:val="none"/>
                    </w:rPr>
                    <w:t>）</w:t>
                  </w:r>
                </w:p>
              </w:tc>
              <w:tc>
                <w:tcPr>
                  <w:tcW w:w="1271" w:type="pct"/>
                  <w:gridSpan w:val="2"/>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bCs/>
                      <w:color w:val="auto"/>
                      <w:kern w:val="0"/>
                      <w:sz w:val="21"/>
                      <w:szCs w:val="21"/>
                      <w:lang w:val="en-US" w:eastAsia="zh-CN" w:bidi="ar-SA"/>
                      <w:highlight w:val="none"/>
                    </w:rPr>
                  </w:pPr>
                  <w:r>
                    <w:rPr>
                      <w:rFonts w:ascii="Times New Roman" w:eastAsia="宋体" w:cs="Times New Roman" w:hAnsi="Times New Roman"/>
                      <w:bCs/>
                      <w:color w:val="auto"/>
                      <w:kern w:val="0"/>
                      <w:sz w:val="21"/>
                      <w:szCs w:val="21"/>
                      <w:lang w:val="en-US" w:eastAsia="zh-CN" w:bidi="ar-SA"/>
                      <w:highlight w:val="none"/>
                    </w:rPr>
                    <w:t>标准值/dB</w:t>
                  </w:r>
                  <w:r>
                    <w:rPr>
                      <w:rFonts w:cs="Times New Roman" w:hint="eastAsia"/>
                      <w:bCs/>
                      <w:color w:val="auto"/>
                      <w:kern w:val="0"/>
                      <w:sz w:val="21"/>
                      <w:szCs w:val="21"/>
                      <w:lang w:val="en-US" w:eastAsia="zh-CN" w:bidi="ar-SA"/>
                      <w:highlight w:val="none"/>
                    </w:rPr>
                    <w:t>（</w:t>
                  </w:r>
                  <w:r>
                    <w:rPr>
                      <w:rFonts w:ascii="Times New Roman" w:eastAsia="宋体" w:cs="Times New Roman" w:hAnsi="Times New Roman"/>
                      <w:bCs/>
                      <w:color w:val="auto"/>
                      <w:kern w:val="0"/>
                      <w:sz w:val="21"/>
                      <w:szCs w:val="21"/>
                      <w:lang w:val="en-US" w:eastAsia="zh-CN" w:bidi="ar-SA"/>
                      <w:highlight w:val="none"/>
                    </w:rPr>
                    <w:t>A</w:t>
                  </w:r>
                  <w:r>
                    <w:rPr>
                      <w:rFonts w:cs="Times New Roman" w:hint="eastAsia"/>
                      <w:bCs/>
                      <w:color w:val="auto"/>
                      <w:kern w:val="0"/>
                      <w:sz w:val="21"/>
                      <w:szCs w:val="21"/>
                      <w:lang w:val="en-US" w:eastAsia="zh-CN" w:bidi="ar-SA"/>
                      <w:highlight w:val="none"/>
                    </w:rPr>
                    <w:t>）</w:t>
                  </w:r>
                </w:p>
              </w:tc>
              <w:tc>
                <w:tcPr>
                  <w:tcW w:w="1518" w:type="pct"/>
                  <w:gridSpan w:val="2"/>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bCs/>
                      <w:color w:val="auto"/>
                      <w:kern w:val="0"/>
                      <w:sz w:val="21"/>
                      <w:szCs w:val="21"/>
                      <w:lang w:val="en-US" w:eastAsia="zh-CN" w:bidi="ar-SA"/>
                      <w:highlight w:val="none"/>
                    </w:rPr>
                  </w:pPr>
                  <w:r>
                    <w:rPr>
                      <w:rFonts w:ascii="Times New Roman" w:eastAsia="宋体" w:cs="Times New Roman" w:hAnsi="Times New Roman"/>
                      <w:bCs/>
                      <w:color w:val="auto"/>
                      <w:kern w:val="0"/>
                      <w:sz w:val="21"/>
                      <w:szCs w:val="21"/>
                      <w:lang w:val="en-US" w:eastAsia="zh-CN" w:bidi="ar-SA"/>
                      <w:highlight w:val="none"/>
                    </w:rPr>
                    <w:t>超标和达标情况</w:t>
                  </w:r>
                </w:p>
              </w:tc>
            </w:tr>
            <w:tr>
              <w:tc>
                <w:tcPr>
                  <w:tcW w:w="384" w:type="pct"/>
                  <w:vMerge/>
                  <w:vAlign w:val="center"/>
                </w:tcPr>
                <w:p/>
              </w:tc>
              <w:tc>
                <w:tcPr>
                  <w:tcW w:w="953" w:type="pct"/>
                  <w:vMerge/>
                  <w:vAlign w:val="center"/>
                </w:tcPr>
                <w:p/>
              </w:tc>
              <w:tc>
                <w:tcPr>
                  <w:tcW w:w="872" w:type="pct"/>
                  <w:vMerge/>
                  <w:vAlign w:val="center"/>
                </w:tcPr>
                <w:p/>
              </w:tc>
              <w:tc>
                <w:tcPr>
                  <w:tcW w:w="611" w:type="pct"/>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bCs/>
                      <w:color w:val="auto"/>
                      <w:kern w:val="0"/>
                      <w:sz w:val="21"/>
                      <w:szCs w:val="21"/>
                      <w:lang w:val="en-US" w:eastAsia="zh-CN" w:bidi="ar-SA"/>
                      <w:highlight w:val="none"/>
                    </w:rPr>
                  </w:pPr>
                  <w:r>
                    <w:rPr>
                      <w:rFonts w:ascii="Times New Roman" w:eastAsia="宋体" w:cs="Times New Roman" w:hAnsi="Times New Roman"/>
                      <w:bCs/>
                      <w:color w:val="auto"/>
                      <w:kern w:val="0"/>
                      <w:sz w:val="21"/>
                      <w:szCs w:val="21"/>
                      <w:lang w:val="en-US" w:eastAsia="zh-CN" w:bidi="ar-SA"/>
                      <w:highlight w:val="none"/>
                    </w:rPr>
                    <w:t>昼间</w:t>
                  </w:r>
                </w:p>
              </w:tc>
              <w:tc>
                <w:tcPr>
                  <w:tcW w:w="660" w:type="pct"/>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bCs/>
                      <w:color w:val="auto"/>
                      <w:kern w:val="0"/>
                      <w:sz w:val="21"/>
                      <w:szCs w:val="21"/>
                      <w:lang w:val="en-US" w:eastAsia="zh-CN" w:bidi="ar-SA"/>
                      <w:highlight w:val="none"/>
                    </w:rPr>
                  </w:pPr>
                  <w:r>
                    <w:rPr>
                      <w:rFonts w:ascii="Times New Roman" w:eastAsia="宋体" w:cs="Times New Roman" w:hAnsi="Times New Roman"/>
                      <w:bCs/>
                      <w:color w:val="auto"/>
                      <w:kern w:val="0"/>
                      <w:sz w:val="21"/>
                      <w:szCs w:val="21"/>
                      <w:lang w:val="en-US" w:eastAsia="zh-CN" w:bidi="ar-SA"/>
                      <w:highlight w:val="none"/>
                    </w:rPr>
                    <w:t>夜间</w:t>
                  </w:r>
                </w:p>
              </w:tc>
              <w:tc>
                <w:tcPr>
                  <w:tcW w:w="763" w:type="pct"/>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bCs/>
                      <w:color w:val="auto"/>
                      <w:kern w:val="0"/>
                      <w:sz w:val="21"/>
                      <w:szCs w:val="21"/>
                      <w:lang w:val="en-US" w:eastAsia="zh-CN" w:bidi="ar-SA"/>
                      <w:highlight w:val="none"/>
                    </w:rPr>
                  </w:pPr>
                  <w:r>
                    <w:rPr>
                      <w:rFonts w:ascii="Times New Roman" w:eastAsia="宋体" w:cs="Times New Roman" w:hAnsi="Times New Roman"/>
                      <w:bCs/>
                      <w:color w:val="auto"/>
                      <w:kern w:val="0"/>
                      <w:sz w:val="21"/>
                      <w:szCs w:val="21"/>
                      <w:lang w:val="en-US" w:eastAsia="zh-CN" w:bidi="ar-SA"/>
                      <w:highlight w:val="none"/>
                    </w:rPr>
                    <w:t>昼间</w:t>
                  </w:r>
                </w:p>
              </w:tc>
              <w:tc>
                <w:tcPr>
                  <w:tcW w:w="754" w:type="pct"/>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bCs/>
                      <w:color w:val="auto"/>
                      <w:kern w:val="0"/>
                      <w:sz w:val="21"/>
                      <w:szCs w:val="21"/>
                      <w:lang w:val="en-US" w:eastAsia="zh-CN" w:bidi="ar-SA"/>
                      <w:highlight w:val="none"/>
                    </w:rPr>
                  </w:pPr>
                  <w:r>
                    <w:rPr>
                      <w:rFonts w:ascii="Times New Roman" w:eastAsia="宋体" w:cs="Times New Roman" w:hAnsi="Times New Roman"/>
                      <w:bCs/>
                      <w:color w:val="auto"/>
                      <w:kern w:val="0"/>
                      <w:sz w:val="21"/>
                      <w:szCs w:val="21"/>
                      <w:lang w:val="en-US" w:eastAsia="zh-CN" w:bidi="ar-SA"/>
                      <w:highlight w:val="none"/>
                    </w:rPr>
                    <w:t>夜间</w:t>
                  </w:r>
                </w:p>
              </w:tc>
            </w:tr>
            <w:tr>
              <w:tc>
                <w:tcPr>
                  <w:tcW w:w="384" w:type="pct"/>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bCs/>
                      <w:color w:val="auto"/>
                      <w:kern w:val="0"/>
                      <w:sz w:val="21"/>
                      <w:szCs w:val="21"/>
                      <w:lang w:val="en-US" w:eastAsia="zh-CN" w:bidi="ar-SA"/>
                      <w:highlight w:val="none"/>
                    </w:rPr>
                  </w:pPr>
                  <w:r>
                    <w:rPr>
                      <w:rFonts w:ascii="Times New Roman" w:eastAsia="宋体" w:cs="Times New Roman" w:hAnsi="Times New Roman"/>
                      <w:bCs/>
                      <w:color w:val="auto"/>
                      <w:kern w:val="0"/>
                      <w:sz w:val="21"/>
                      <w:szCs w:val="21"/>
                      <w:lang w:val="en-US" w:eastAsia="zh-CN" w:bidi="ar-SA"/>
                      <w:highlight w:val="none"/>
                    </w:rPr>
                    <w:t>1</w:t>
                  </w:r>
                </w:p>
              </w:tc>
              <w:tc>
                <w:tcPr>
                  <w:tcW w:w="953" w:type="pct"/>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bCs/>
                      <w:color w:val="auto"/>
                      <w:kern w:val="0"/>
                      <w:sz w:val="21"/>
                      <w:szCs w:val="21"/>
                      <w:lang w:val="en-US" w:eastAsia="zh-CN" w:bidi="ar-SA"/>
                      <w:highlight w:val="none"/>
                    </w:rPr>
                  </w:pPr>
                  <w:r>
                    <w:rPr>
                      <w:rFonts w:cs="Times New Roman" w:hint="eastAsia"/>
                      <w:bCs/>
                      <w:color w:val="auto"/>
                      <w:kern w:val="0"/>
                      <w:sz w:val="21"/>
                      <w:szCs w:val="21"/>
                      <w:lang w:val="en-US" w:eastAsia="zh-CN" w:bidi="ar-SA"/>
                      <w:highlight w:val="none"/>
                    </w:rPr>
                    <w:t>大库房东边界</w:t>
                  </w:r>
                </w:p>
              </w:tc>
              <w:tc>
                <w:tcPr>
                  <w:tcW w:w="872" w:type="pct"/>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bCs/>
                      <w:color w:val="auto"/>
                      <w:kern w:val="0"/>
                      <w:sz w:val="21"/>
                      <w:szCs w:val="21"/>
                      <w:lang w:val="en-US" w:eastAsia="zh-CN" w:bidi="ar-SA"/>
                      <w:highlight w:val="none"/>
                    </w:rPr>
                  </w:pPr>
                  <w:r>
                    <w:rPr>
                      <w:rFonts w:cs="Times New Roman" w:hint="eastAsia"/>
                      <w:bCs/>
                      <w:color w:val="auto"/>
                      <w:kern w:val="0"/>
                      <w:sz w:val="21"/>
                      <w:szCs w:val="21"/>
                      <w:lang w:val="en-US" w:eastAsia="zh-CN" w:bidi="ar-SA"/>
                      <w:highlight w:val="none"/>
                    </w:rPr>
                    <w:t>38.15</w:t>
                  </w:r>
                </w:p>
              </w:tc>
              <w:tc>
                <w:tcPr>
                  <w:tcW w:w="611" w:type="pct"/>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bCs/>
                      <w:color w:val="auto"/>
                      <w:kern w:val="0"/>
                      <w:sz w:val="21"/>
                      <w:szCs w:val="21"/>
                      <w:lang w:val="en-US" w:eastAsia="zh-CN" w:bidi="ar-SA"/>
                      <w:highlight w:val="none"/>
                    </w:rPr>
                  </w:pPr>
                  <w:r>
                    <w:rPr>
                      <w:rFonts w:ascii="Times New Roman" w:eastAsia="宋体" w:cs="Times New Roman" w:hAnsi="Times New Roman" w:hint="eastAsia"/>
                      <w:bCs/>
                      <w:color w:val="auto"/>
                      <w:kern w:val="0"/>
                      <w:sz w:val="21"/>
                      <w:szCs w:val="21"/>
                      <w:lang w:val="en-US" w:eastAsia="zh-CN" w:bidi="ar-SA"/>
                      <w:highlight w:val="none"/>
                    </w:rPr>
                    <w:t>65</w:t>
                  </w:r>
                </w:p>
              </w:tc>
              <w:tc>
                <w:tcPr>
                  <w:tcW w:w="660" w:type="pct"/>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bCs/>
                      <w:color w:val="auto"/>
                      <w:kern w:val="0"/>
                      <w:sz w:val="21"/>
                      <w:szCs w:val="21"/>
                      <w:lang w:val="en-US" w:eastAsia="zh-CN" w:bidi="ar-SA"/>
                      <w:highlight w:val="none"/>
                    </w:rPr>
                  </w:pPr>
                  <w:r>
                    <w:rPr>
                      <w:rFonts w:ascii="Times New Roman" w:eastAsia="宋体" w:cs="Times New Roman" w:hAnsi="Times New Roman" w:hint="eastAsia"/>
                      <w:bCs/>
                      <w:color w:val="auto"/>
                      <w:kern w:val="0"/>
                      <w:sz w:val="21"/>
                      <w:szCs w:val="21"/>
                      <w:lang w:val="en-US" w:eastAsia="zh-CN" w:bidi="ar-SA"/>
                      <w:highlight w:val="none"/>
                    </w:rPr>
                    <w:t>55</w:t>
                  </w:r>
                </w:p>
              </w:tc>
              <w:tc>
                <w:tcPr>
                  <w:tcW w:w="763" w:type="pct"/>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bCs/>
                      <w:color w:val="auto"/>
                      <w:kern w:val="0"/>
                      <w:sz w:val="21"/>
                      <w:szCs w:val="21"/>
                      <w:lang w:val="en-US" w:eastAsia="zh-CN" w:bidi="ar-SA"/>
                      <w:highlight w:val="none"/>
                    </w:rPr>
                  </w:pPr>
                  <w:r>
                    <w:rPr>
                      <w:rFonts w:ascii="Times New Roman" w:eastAsia="宋体" w:cs="Times New Roman" w:hAnsi="Times New Roman"/>
                      <w:bCs/>
                      <w:color w:val="auto"/>
                      <w:kern w:val="0"/>
                      <w:sz w:val="21"/>
                      <w:szCs w:val="21"/>
                      <w:lang w:val="en-US" w:eastAsia="zh-CN" w:bidi="ar-SA"/>
                      <w:highlight w:val="none"/>
                    </w:rPr>
                    <w:t>达标</w:t>
                  </w:r>
                </w:p>
              </w:tc>
              <w:tc>
                <w:tcPr>
                  <w:tcW w:w="754" w:type="pct"/>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bCs/>
                      <w:color w:val="auto"/>
                      <w:kern w:val="0"/>
                      <w:sz w:val="21"/>
                      <w:szCs w:val="21"/>
                      <w:lang w:val="en-US" w:eastAsia="zh-CN" w:bidi="ar-SA"/>
                      <w:highlight w:val="none"/>
                    </w:rPr>
                  </w:pPr>
                  <w:r>
                    <w:rPr>
                      <w:rFonts w:ascii="Times New Roman" w:eastAsia="宋体" w:cs="Times New Roman" w:hAnsi="Times New Roman"/>
                      <w:bCs/>
                      <w:color w:val="auto"/>
                      <w:kern w:val="0"/>
                      <w:sz w:val="21"/>
                      <w:szCs w:val="21"/>
                      <w:lang w:val="en-US" w:eastAsia="zh-CN" w:bidi="ar-SA"/>
                      <w:highlight w:val="none"/>
                    </w:rPr>
                    <w:t>达标</w:t>
                  </w:r>
                </w:p>
              </w:tc>
            </w:tr>
            <w:tr>
              <w:tc>
                <w:tcPr>
                  <w:tcW w:w="384" w:type="pct"/>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bCs/>
                      <w:color w:val="auto"/>
                      <w:kern w:val="0"/>
                      <w:sz w:val="21"/>
                      <w:szCs w:val="21"/>
                      <w:lang w:val="en-US" w:eastAsia="zh-CN" w:bidi="ar-SA"/>
                      <w:highlight w:val="none"/>
                    </w:rPr>
                  </w:pPr>
                  <w:r>
                    <w:rPr>
                      <w:rFonts w:ascii="Times New Roman" w:eastAsia="宋体" w:cs="Times New Roman" w:hAnsi="Times New Roman"/>
                      <w:bCs/>
                      <w:color w:val="auto"/>
                      <w:kern w:val="0"/>
                      <w:sz w:val="21"/>
                      <w:szCs w:val="21"/>
                      <w:lang w:val="en-US" w:eastAsia="zh-CN" w:bidi="ar-SA"/>
                      <w:highlight w:val="none"/>
                    </w:rPr>
                    <w:t>2</w:t>
                  </w:r>
                </w:p>
              </w:tc>
              <w:tc>
                <w:tcPr>
                  <w:tcW w:w="953" w:type="pct"/>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bCs/>
                      <w:color w:val="auto"/>
                      <w:kern w:val="0"/>
                      <w:sz w:val="21"/>
                      <w:szCs w:val="21"/>
                      <w:lang w:val="en-US" w:eastAsia="zh-CN" w:bidi="ar-SA"/>
                      <w:highlight w:val="none"/>
                    </w:rPr>
                  </w:pPr>
                  <w:r>
                    <w:rPr>
                      <w:rFonts w:cs="Times New Roman" w:hint="eastAsia"/>
                      <w:bCs/>
                      <w:color w:val="auto"/>
                      <w:kern w:val="0"/>
                      <w:sz w:val="21"/>
                      <w:szCs w:val="21"/>
                      <w:lang w:val="en-US" w:eastAsia="zh-CN" w:bidi="ar-SA"/>
                      <w:highlight w:val="none"/>
                    </w:rPr>
                    <w:t>大库房南边界</w:t>
                  </w:r>
                </w:p>
              </w:tc>
              <w:tc>
                <w:tcPr>
                  <w:tcW w:w="872" w:type="pct"/>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bCs/>
                      <w:color w:val="auto"/>
                      <w:kern w:val="0"/>
                      <w:sz w:val="21"/>
                      <w:szCs w:val="21"/>
                      <w:lang w:val="en-US" w:eastAsia="zh-CN" w:bidi="ar-SA"/>
                      <w:highlight w:val="none"/>
                    </w:rPr>
                  </w:pPr>
                  <w:r>
                    <w:rPr>
                      <w:rFonts w:cs="Times New Roman" w:hint="eastAsia"/>
                      <w:bCs/>
                      <w:color w:val="auto"/>
                      <w:kern w:val="0"/>
                      <w:sz w:val="21"/>
                      <w:szCs w:val="21"/>
                      <w:lang w:val="en-US" w:eastAsia="zh-CN" w:bidi="ar-SA"/>
                      <w:highlight w:val="none"/>
                    </w:rPr>
                    <w:t>32.14</w:t>
                  </w:r>
                </w:p>
              </w:tc>
              <w:tc>
                <w:tcPr>
                  <w:tcW w:w="611" w:type="pct"/>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bCs/>
                      <w:color w:val="auto"/>
                      <w:kern w:val="0"/>
                      <w:sz w:val="21"/>
                      <w:szCs w:val="21"/>
                      <w:lang w:val="en-US" w:eastAsia="zh-CN" w:bidi="ar-SA"/>
                      <w:highlight w:val="none"/>
                    </w:rPr>
                  </w:pPr>
                  <w:r>
                    <w:rPr>
                      <w:rFonts w:ascii="Times New Roman" w:eastAsia="宋体" w:cs="Times New Roman" w:hAnsi="Times New Roman" w:hint="eastAsia"/>
                      <w:bCs/>
                      <w:color w:val="auto"/>
                      <w:kern w:val="0"/>
                      <w:sz w:val="21"/>
                      <w:szCs w:val="21"/>
                      <w:lang w:val="en-US" w:eastAsia="zh-CN" w:bidi="ar-SA"/>
                      <w:highlight w:val="none"/>
                    </w:rPr>
                    <w:t>65</w:t>
                  </w:r>
                </w:p>
              </w:tc>
              <w:tc>
                <w:tcPr>
                  <w:tcW w:w="660" w:type="pct"/>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bCs/>
                      <w:color w:val="auto"/>
                      <w:kern w:val="0"/>
                      <w:sz w:val="21"/>
                      <w:szCs w:val="21"/>
                      <w:lang w:val="en-US" w:eastAsia="zh-CN" w:bidi="ar-SA"/>
                      <w:highlight w:val="none"/>
                    </w:rPr>
                  </w:pPr>
                  <w:r>
                    <w:rPr>
                      <w:rFonts w:ascii="Times New Roman" w:eastAsia="宋体" w:cs="Times New Roman" w:hAnsi="Times New Roman" w:hint="eastAsia"/>
                      <w:bCs/>
                      <w:color w:val="auto"/>
                      <w:kern w:val="0"/>
                      <w:sz w:val="21"/>
                      <w:szCs w:val="21"/>
                      <w:lang w:val="en-US" w:eastAsia="zh-CN" w:bidi="ar-SA"/>
                      <w:highlight w:val="none"/>
                    </w:rPr>
                    <w:t>55</w:t>
                  </w:r>
                </w:p>
              </w:tc>
              <w:tc>
                <w:tcPr>
                  <w:tcW w:w="763" w:type="pct"/>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bCs/>
                      <w:color w:val="auto"/>
                      <w:kern w:val="0"/>
                      <w:sz w:val="21"/>
                      <w:szCs w:val="21"/>
                      <w:lang w:val="en-US" w:eastAsia="zh-CN" w:bidi="ar-SA"/>
                      <w:highlight w:val="none"/>
                    </w:rPr>
                  </w:pPr>
                  <w:r>
                    <w:rPr>
                      <w:rFonts w:ascii="Times New Roman" w:eastAsia="宋体" w:cs="Times New Roman" w:hAnsi="Times New Roman"/>
                      <w:bCs/>
                      <w:color w:val="auto"/>
                      <w:kern w:val="0"/>
                      <w:sz w:val="21"/>
                      <w:szCs w:val="21"/>
                      <w:lang w:val="en-US" w:eastAsia="zh-CN" w:bidi="ar-SA"/>
                      <w:highlight w:val="none"/>
                    </w:rPr>
                    <w:t>达标</w:t>
                  </w:r>
                </w:p>
              </w:tc>
              <w:tc>
                <w:tcPr>
                  <w:tcW w:w="754" w:type="pct"/>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bCs/>
                      <w:color w:val="auto"/>
                      <w:kern w:val="0"/>
                      <w:sz w:val="21"/>
                      <w:szCs w:val="21"/>
                      <w:lang w:val="en-US" w:eastAsia="zh-CN" w:bidi="ar-SA"/>
                      <w:highlight w:val="none"/>
                    </w:rPr>
                  </w:pPr>
                  <w:r>
                    <w:rPr>
                      <w:rFonts w:ascii="Times New Roman" w:eastAsia="宋体" w:cs="Times New Roman" w:hAnsi="Times New Roman"/>
                      <w:bCs/>
                      <w:color w:val="auto"/>
                      <w:kern w:val="0"/>
                      <w:sz w:val="21"/>
                      <w:szCs w:val="21"/>
                      <w:lang w:val="en-US" w:eastAsia="zh-CN" w:bidi="ar-SA"/>
                      <w:highlight w:val="none"/>
                    </w:rPr>
                    <w:t>达标</w:t>
                  </w:r>
                </w:p>
              </w:tc>
            </w:tr>
            <w:tr>
              <w:trPr>
                <w:trHeight w:val="322"/>
              </w:trPr>
              <w:tc>
                <w:tcPr>
                  <w:tcW w:w="384" w:type="pct"/>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bCs/>
                      <w:color w:val="auto"/>
                      <w:kern w:val="0"/>
                      <w:sz w:val="21"/>
                      <w:szCs w:val="21"/>
                      <w:lang w:val="en-US" w:eastAsia="zh-CN" w:bidi="ar-SA"/>
                      <w:highlight w:val="none"/>
                    </w:rPr>
                  </w:pPr>
                  <w:r>
                    <w:rPr>
                      <w:rFonts w:ascii="Times New Roman" w:eastAsia="宋体" w:cs="Times New Roman" w:hAnsi="Times New Roman"/>
                      <w:bCs/>
                      <w:color w:val="auto"/>
                      <w:kern w:val="0"/>
                      <w:sz w:val="21"/>
                      <w:szCs w:val="21"/>
                      <w:lang w:val="en-US" w:eastAsia="zh-CN" w:bidi="ar-SA"/>
                      <w:highlight w:val="none"/>
                    </w:rPr>
                    <w:t>3</w:t>
                  </w:r>
                </w:p>
              </w:tc>
              <w:tc>
                <w:tcPr>
                  <w:tcW w:w="953" w:type="pct"/>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bCs/>
                      <w:color w:val="auto"/>
                      <w:kern w:val="0"/>
                      <w:sz w:val="21"/>
                      <w:szCs w:val="21"/>
                      <w:lang w:val="en-US" w:eastAsia="zh-CN" w:bidi="ar-SA"/>
                      <w:highlight w:val="none"/>
                    </w:rPr>
                  </w:pPr>
                  <w:r>
                    <w:rPr>
                      <w:rFonts w:cs="Times New Roman" w:hint="eastAsia"/>
                      <w:bCs/>
                      <w:color w:val="auto"/>
                      <w:kern w:val="0"/>
                      <w:sz w:val="21"/>
                      <w:szCs w:val="21"/>
                      <w:lang w:val="en-US" w:eastAsia="zh-CN" w:bidi="ar-SA"/>
                      <w:highlight w:val="none"/>
                    </w:rPr>
                    <w:t>大库房西边界</w:t>
                  </w:r>
                </w:p>
              </w:tc>
              <w:tc>
                <w:tcPr>
                  <w:tcW w:w="872" w:type="pct"/>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bCs/>
                      <w:color w:val="auto"/>
                      <w:kern w:val="0"/>
                      <w:sz w:val="21"/>
                      <w:szCs w:val="21"/>
                      <w:lang w:val="en-US" w:eastAsia="zh-CN" w:bidi="ar-SA"/>
                      <w:highlight w:val="none"/>
                    </w:rPr>
                  </w:pPr>
                  <w:r>
                    <w:rPr>
                      <w:rFonts w:cs="Times New Roman" w:hint="eastAsia"/>
                      <w:bCs/>
                      <w:color w:val="auto"/>
                      <w:kern w:val="0"/>
                      <w:sz w:val="21"/>
                      <w:szCs w:val="21"/>
                      <w:lang w:val="en-US" w:eastAsia="zh-CN" w:bidi="ar-SA"/>
                      <w:highlight w:val="none"/>
                    </w:rPr>
                    <w:t>35.89</w:t>
                  </w:r>
                </w:p>
              </w:tc>
              <w:tc>
                <w:tcPr>
                  <w:tcW w:w="611" w:type="pct"/>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bCs/>
                      <w:color w:val="auto"/>
                      <w:kern w:val="0"/>
                      <w:sz w:val="21"/>
                      <w:szCs w:val="21"/>
                      <w:lang w:val="en-US" w:eastAsia="zh-CN" w:bidi="ar-SA"/>
                      <w:highlight w:val="none"/>
                    </w:rPr>
                  </w:pPr>
                  <w:r>
                    <w:rPr>
                      <w:rFonts w:ascii="Times New Roman" w:eastAsia="宋体" w:cs="Times New Roman" w:hAnsi="Times New Roman" w:hint="eastAsia"/>
                      <w:bCs/>
                      <w:color w:val="auto"/>
                      <w:kern w:val="0"/>
                      <w:sz w:val="21"/>
                      <w:szCs w:val="21"/>
                      <w:lang w:val="en-US" w:eastAsia="zh-CN" w:bidi="ar-SA"/>
                      <w:highlight w:val="none"/>
                    </w:rPr>
                    <w:t>65</w:t>
                  </w:r>
                </w:p>
              </w:tc>
              <w:tc>
                <w:tcPr>
                  <w:tcW w:w="660" w:type="pct"/>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bCs/>
                      <w:color w:val="auto"/>
                      <w:kern w:val="0"/>
                      <w:sz w:val="21"/>
                      <w:szCs w:val="21"/>
                      <w:lang w:val="en-US" w:eastAsia="zh-CN" w:bidi="ar-SA"/>
                      <w:highlight w:val="none"/>
                    </w:rPr>
                  </w:pPr>
                  <w:r>
                    <w:rPr>
                      <w:rFonts w:ascii="Times New Roman" w:eastAsia="宋体" w:cs="Times New Roman" w:hAnsi="Times New Roman" w:hint="eastAsia"/>
                      <w:bCs/>
                      <w:color w:val="auto"/>
                      <w:kern w:val="0"/>
                      <w:sz w:val="21"/>
                      <w:szCs w:val="21"/>
                      <w:lang w:val="en-US" w:eastAsia="zh-CN" w:bidi="ar-SA"/>
                      <w:highlight w:val="none"/>
                    </w:rPr>
                    <w:t>55</w:t>
                  </w:r>
                </w:p>
              </w:tc>
              <w:tc>
                <w:tcPr>
                  <w:tcW w:w="763" w:type="pct"/>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bCs/>
                      <w:color w:val="auto"/>
                      <w:kern w:val="0"/>
                      <w:sz w:val="21"/>
                      <w:szCs w:val="21"/>
                      <w:lang w:val="en-US" w:eastAsia="zh-CN" w:bidi="ar-SA"/>
                      <w:highlight w:val="none"/>
                    </w:rPr>
                  </w:pPr>
                  <w:r>
                    <w:rPr>
                      <w:rFonts w:ascii="Times New Roman" w:eastAsia="宋体" w:cs="Times New Roman" w:hAnsi="Times New Roman"/>
                      <w:bCs/>
                      <w:color w:val="auto"/>
                      <w:kern w:val="0"/>
                      <w:sz w:val="21"/>
                      <w:szCs w:val="21"/>
                      <w:lang w:val="en-US" w:eastAsia="zh-CN" w:bidi="ar-SA"/>
                      <w:highlight w:val="none"/>
                    </w:rPr>
                    <w:t>达标</w:t>
                  </w:r>
                </w:p>
              </w:tc>
              <w:tc>
                <w:tcPr>
                  <w:tcW w:w="754" w:type="pct"/>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bCs/>
                      <w:color w:val="auto"/>
                      <w:kern w:val="0"/>
                      <w:sz w:val="21"/>
                      <w:szCs w:val="21"/>
                      <w:lang w:val="en-US" w:eastAsia="zh-CN" w:bidi="ar-SA"/>
                      <w:highlight w:val="none"/>
                    </w:rPr>
                  </w:pPr>
                  <w:r>
                    <w:rPr>
                      <w:rFonts w:ascii="Times New Roman" w:eastAsia="宋体" w:cs="Times New Roman" w:hAnsi="Times New Roman"/>
                      <w:bCs/>
                      <w:color w:val="auto"/>
                      <w:kern w:val="0"/>
                      <w:sz w:val="21"/>
                      <w:szCs w:val="21"/>
                      <w:lang w:val="en-US" w:eastAsia="zh-CN" w:bidi="ar-SA"/>
                      <w:highlight w:val="none"/>
                    </w:rPr>
                    <w:t>达标</w:t>
                  </w:r>
                </w:p>
              </w:tc>
            </w:tr>
            <w:tr>
              <w:trPr>
                <w:trHeight w:val="263"/>
              </w:trPr>
              <w:tc>
                <w:tcPr>
                  <w:tcW w:w="384" w:type="pct"/>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bCs/>
                      <w:color w:val="auto"/>
                      <w:kern w:val="0"/>
                      <w:sz w:val="21"/>
                      <w:szCs w:val="21"/>
                      <w:lang w:val="en-US" w:eastAsia="zh-CN" w:bidi="ar-SA"/>
                      <w:highlight w:val="none"/>
                    </w:rPr>
                  </w:pPr>
                  <w:r>
                    <w:rPr>
                      <w:rFonts w:ascii="Times New Roman" w:eastAsia="宋体" w:cs="Times New Roman" w:hAnsi="Times New Roman"/>
                      <w:bCs/>
                      <w:color w:val="auto"/>
                      <w:kern w:val="0"/>
                      <w:sz w:val="21"/>
                      <w:szCs w:val="21"/>
                      <w:lang w:val="en-US" w:eastAsia="zh-CN" w:bidi="ar-SA"/>
                      <w:highlight w:val="none"/>
                    </w:rPr>
                    <w:t>4</w:t>
                  </w:r>
                </w:p>
              </w:tc>
              <w:tc>
                <w:tcPr>
                  <w:tcW w:w="953" w:type="pct"/>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bCs/>
                      <w:color w:val="auto"/>
                      <w:kern w:val="0"/>
                      <w:sz w:val="21"/>
                      <w:szCs w:val="21"/>
                      <w:lang w:val="en-US" w:eastAsia="zh-CN" w:bidi="ar-SA"/>
                      <w:highlight w:val="none"/>
                    </w:rPr>
                  </w:pPr>
                  <w:r>
                    <w:rPr>
                      <w:rFonts w:cs="Times New Roman" w:hint="eastAsia"/>
                      <w:bCs/>
                      <w:color w:val="auto"/>
                      <w:kern w:val="0"/>
                      <w:sz w:val="21"/>
                      <w:szCs w:val="21"/>
                      <w:lang w:val="en-US" w:eastAsia="zh-CN" w:bidi="ar-SA"/>
                      <w:highlight w:val="none"/>
                    </w:rPr>
                    <w:t>大库房北边界</w:t>
                  </w:r>
                </w:p>
              </w:tc>
              <w:tc>
                <w:tcPr>
                  <w:tcW w:w="872" w:type="pct"/>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bCs/>
                      <w:color w:val="auto"/>
                      <w:kern w:val="0"/>
                      <w:sz w:val="21"/>
                      <w:szCs w:val="21"/>
                      <w:lang w:val="en-US" w:eastAsia="zh-CN" w:bidi="ar-SA"/>
                      <w:highlight w:val="none"/>
                    </w:rPr>
                  </w:pPr>
                  <w:r>
                    <w:rPr>
                      <w:rFonts w:cs="Times New Roman" w:hint="eastAsia"/>
                      <w:bCs/>
                      <w:color w:val="auto"/>
                      <w:kern w:val="0"/>
                      <w:sz w:val="21"/>
                      <w:szCs w:val="21"/>
                      <w:lang w:val="en-US" w:eastAsia="zh-CN" w:bidi="ar-SA"/>
                      <w:highlight w:val="none"/>
                    </w:rPr>
                    <w:t>33.50</w:t>
                  </w:r>
                </w:p>
              </w:tc>
              <w:tc>
                <w:tcPr>
                  <w:tcW w:w="611" w:type="pct"/>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bCs/>
                      <w:color w:val="auto"/>
                      <w:kern w:val="0"/>
                      <w:sz w:val="21"/>
                      <w:szCs w:val="21"/>
                      <w:lang w:val="en-US" w:eastAsia="zh-CN" w:bidi="ar-SA"/>
                      <w:highlight w:val="none"/>
                    </w:rPr>
                  </w:pPr>
                  <w:r>
                    <w:rPr>
                      <w:rFonts w:ascii="Times New Roman" w:eastAsia="宋体" w:cs="Times New Roman" w:hAnsi="Times New Roman" w:hint="eastAsia"/>
                      <w:bCs/>
                      <w:color w:val="auto"/>
                      <w:kern w:val="0"/>
                      <w:sz w:val="21"/>
                      <w:szCs w:val="21"/>
                      <w:lang w:val="en-US" w:eastAsia="zh-CN" w:bidi="ar-SA"/>
                      <w:highlight w:val="none"/>
                    </w:rPr>
                    <w:t>65</w:t>
                  </w:r>
                </w:p>
              </w:tc>
              <w:tc>
                <w:tcPr>
                  <w:tcW w:w="660" w:type="pct"/>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bCs/>
                      <w:color w:val="auto"/>
                      <w:kern w:val="0"/>
                      <w:sz w:val="21"/>
                      <w:szCs w:val="21"/>
                      <w:lang w:val="en-US" w:eastAsia="zh-CN" w:bidi="ar-SA"/>
                      <w:highlight w:val="none"/>
                    </w:rPr>
                  </w:pPr>
                  <w:r>
                    <w:rPr>
                      <w:rFonts w:ascii="Times New Roman" w:eastAsia="宋体" w:cs="Times New Roman" w:hAnsi="Times New Roman" w:hint="eastAsia"/>
                      <w:bCs/>
                      <w:color w:val="auto"/>
                      <w:kern w:val="0"/>
                      <w:sz w:val="21"/>
                      <w:szCs w:val="21"/>
                      <w:lang w:val="en-US" w:eastAsia="zh-CN" w:bidi="ar-SA"/>
                      <w:highlight w:val="none"/>
                    </w:rPr>
                    <w:t>55</w:t>
                  </w:r>
                </w:p>
              </w:tc>
              <w:tc>
                <w:tcPr>
                  <w:tcW w:w="763" w:type="pct"/>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bCs/>
                      <w:color w:val="auto"/>
                      <w:kern w:val="0"/>
                      <w:sz w:val="21"/>
                      <w:szCs w:val="21"/>
                      <w:lang w:val="en-US" w:eastAsia="zh-CN" w:bidi="ar-SA"/>
                      <w:highlight w:val="none"/>
                    </w:rPr>
                  </w:pPr>
                  <w:r>
                    <w:rPr>
                      <w:rFonts w:ascii="Times New Roman" w:eastAsia="宋体" w:cs="Times New Roman" w:hAnsi="Times New Roman"/>
                      <w:bCs/>
                      <w:color w:val="auto"/>
                      <w:kern w:val="0"/>
                      <w:sz w:val="21"/>
                      <w:szCs w:val="21"/>
                      <w:lang w:val="en-US" w:eastAsia="zh-CN" w:bidi="ar-SA"/>
                      <w:highlight w:val="none"/>
                    </w:rPr>
                    <w:t>达标</w:t>
                  </w:r>
                </w:p>
              </w:tc>
              <w:tc>
                <w:tcPr>
                  <w:tcW w:w="754" w:type="pct"/>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bCs/>
                      <w:color w:val="auto"/>
                      <w:kern w:val="0"/>
                      <w:sz w:val="21"/>
                      <w:szCs w:val="21"/>
                      <w:lang w:val="en-US" w:eastAsia="zh-CN" w:bidi="ar-SA"/>
                      <w:highlight w:val="none"/>
                    </w:rPr>
                  </w:pPr>
                  <w:r>
                    <w:rPr>
                      <w:rFonts w:ascii="Times New Roman" w:eastAsia="宋体" w:cs="Times New Roman" w:hAnsi="Times New Roman"/>
                      <w:bCs/>
                      <w:color w:val="auto"/>
                      <w:kern w:val="0"/>
                      <w:sz w:val="21"/>
                      <w:szCs w:val="21"/>
                      <w:lang w:val="en-US" w:eastAsia="zh-CN" w:bidi="ar-SA"/>
                      <w:highlight w:val="none"/>
                    </w:rPr>
                    <w:t>达标</w:t>
                  </w:r>
                </w:p>
              </w:tc>
            </w:tr>
            <w:tr>
              <w:trPr>
                <w:trHeight w:val="263"/>
              </w:trPr>
              <w:tc>
                <w:tcPr>
                  <w:tcW w:w="384" w:type="pct"/>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bCs/>
                      <w:color w:val="auto"/>
                      <w:kern w:val="0"/>
                      <w:sz w:val="21"/>
                      <w:szCs w:val="21"/>
                      <w:lang w:val="en-US" w:eastAsia="zh-CN" w:bidi="ar-SA"/>
                      <w:highlight w:val="none"/>
                    </w:rPr>
                  </w:pPr>
                  <w:r>
                    <w:rPr>
                      <w:rFonts w:cs="Times New Roman" w:hint="eastAsia"/>
                      <w:bCs/>
                      <w:color w:val="auto"/>
                      <w:kern w:val="0"/>
                      <w:sz w:val="21"/>
                      <w:szCs w:val="21"/>
                      <w:lang w:val="en-US" w:eastAsia="zh-CN" w:bidi="ar-SA"/>
                      <w:highlight w:val="none"/>
                    </w:rPr>
                    <w:t>5</w:t>
                  </w:r>
                </w:p>
              </w:tc>
              <w:tc>
                <w:tcPr>
                  <w:tcW w:w="953" w:type="pct"/>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bCs/>
                      <w:color w:val="auto"/>
                      <w:kern w:val="0"/>
                      <w:sz w:val="21"/>
                      <w:szCs w:val="21"/>
                      <w:lang w:val="en-US" w:eastAsia="zh-CN" w:bidi="ar-SA"/>
                      <w:highlight w:val="none"/>
                    </w:rPr>
                  </w:pPr>
                  <w:r>
                    <w:rPr>
                      <w:rFonts w:cs="Times New Roman" w:hint="eastAsia"/>
                      <w:bCs/>
                      <w:color w:val="auto"/>
                      <w:kern w:val="0"/>
                      <w:sz w:val="21"/>
                      <w:szCs w:val="21"/>
                      <w:lang w:val="en-US" w:eastAsia="zh-CN" w:bidi="ar-SA"/>
                      <w:highlight w:val="none"/>
                    </w:rPr>
                    <w:t>东厂界</w:t>
                  </w:r>
                </w:p>
              </w:tc>
              <w:tc>
                <w:tcPr>
                  <w:tcW w:w="872" w:type="pct"/>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cs="Times New Roman"/>
                      <w:bCs/>
                      <w:color w:val="auto"/>
                      <w:kern w:val="0"/>
                      <w:sz w:val="21"/>
                      <w:szCs w:val="21"/>
                      <w:lang w:val="en-US" w:eastAsia="zh-CN" w:bidi="ar-SA"/>
                      <w:highlight w:val="none"/>
                    </w:rPr>
                  </w:pPr>
                  <w:r>
                    <w:rPr>
                      <w:rFonts w:cs="Times New Roman" w:hint="eastAsia"/>
                      <w:bCs/>
                      <w:color w:val="auto"/>
                      <w:kern w:val="0"/>
                      <w:sz w:val="21"/>
                      <w:szCs w:val="21"/>
                      <w:lang w:val="en-US" w:eastAsia="zh-CN" w:bidi="ar-SA"/>
                      <w:highlight w:val="none"/>
                    </w:rPr>
                    <w:t>32.16</w:t>
                  </w:r>
                </w:p>
              </w:tc>
              <w:tc>
                <w:tcPr>
                  <w:tcW w:w="2730" w:type="pct"/>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en-US" w:eastAsia="zh-CN" w:bidi="ar-SA"/>
                      <w:highlight w:val="none"/>
                    </w:rPr>
                  </w:pPr>
                  <w:r>
                    <w:rPr>
                      <w:rFonts w:ascii="Times New Roman" w:eastAsia="宋体" w:cs="Times New Roman" w:hAnsi="Times New Roman" w:hint="eastAsia"/>
                      <w:bCs/>
                      <w:color w:val="auto"/>
                      <w:kern w:val="0"/>
                      <w:sz w:val="21"/>
                      <w:szCs w:val="21"/>
                      <w:lang w:val="en-US" w:eastAsia="zh-CN" w:bidi="ar-SA"/>
                      <w:highlight w:val="none"/>
                    </w:rPr>
                    <w:t>65</w:t>
                  </w:r>
                </w:p>
              </w:tc>
              <w:tc>
                <w:tcPr>
                  <w:tcW w:w="2950" w:type="pct"/>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en-US" w:eastAsia="zh-CN" w:bidi="ar-SA"/>
                      <w:highlight w:val="none"/>
                    </w:rPr>
                  </w:pPr>
                  <w:r>
                    <w:rPr>
                      <w:rFonts w:ascii="Times New Roman" w:eastAsia="宋体" w:cs="Times New Roman" w:hAnsi="Times New Roman" w:hint="eastAsia"/>
                      <w:bCs/>
                      <w:color w:val="auto"/>
                      <w:kern w:val="0"/>
                      <w:sz w:val="21"/>
                      <w:szCs w:val="21"/>
                      <w:lang w:val="en-US" w:eastAsia="zh-CN" w:bidi="ar-SA"/>
                      <w:highlight w:val="none"/>
                    </w:rPr>
                    <w:t>55</w:t>
                  </w:r>
                </w:p>
              </w:tc>
              <w:tc>
                <w:tcPr>
                  <w:tcW w:w="3410" w:type="pct"/>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bCs/>
                      <w:color w:val="auto"/>
                      <w:kern w:val="0"/>
                      <w:sz w:val="21"/>
                      <w:szCs w:val="21"/>
                      <w:lang w:val="en-US" w:eastAsia="zh-CN" w:bidi="ar-SA"/>
                      <w:highlight w:val="none"/>
                    </w:rPr>
                  </w:pPr>
                  <w:r>
                    <w:rPr>
                      <w:rFonts w:ascii="Times New Roman" w:eastAsia="宋体" w:cs="Times New Roman" w:hAnsi="Times New Roman"/>
                      <w:bCs/>
                      <w:color w:val="auto"/>
                      <w:kern w:val="0"/>
                      <w:sz w:val="21"/>
                      <w:szCs w:val="21"/>
                      <w:lang w:val="en-US" w:eastAsia="zh-CN" w:bidi="ar-SA"/>
                      <w:highlight w:val="none"/>
                    </w:rPr>
                    <w:t>达标</w:t>
                  </w:r>
                </w:p>
              </w:tc>
              <w:tc>
                <w:tcPr>
                  <w:tcW w:w="3375" w:type="pct"/>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bCs/>
                      <w:color w:val="auto"/>
                      <w:kern w:val="0"/>
                      <w:sz w:val="21"/>
                      <w:szCs w:val="21"/>
                      <w:lang w:val="en-US" w:eastAsia="zh-CN" w:bidi="ar-SA"/>
                      <w:highlight w:val="none"/>
                    </w:rPr>
                  </w:pPr>
                  <w:r>
                    <w:rPr>
                      <w:rFonts w:ascii="Times New Roman" w:eastAsia="宋体" w:cs="Times New Roman" w:hAnsi="Times New Roman"/>
                      <w:bCs/>
                      <w:color w:val="auto"/>
                      <w:kern w:val="0"/>
                      <w:sz w:val="21"/>
                      <w:szCs w:val="21"/>
                      <w:lang w:val="en-US" w:eastAsia="zh-CN" w:bidi="ar-SA"/>
                      <w:highlight w:val="none"/>
                    </w:rPr>
                    <w:t>达标</w:t>
                  </w:r>
                </w:p>
              </w:tc>
            </w:tr>
            <w:tr>
              <w:trPr>
                <w:trHeight w:val="263"/>
              </w:trPr>
              <w:tc>
                <w:tcPr>
                  <w:tcW w:w="384" w:type="pct"/>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bCs/>
                      <w:color w:val="auto"/>
                      <w:kern w:val="0"/>
                      <w:sz w:val="21"/>
                      <w:szCs w:val="21"/>
                      <w:lang w:val="en-US" w:eastAsia="zh-CN" w:bidi="ar-SA"/>
                      <w:highlight w:val="none"/>
                    </w:rPr>
                  </w:pPr>
                  <w:r>
                    <w:rPr>
                      <w:rFonts w:cs="Times New Roman" w:hint="eastAsia"/>
                      <w:bCs/>
                      <w:color w:val="auto"/>
                      <w:kern w:val="0"/>
                      <w:sz w:val="21"/>
                      <w:szCs w:val="21"/>
                      <w:lang w:val="en-US" w:eastAsia="zh-CN" w:bidi="ar-SA"/>
                      <w:highlight w:val="none"/>
                    </w:rPr>
                    <w:t>6</w:t>
                  </w:r>
                </w:p>
              </w:tc>
              <w:tc>
                <w:tcPr>
                  <w:tcW w:w="953" w:type="pct"/>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bCs/>
                      <w:color w:val="auto"/>
                      <w:kern w:val="0"/>
                      <w:sz w:val="21"/>
                      <w:szCs w:val="21"/>
                      <w:lang w:val="en-US" w:eastAsia="zh-CN" w:bidi="ar-SA"/>
                      <w:highlight w:val="none"/>
                    </w:rPr>
                  </w:pPr>
                  <w:r>
                    <w:rPr>
                      <w:rFonts w:cs="Times New Roman" w:hint="eastAsia"/>
                      <w:bCs/>
                      <w:color w:val="auto"/>
                      <w:kern w:val="0"/>
                      <w:sz w:val="21"/>
                      <w:szCs w:val="21"/>
                      <w:lang w:val="en-US" w:eastAsia="zh-CN" w:bidi="ar-SA"/>
                      <w:highlight w:val="none"/>
                    </w:rPr>
                    <w:t>南厂界</w:t>
                  </w:r>
                </w:p>
              </w:tc>
              <w:tc>
                <w:tcPr>
                  <w:tcW w:w="872" w:type="pct"/>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cs="Times New Roman"/>
                      <w:bCs/>
                      <w:color w:val="auto"/>
                      <w:kern w:val="0"/>
                      <w:sz w:val="21"/>
                      <w:szCs w:val="21"/>
                      <w:lang w:val="en-US" w:eastAsia="zh-CN" w:bidi="ar-SA"/>
                      <w:highlight w:val="none"/>
                    </w:rPr>
                  </w:pPr>
                  <w:r>
                    <w:rPr>
                      <w:rFonts w:cs="Times New Roman" w:hint="eastAsia"/>
                      <w:bCs/>
                      <w:color w:val="auto"/>
                      <w:kern w:val="0"/>
                      <w:sz w:val="21"/>
                      <w:szCs w:val="21"/>
                      <w:lang w:val="en-US" w:eastAsia="zh-CN" w:bidi="ar-SA"/>
                      <w:highlight w:val="none"/>
                    </w:rPr>
                    <w:t>30.67</w:t>
                  </w:r>
                </w:p>
              </w:tc>
              <w:tc>
                <w:tcPr>
                  <w:tcW w:w="2730" w:type="pct"/>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en-US" w:eastAsia="zh-CN" w:bidi="ar-SA"/>
                      <w:highlight w:val="none"/>
                    </w:rPr>
                  </w:pPr>
                  <w:r>
                    <w:rPr>
                      <w:rFonts w:ascii="Times New Roman" w:eastAsia="宋体" w:cs="Times New Roman" w:hAnsi="Times New Roman" w:hint="eastAsia"/>
                      <w:bCs/>
                      <w:color w:val="auto"/>
                      <w:kern w:val="0"/>
                      <w:sz w:val="21"/>
                      <w:szCs w:val="21"/>
                      <w:lang w:val="en-US" w:eastAsia="zh-CN" w:bidi="ar-SA"/>
                      <w:highlight w:val="none"/>
                    </w:rPr>
                    <w:t>65</w:t>
                  </w:r>
                </w:p>
              </w:tc>
              <w:tc>
                <w:tcPr>
                  <w:tcW w:w="2950" w:type="pct"/>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en-US" w:eastAsia="zh-CN" w:bidi="ar-SA"/>
                      <w:highlight w:val="none"/>
                    </w:rPr>
                  </w:pPr>
                  <w:r>
                    <w:rPr>
                      <w:rFonts w:ascii="Times New Roman" w:eastAsia="宋体" w:cs="Times New Roman" w:hAnsi="Times New Roman" w:hint="eastAsia"/>
                      <w:bCs/>
                      <w:color w:val="auto"/>
                      <w:kern w:val="0"/>
                      <w:sz w:val="21"/>
                      <w:szCs w:val="21"/>
                      <w:lang w:val="en-US" w:eastAsia="zh-CN" w:bidi="ar-SA"/>
                      <w:highlight w:val="none"/>
                    </w:rPr>
                    <w:t>55</w:t>
                  </w:r>
                </w:p>
              </w:tc>
              <w:tc>
                <w:tcPr>
                  <w:tcW w:w="3410" w:type="pct"/>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bCs/>
                      <w:color w:val="auto"/>
                      <w:kern w:val="0"/>
                      <w:sz w:val="21"/>
                      <w:szCs w:val="21"/>
                      <w:lang w:val="en-US" w:eastAsia="zh-CN" w:bidi="ar-SA"/>
                      <w:highlight w:val="none"/>
                    </w:rPr>
                  </w:pPr>
                  <w:r>
                    <w:rPr>
                      <w:rFonts w:ascii="Times New Roman" w:eastAsia="宋体" w:cs="Times New Roman" w:hAnsi="Times New Roman"/>
                      <w:bCs/>
                      <w:color w:val="auto"/>
                      <w:kern w:val="0"/>
                      <w:sz w:val="21"/>
                      <w:szCs w:val="21"/>
                      <w:lang w:val="en-US" w:eastAsia="zh-CN" w:bidi="ar-SA"/>
                      <w:highlight w:val="none"/>
                    </w:rPr>
                    <w:t>达标</w:t>
                  </w:r>
                </w:p>
              </w:tc>
              <w:tc>
                <w:tcPr>
                  <w:tcW w:w="3375" w:type="pct"/>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bCs/>
                      <w:color w:val="auto"/>
                      <w:kern w:val="0"/>
                      <w:sz w:val="21"/>
                      <w:szCs w:val="21"/>
                      <w:lang w:val="en-US" w:eastAsia="zh-CN" w:bidi="ar-SA"/>
                      <w:highlight w:val="none"/>
                    </w:rPr>
                  </w:pPr>
                  <w:r>
                    <w:rPr>
                      <w:rFonts w:ascii="Times New Roman" w:eastAsia="宋体" w:cs="Times New Roman" w:hAnsi="Times New Roman"/>
                      <w:bCs/>
                      <w:color w:val="auto"/>
                      <w:kern w:val="0"/>
                      <w:sz w:val="21"/>
                      <w:szCs w:val="21"/>
                      <w:lang w:val="en-US" w:eastAsia="zh-CN" w:bidi="ar-SA"/>
                      <w:highlight w:val="none"/>
                    </w:rPr>
                    <w:t>达标</w:t>
                  </w:r>
                </w:p>
              </w:tc>
            </w:tr>
            <w:tr>
              <w:trPr>
                <w:trHeight w:val="263"/>
              </w:trPr>
              <w:tc>
                <w:tcPr>
                  <w:tcW w:w="384" w:type="pct"/>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bCs/>
                      <w:color w:val="auto"/>
                      <w:kern w:val="0"/>
                      <w:sz w:val="21"/>
                      <w:szCs w:val="21"/>
                      <w:lang w:val="en-US" w:eastAsia="zh-CN" w:bidi="ar-SA"/>
                      <w:highlight w:val="none"/>
                    </w:rPr>
                  </w:pPr>
                  <w:r>
                    <w:rPr>
                      <w:rFonts w:cs="Times New Roman" w:hint="eastAsia"/>
                      <w:bCs/>
                      <w:color w:val="auto"/>
                      <w:kern w:val="0"/>
                      <w:sz w:val="21"/>
                      <w:szCs w:val="21"/>
                      <w:lang w:val="en-US" w:eastAsia="zh-CN" w:bidi="ar-SA"/>
                      <w:highlight w:val="none"/>
                    </w:rPr>
                    <w:t>7</w:t>
                  </w:r>
                </w:p>
              </w:tc>
              <w:tc>
                <w:tcPr>
                  <w:tcW w:w="953" w:type="pct"/>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bCs/>
                      <w:color w:val="auto"/>
                      <w:kern w:val="0"/>
                      <w:sz w:val="21"/>
                      <w:szCs w:val="21"/>
                      <w:lang w:val="en-US" w:eastAsia="zh-CN" w:bidi="ar-SA"/>
                      <w:highlight w:val="none"/>
                    </w:rPr>
                  </w:pPr>
                  <w:r>
                    <w:rPr>
                      <w:rFonts w:cs="Times New Roman" w:hint="eastAsia"/>
                      <w:bCs/>
                      <w:color w:val="auto"/>
                      <w:kern w:val="0"/>
                      <w:sz w:val="21"/>
                      <w:szCs w:val="21"/>
                      <w:lang w:val="en-US" w:eastAsia="zh-CN" w:bidi="ar-SA"/>
                      <w:highlight w:val="none"/>
                    </w:rPr>
                    <w:t>西厂界</w:t>
                  </w:r>
                </w:p>
              </w:tc>
              <w:tc>
                <w:tcPr>
                  <w:tcW w:w="872" w:type="pct"/>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cs="Times New Roman"/>
                      <w:bCs/>
                      <w:color w:val="auto"/>
                      <w:kern w:val="0"/>
                      <w:sz w:val="21"/>
                      <w:szCs w:val="21"/>
                      <w:lang w:val="en-US" w:eastAsia="zh-CN" w:bidi="ar-SA"/>
                      <w:highlight w:val="none"/>
                    </w:rPr>
                  </w:pPr>
                  <w:r>
                    <w:rPr>
                      <w:rFonts w:cs="Times New Roman" w:hint="eastAsia"/>
                      <w:bCs/>
                      <w:color w:val="auto"/>
                      <w:kern w:val="0"/>
                      <w:sz w:val="21"/>
                      <w:szCs w:val="21"/>
                      <w:lang w:val="en-US" w:eastAsia="zh-CN" w:bidi="ar-SA"/>
                      <w:highlight w:val="none"/>
                    </w:rPr>
                    <w:t>29.07</w:t>
                  </w:r>
                </w:p>
              </w:tc>
              <w:tc>
                <w:tcPr>
                  <w:tcW w:w="2730" w:type="pct"/>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en-US" w:eastAsia="zh-CN" w:bidi="ar-SA"/>
                      <w:highlight w:val="none"/>
                    </w:rPr>
                  </w:pPr>
                  <w:r>
                    <w:rPr>
                      <w:rFonts w:ascii="Times New Roman" w:eastAsia="宋体" w:cs="Times New Roman" w:hAnsi="Times New Roman" w:hint="eastAsia"/>
                      <w:bCs/>
                      <w:color w:val="auto"/>
                      <w:kern w:val="0"/>
                      <w:sz w:val="21"/>
                      <w:szCs w:val="21"/>
                      <w:lang w:val="en-US" w:eastAsia="zh-CN" w:bidi="ar-SA"/>
                      <w:highlight w:val="none"/>
                    </w:rPr>
                    <w:t>65</w:t>
                  </w:r>
                </w:p>
              </w:tc>
              <w:tc>
                <w:tcPr>
                  <w:tcW w:w="2950" w:type="pct"/>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en-US" w:eastAsia="zh-CN" w:bidi="ar-SA"/>
                      <w:highlight w:val="none"/>
                    </w:rPr>
                  </w:pPr>
                  <w:r>
                    <w:rPr>
                      <w:rFonts w:ascii="Times New Roman" w:eastAsia="宋体" w:cs="Times New Roman" w:hAnsi="Times New Roman" w:hint="eastAsia"/>
                      <w:bCs/>
                      <w:color w:val="auto"/>
                      <w:kern w:val="0"/>
                      <w:sz w:val="21"/>
                      <w:szCs w:val="21"/>
                      <w:lang w:val="en-US" w:eastAsia="zh-CN" w:bidi="ar-SA"/>
                      <w:highlight w:val="none"/>
                    </w:rPr>
                    <w:t>55</w:t>
                  </w:r>
                </w:p>
              </w:tc>
              <w:tc>
                <w:tcPr>
                  <w:tcW w:w="3410" w:type="pct"/>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bCs/>
                      <w:color w:val="auto"/>
                      <w:kern w:val="0"/>
                      <w:sz w:val="21"/>
                      <w:szCs w:val="21"/>
                      <w:lang w:val="en-US" w:eastAsia="zh-CN" w:bidi="ar-SA"/>
                      <w:highlight w:val="none"/>
                    </w:rPr>
                  </w:pPr>
                  <w:r>
                    <w:rPr>
                      <w:rFonts w:ascii="Times New Roman" w:eastAsia="宋体" w:cs="Times New Roman" w:hAnsi="Times New Roman"/>
                      <w:bCs/>
                      <w:color w:val="auto"/>
                      <w:kern w:val="0"/>
                      <w:sz w:val="21"/>
                      <w:szCs w:val="21"/>
                      <w:lang w:val="en-US" w:eastAsia="zh-CN" w:bidi="ar-SA"/>
                      <w:highlight w:val="none"/>
                    </w:rPr>
                    <w:t>达标</w:t>
                  </w:r>
                </w:p>
              </w:tc>
              <w:tc>
                <w:tcPr>
                  <w:tcW w:w="3375" w:type="pct"/>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bCs/>
                      <w:color w:val="auto"/>
                      <w:kern w:val="0"/>
                      <w:sz w:val="21"/>
                      <w:szCs w:val="21"/>
                      <w:lang w:val="en-US" w:eastAsia="zh-CN" w:bidi="ar-SA"/>
                      <w:highlight w:val="none"/>
                    </w:rPr>
                  </w:pPr>
                  <w:r>
                    <w:rPr>
                      <w:rFonts w:ascii="Times New Roman" w:eastAsia="宋体" w:cs="Times New Roman" w:hAnsi="Times New Roman"/>
                      <w:bCs/>
                      <w:color w:val="auto"/>
                      <w:kern w:val="0"/>
                      <w:sz w:val="21"/>
                      <w:szCs w:val="21"/>
                      <w:lang w:val="en-US" w:eastAsia="zh-CN" w:bidi="ar-SA"/>
                      <w:highlight w:val="none"/>
                    </w:rPr>
                    <w:t>达标</w:t>
                  </w:r>
                </w:p>
              </w:tc>
            </w:tr>
            <w:tr>
              <w:trPr>
                <w:trHeight w:val="263"/>
              </w:trPr>
              <w:tc>
                <w:tcPr>
                  <w:tcW w:w="384" w:type="pct"/>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bCs/>
                      <w:color w:val="auto"/>
                      <w:kern w:val="0"/>
                      <w:sz w:val="21"/>
                      <w:szCs w:val="21"/>
                      <w:lang w:val="en-US" w:eastAsia="zh-CN" w:bidi="ar-SA"/>
                      <w:highlight w:val="none"/>
                    </w:rPr>
                  </w:pPr>
                  <w:r>
                    <w:rPr>
                      <w:rFonts w:cs="Times New Roman" w:hint="eastAsia"/>
                      <w:bCs/>
                      <w:color w:val="auto"/>
                      <w:kern w:val="0"/>
                      <w:sz w:val="21"/>
                      <w:szCs w:val="21"/>
                      <w:lang w:val="en-US" w:eastAsia="zh-CN" w:bidi="ar-SA"/>
                      <w:highlight w:val="none"/>
                    </w:rPr>
                    <w:t>8</w:t>
                  </w:r>
                </w:p>
              </w:tc>
              <w:tc>
                <w:tcPr>
                  <w:tcW w:w="953" w:type="pct"/>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bCs/>
                      <w:color w:val="auto"/>
                      <w:kern w:val="0"/>
                      <w:sz w:val="21"/>
                      <w:szCs w:val="21"/>
                      <w:lang w:val="en-US" w:eastAsia="zh-CN" w:bidi="ar-SA"/>
                      <w:highlight w:val="none"/>
                    </w:rPr>
                  </w:pPr>
                  <w:r>
                    <w:rPr>
                      <w:rFonts w:cs="Times New Roman" w:hint="eastAsia"/>
                      <w:bCs/>
                      <w:color w:val="auto"/>
                      <w:kern w:val="0"/>
                      <w:sz w:val="21"/>
                      <w:szCs w:val="21"/>
                      <w:lang w:val="en-US" w:eastAsia="zh-CN" w:bidi="ar-SA"/>
                      <w:highlight w:val="none"/>
                    </w:rPr>
                    <w:t>北厂界</w:t>
                  </w:r>
                </w:p>
              </w:tc>
              <w:tc>
                <w:tcPr>
                  <w:tcW w:w="872" w:type="pct"/>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cs="Times New Roman"/>
                      <w:bCs/>
                      <w:color w:val="auto"/>
                      <w:kern w:val="0"/>
                      <w:sz w:val="21"/>
                      <w:szCs w:val="21"/>
                      <w:lang w:val="en-US" w:eastAsia="zh-CN" w:bidi="ar-SA"/>
                      <w:highlight w:val="none"/>
                    </w:rPr>
                  </w:pPr>
                  <w:r>
                    <w:rPr>
                      <w:rFonts w:cs="Times New Roman" w:hint="eastAsia"/>
                      <w:bCs/>
                      <w:color w:val="auto"/>
                      <w:kern w:val="0"/>
                      <w:sz w:val="21"/>
                      <w:szCs w:val="21"/>
                      <w:lang w:val="en-US" w:eastAsia="zh-CN" w:bidi="ar-SA"/>
                      <w:highlight w:val="none"/>
                    </w:rPr>
                    <w:t>21.24</w:t>
                  </w:r>
                </w:p>
              </w:tc>
              <w:tc>
                <w:tcPr>
                  <w:tcW w:w="2730" w:type="pct"/>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en-US" w:eastAsia="zh-CN" w:bidi="ar-SA"/>
                      <w:highlight w:val="none"/>
                    </w:rPr>
                  </w:pPr>
                  <w:r>
                    <w:rPr>
                      <w:rFonts w:ascii="Times New Roman" w:eastAsia="宋体" w:cs="Times New Roman" w:hAnsi="Times New Roman" w:hint="eastAsia"/>
                      <w:bCs/>
                      <w:color w:val="auto"/>
                      <w:kern w:val="0"/>
                      <w:sz w:val="21"/>
                      <w:szCs w:val="21"/>
                      <w:lang w:val="en-US" w:eastAsia="zh-CN" w:bidi="ar-SA"/>
                      <w:highlight w:val="none"/>
                    </w:rPr>
                    <w:t>65</w:t>
                  </w:r>
                </w:p>
              </w:tc>
              <w:tc>
                <w:tcPr>
                  <w:tcW w:w="2950" w:type="pct"/>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en-US" w:eastAsia="zh-CN" w:bidi="ar-SA"/>
                      <w:highlight w:val="none"/>
                    </w:rPr>
                  </w:pPr>
                  <w:r>
                    <w:rPr>
                      <w:rFonts w:ascii="Times New Roman" w:eastAsia="宋体" w:cs="Times New Roman" w:hAnsi="Times New Roman" w:hint="eastAsia"/>
                      <w:bCs/>
                      <w:color w:val="auto"/>
                      <w:kern w:val="0"/>
                      <w:sz w:val="21"/>
                      <w:szCs w:val="21"/>
                      <w:lang w:val="en-US" w:eastAsia="zh-CN" w:bidi="ar-SA"/>
                      <w:highlight w:val="none"/>
                    </w:rPr>
                    <w:t>55</w:t>
                  </w:r>
                </w:p>
              </w:tc>
              <w:tc>
                <w:tcPr>
                  <w:tcW w:w="3410" w:type="pct"/>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bCs/>
                      <w:color w:val="auto"/>
                      <w:kern w:val="0"/>
                      <w:sz w:val="21"/>
                      <w:szCs w:val="21"/>
                      <w:lang w:val="en-US" w:eastAsia="zh-CN" w:bidi="ar-SA"/>
                      <w:highlight w:val="none"/>
                    </w:rPr>
                  </w:pPr>
                  <w:r>
                    <w:rPr>
                      <w:rFonts w:ascii="Times New Roman" w:eastAsia="宋体" w:cs="Times New Roman" w:hAnsi="Times New Roman"/>
                      <w:bCs/>
                      <w:color w:val="auto"/>
                      <w:kern w:val="0"/>
                      <w:sz w:val="21"/>
                      <w:szCs w:val="21"/>
                      <w:lang w:val="en-US" w:eastAsia="zh-CN" w:bidi="ar-SA"/>
                      <w:highlight w:val="none"/>
                    </w:rPr>
                    <w:t>达标</w:t>
                  </w:r>
                </w:p>
              </w:tc>
              <w:tc>
                <w:tcPr>
                  <w:tcW w:w="3375" w:type="pct"/>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bCs/>
                      <w:color w:val="auto"/>
                      <w:kern w:val="0"/>
                      <w:sz w:val="21"/>
                      <w:szCs w:val="21"/>
                      <w:lang w:val="en-US" w:eastAsia="zh-CN" w:bidi="ar-SA"/>
                      <w:highlight w:val="none"/>
                    </w:rPr>
                  </w:pPr>
                  <w:r>
                    <w:rPr>
                      <w:rFonts w:ascii="Times New Roman" w:eastAsia="宋体" w:cs="Times New Roman" w:hAnsi="Times New Roman"/>
                      <w:bCs/>
                      <w:color w:val="auto"/>
                      <w:kern w:val="0"/>
                      <w:sz w:val="21"/>
                      <w:szCs w:val="21"/>
                      <w:lang w:val="en-US" w:eastAsia="zh-CN" w:bidi="ar-SA"/>
                      <w:highlight w:val="none"/>
                    </w:rPr>
                    <w:t>达标</w:t>
                  </w:r>
                </w:p>
              </w:tc>
            </w:tr>
          </w:tbl>
          <w:p>
            <w:pPr>
              <w:keepNext w:val="0"/>
              <w:keepLines w:val="0"/>
              <w:pageBreakBefore w:val="0"/>
              <w:widowControl w:val="0"/>
              <w:kinsoku/>
              <w:wordWrap/>
              <w:overflowPunct/>
              <w:topLinePunct w:val="0"/>
              <w:autoSpaceDE/>
              <w:autoSpaceDN/>
              <w:bidi w:val="0"/>
              <w:adjustRightInd/>
              <w:snapToGrid/>
              <w:spacing w:line="460" w:lineRule="exact"/>
              <w:ind w:firstLineChars="200" w:firstLine="480"/>
              <w:textAlignment w:val="auto"/>
              <w:rPr>
                <w:rFonts w:hint="eastAsia"/>
                <w:color w:val="auto"/>
                <w:sz w:val="24"/>
                <w:highlight w:val="none"/>
              </w:rPr>
            </w:pPr>
            <w:r>
              <w:rPr>
                <w:rFonts w:hint="eastAsia"/>
                <w:color w:val="auto"/>
                <w:sz w:val="24"/>
                <w:highlight w:val="none"/>
              </w:rPr>
              <w:t>由表预测结果可知，项目厂界贡献值为</w:t>
            </w:r>
            <w:r>
              <w:rPr>
                <w:rFonts w:hint="eastAsia"/>
                <w:color w:val="auto"/>
                <w:sz w:val="24"/>
                <w:lang w:val="en-US" w:eastAsia="zh-CN"/>
                <w:highlight w:val="none"/>
              </w:rPr>
              <w:t>21.24</w:t>
            </w:r>
            <w:r>
              <w:rPr>
                <w:rFonts w:hint="eastAsia"/>
                <w:color w:val="auto"/>
                <w:sz w:val="24"/>
                <w:highlight w:val="none"/>
              </w:rPr>
              <w:t>~</w:t>
            </w:r>
            <w:r>
              <w:rPr>
                <w:rFonts w:hint="eastAsia"/>
                <w:color w:val="auto"/>
                <w:sz w:val="24"/>
                <w:lang w:val="en-US" w:eastAsia="zh-CN"/>
                <w:highlight w:val="none"/>
              </w:rPr>
              <w:t>38.15</w:t>
            </w:r>
            <w:r>
              <w:rPr>
                <w:rFonts w:hint="eastAsia"/>
                <w:color w:val="auto"/>
                <w:sz w:val="24"/>
                <w:highlight w:val="none"/>
              </w:rPr>
              <w:t>B</w:t>
            </w:r>
            <w:r>
              <w:rPr>
                <w:rFonts w:hint="eastAsia"/>
                <w:color w:val="auto"/>
                <w:sz w:val="24"/>
                <w:lang w:eastAsia="zh-CN"/>
                <w:highlight w:val="none"/>
              </w:rPr>
              <w:t>（</w:t>
            </w:r>
            <w:r>
              <w:rPr>
                <w:rFonts w:hint="eastAsia"/>
                <w:color w:val="auto"/>
                <w:sz w:val="24"/>
                <w:highlight w:val="none"/>
              </w:rPr>
              <w:t>A</w:t>
            </w:r>
            <w:r>
              <w:rPr>
                <w:rFonts w:hint="eastAsia"/>
                <w:color w:val="auto"/>
                <w:sz w:val="24"/>
                <w:lang w:eastAsia="zh-CN"/>
                <w:highlight w:val="none"/>
              </w:rPr>
              <w:t>）</w:t>
            </w:r>
            <w:r>
              <w:rPr>
                <w:rFonts w:hint="eastAsia"/>
                <w:color w:val="auto"/>
                <w:sz w:val="24"/>
                <w:highlight w:val="none"/>
              </w:rPr>
              <w:t>，满足《工业企业厂界环境噪声排放标准》</w:t>
            </w:r>
            <w:r>
              <w:rPr>
                <w:rFonts w:hint="eastAsia"/>
                <w:color w:val="auto"/>
                <w:sz w:val="24"/>
                <w:lang w:eastAsia="zh-CN"/>
                <w:highlight w:val="none"/>
              </w:rPr>
              <w:t>（</w:t>
            </w:r>
            <w:r>
              <w:rPr>
                <w:rFonts w:hint="eastAsia"/>
                <w:color w:val="auto"/>
                <w:sz w:val="24"/>
                <w:highlight w:val="none"/>
              </w:rPr>
              <w:t>GB12348-2008</w:t>
            </w:r>
            <w:r>
              <w:rPr>
                <w:rFonts w:hint="eastAsia"/>
                <w:color w:val="auto"/>
                <w:sz w:val="24"/>
                <w:lang w:eastAsia="zh-CN"/>
                <w:highlight w:val="none"/>
              </w:rPr>
              <w:t>）</w:t>
            </w:r>
            <w:r>
              <w:rPr>
                <w:rFonts w:hint="eastAsia"/>
                <w:color w:val="auto"/>
                <w:sz w:val="24"/>
                <w:lang w:val="en-US" w:eastAsia="zh-CN"/>
                <w:highlight w:val="none"/>
              </w:rPr>
              <w:t>3</w:t>
            </w:r>
            <w:r>
              <w:rPr>
                <w:rFonts w:hint="eastAsia"/>
                <w:color w:val="auto"/>
                <w:sz w:val="24"/>
                <w:highlight w:val="none"/>
              </w:rPr>
              <w:t>类标准要求。综上所述，此项目营运过程中产生的噪声不会对周围声环境产生明显影响。不会对区域声环境产生明显影响。</w:t>
            </w:r>
          </w:p>
          <w:p>
            <w:pPr>
              <w:keepNext w:val="0"/>
              <w:keepLines w:val="0"/>
              <w:pageBreakBefore w:val="0"/>
              <w:widowControl w:val="0"/>
              <w:kinsoku/>
              <w:wordWrap/>
              <w:overflowPunct/>
              <w:topLinePunct w:val="0"/>
              <w:autoSpaceDE/>
              <w:autoSpaceDN/>
              <w:bidi w:val="0"/>
              <w:adjustRightInd/>
              <w:snapToGrid/>
              <w:spacing w:line="460" w:lineRule="exact"/>
              <w:ind w:firstLineChars="200" w:firstLine="480"/>
              <w:textAlignment w:val="auto"/>
              <w:rPr>
                <w:rFonts w:hint="eastAsia"/>
                <w:color w:val="auto"/>
                <w:sz w:val="24"/>
                <w:highlight w:val="none"/>
              </w:rPr>
            </w:pPr>
            <w:r>
              <w:rPr>
                <w:rFonts w:hint="eastAsia"/>
                <w:color w:val="auto"/>
                <w:sz w:val="24"/>
                <w:highlight w:val="none"/>
              </w:rPr>
              <w:t>（</w:t>
            </w:r>
            <w:r>
              <w:rPr>
                <w:rFonts w:hint="eastAsia"/>
                <w:color w:val="auto"/>
                <w:sz w:val="24"/>
                <w:lang w:val="en-US" w:eastAsia="zh-CN"/>
                <w:highlight w:val="none"/>
              </w:rPr>
              <w:t>4</w:t>
            </w:r>
            <w:r>
              <w:rPr>
                <w:rFonts w:hint="eastAsia"/>
                <w:color w:val="auto"/>
                <w:sz w:val="24"/>
                <w:highlight w:val="none"/>
              </w:rPr>
              <w:t>）监测计划</w:t>
            </w:r>
          </w:p>
          <w:p>
            <w:pPr>
              <w:keepNext w:val="0"/>
              <w:keepLines w:val="0"/>
              <w:pageBreakBefore w:val="0"/>
              <w:widowControl w:val="0"/>
              <w:kinsoku/>
              <w:wordWrap/>
              <w:overflowPunct/>
              <w:topLinePunct w:val="0"/>
              <w:autoSpaceDE/>
              <w:autoSpaceDN/>
              <w:bidi w:val="0"/>
              <w:adjustRightInd/>
              <w:snapToGrid/>
              <w:spacing w:line="460" w:lineRule="exact"/>
              <w:ind w:firstLineChars="200" w:firstLine="480"/>
              <w:textAlignment w:val="auto"/>
              <w:rPr>
                <w:rFonts w:hint="eastAsia"/>
                <w:color w:val="auto"/>
                <w:sz w:val="24"/>
                <w:highlight w:val="none"/>
              </w:rPr>
            </w:pPr>
            <w:r>
              <w:rPr>
                <w:rFonts w:hint="eastAsia"/>
                <w:color w:val="auto"/>
                <w:sz w:val="24"/>
                <w:highlight w:val="none"/>
              </w:rPr>
              <w:t>本项目完成后，结合《排污单位自行监测技术指南 总则》</w:t>
            </w:r>
            <w:r>
              <w:rPr>
                <w:rFonts w:hint="eastAsia"/>
                <w:color w:val="auto"/>
                <w:sz w:val="24"/>
                <w:lang w:eastAsia="zh-CN"/>
                <w:highlight w:val="none"/>
              </w:rPr>
              <w:t>（</w:t>
            </w:r>
            <w:r>
              <w:rPr>
                <w:rFonts w:hint="eastAsia"/>
                <w:color w:val="auto"/>
                <w:sz w:val="24"/>
                <w:highlight w:val="none"/>
              </w:rPr>
              <w:t>HJ819-2017</w:t>
            </w:r>
            <w:r>
              <w:rPr>
                <w:rFonts w:hint="eastAsia"/>
                <w:color w:val="auto"/>
                <w:sz w:val="24"/>
                <w:lang w:eastAsia="zh-CN"/>
                <w:highlight w:val="none"/>
              </w:rPr>
              <w:t>）</w:t>
            </w:r>
            <w:r>
              <w:rPr>
                <w:rFonts w:hint="eastAsia"/>
                <w:color w:val="auto"/>
                <w:sz w:val="24"/>
                <w:highlight w:val="none"/>
              </w:rPr>
              <w:t>《排污单位自行监测技术指南 工业固体废物和危险废物治理》（HJ 1250-2022），监测要求如下：</w:t>
            </w:r>
          </w:p>
          <w:p>
            <w:pPr>
              <w:keepNext w:val="0"/>
              <w:keepLines w:val="0"/>
              <w:pageBreakBefore w:val="0"/>
              <w:widowControl/>
              <w:kinsoku/>
              <w:wordWrap/>
              <w:overflowPunct/>
              <w:topLinePunct w:val="0"/>
              <w:autoSpaceDE/>
              <w:autoSpaceDN/>
              <w:bidi w:val="0"/>
              <w:adjustRightInd w:val="0"/>
              <w:snapToGrid w:val="0"/>
              <w:spacing w:line="460" w:lineRule="exact"/>
              <w:ind w:firstLineChars="200" w:firstLine="480"/>
              <w:jc w:val="center"/>
              <w:textAlignment w:val="auto"/>
              <w:rPr>
                <w:rFonts w:ascii="Times New Roman" w:eastAsia="宋体" w:cs="Times New Roman" w:hAnsi="Times New Roman" w:hint="eastAsia"/>
                <w:b/>
                <w:bCs w:val="0"/>
                <w:color w:val="auto"/>
                <w:kern w:val="0"/>
                <w:sz w:val="24"/>
                <w:szCs w:val="22"/>
                <w:lang w:val="en-GB" w:eastAsia="zh-CN"/>
                <w:highlight w:val="none"/>
              </w:rPr>
            </w:pPr>
          </w:p>
          <w:p>
            <w:pPr>
              <w:keepNext w:val="0"/>
              <w:keepLines w:val="0"/>
              <w:pageBreakBefore w:val="0"/>
              <w:widowControl/>
              <w:kinsoku/>
              <w:wordWrap/>
              <w:overflowPunct/>
              <w:topLinePunct w:val="0"/>
              <w:autoSpaceDE/>
              <w:autoSpaceDN/>
              <w:bidi w:val="0"/>
              <w:adjustRightInd w:val="0"/>
              <w:snapToGrid w:val="0"/>
              <w:spacing w:line="460" w:lineRule="exact"/>
              <w:ind w:firstLineChars="200" w:firstLine="480"/>
              <w:jc w:val="center"/>
              <w:textAlignment w:val="auto"/>
              <w:rPr>
                <w:rFonts w:ascii="Times New Roman" w:eastAsia="宋体" w:cs="Times New Roman" w:hAnsi="Times New Roman" w:hint="eastAsia"/>
                <w:b/>
                <w:bCs w:val="0"/>
                <w:color w:val="auto"/>
                <w:kern w:val="0"/>
                <w:sz w:val="24"/>
                <w:szCs w:val="22"/>
                <w:lang w:val="en-GB" w:eastAsia="zh-CN"/>
                <w:highlight w:val="none"/>
              </w:rPr>
            </w:pPr>
          </w:p>
          <w:p>
            <w:pPr>
              <w:keepNext w:val="0"/>
              <w:keepLines w:val="0"/>
              <w:pageBreakBefore w:val="0"/>
              <w:widowControl/>
              <w:kinsoku/>
              <w:wordWrap/>
              <w:overflowPunct/>
              <w:topLinePunct w:val="0"/>
              <w:autoSpaceDE/>
              <w:autoSpaceDN/>
              <w:bidi w:val="0"/>
              <w:adjustRightInd w:val="0"/>
              <w:snapToGrid w:val="0"/>
              <w:spacing w:line="460" w:lineRule="exact"/>
              <w:ind w:firstLineChars="200" w:firstLine="480"/>
              <w:jc w:val="center"/>
              <w:textAlignment w:val="auto"/>
              <w:rPr>
                <w:rFonts w:ascii="Times New Roman" w:eastAsia="宋体" w:cs="Times New Roman" w:hAnsi="Times New Roman" w:hint="eastAsia"/>
                <w:b/>
                <w:bCs w:val="0"/>
                <w:color w:val="auto"/>
                <w:kern w:val="0"/>
                <w:sz w:val="24"/>
                <w:szCs w:val="22"/>
                <w:lang w:val="en-GB" w:eastAsia="zh-CN"/>
                <w:highlight w:val="none"/>
              </w:rPr>
            </w:pPr>
            <w:r>
              <w:rPr>
                <w:rFonts w:ascii="Times New Roman" w:eastAsia="宋体" w:cs="Times New Roman" w:hAnsi="Times New Roman" w:hint="eastAsia"/>
                <w:b/>
                <w:bCs w:val="0"/>
                <w:color w:val="auto"/>
                <w:kern w:val="0"/>
                <w:sz w:val="24"/>
                <w:szCs w:val="22"/>
                <w:lang w:val="en-GB" w:eastAsia="zh-CN"/>
                <w:highlight w:val="none"/>
              </w:rPr>
              <w:t>表</w:t>
            </w:r>
            <w:r>
              <w:rPr>
                <w:rFonts w:ascii="Times New Roman" w:eastAsia="宋体" w:cs="Times New Roman" w:hAnsi="Times New Roman" w:hint="eastAsia"/>
                <w:b/>
                <w:bCs w:val="0"/>
                <w:color w:val="auto"/>
                <w:kern w:val="0"/>
                <w:sz w:val="24"/>
                <w:szCs w:val="22"/>
                <w:lang w:val="en-US" w:eastAsia="zh-CN"/>
                <w:highlight w:val="none"/>
              </w:rPr>
              <w:t>4-</w:t>
            </w:r>
            <w:r>
              <w:rPr>
                <w:rFonts w:cs="Times New Roman" w:hint="eastAsia"/>
                <w:b/>
                <w:bCs w:val="0"/>
                <w:color w:val="auto"/>
                <w:kern w:val="0"/>
                <w:sz w:val="24"/>
                <w:szCs w:val="22"/>
                <w:lang w:val="en-US" w:eastAsia="zh-CN"/>
                <w:highlight w:val="none"/>
              </w:rPr>
              <w:t>7</w:t>
            </w:r>
            <w:r>
              <w:rPr>
                <w:rFonts w:ascii="Times New Roman" w:eastAsia="宋体" w:cs="Times New Roman" w:hAnsi="Times New Roman" w:hint="eastAsia"/>
                <w:b/>
                <w:bCs w:val="0"/>
                <w:color w:val="auto"/>
                <w:kern w:val="0"/>
                <w:sz w:val="24"/>
                <w:szCs w:val="22"/>
                <w:lang w:val="en-GB" w:eastAsia="zh-CN"/>
                <w:highlight w:val="none"/>
              </w:rPr>
              <w:t xml:space="preserve">  噪声监测计划一览表</w:t>
            </w:r>
          </w:p>
          <w:tbl>
            <w:tblPr>
              <w:jc w:val="center"/>
              <w:tblW w:w="5000" w:type="pct"/>
              <w:tblBorders>
                <w:top w:val="single" w:sz="12" w:space="0" w:color="auto"/>
                <w:left w:val="none" w:sz="0" w:space="0" w:color="auto"/>
                <w:bottom w:val="single" w:sz="12" w:space="0" w:color="auto"/>
                <w:right w:val="none" w:sz="0" w:space="0" w:color="auto"/>
                <w:insideH w:val="single" w:sz="4" w:space="0" w:color="auto"/>
                <w:insideV w:val="single" w:sz="4" w:space="0" w:color="auto"/>
              </w:tblBorders>
              <w:tblLayout w:type="fixed"/>
              <w:tblCellMar>
                <w:top w:w="0" w:type="dxa"/>
                <w:left w:w="108" w:type="dxa"/>
                <w:bottom w:w="0" w:type="dxa"/>
                <w:right w:w="108" w:type="dxa"/>
              </w:tblCellMar>
              <w:tblLook w:val="0600" w:firstRow="0" w:lastRow="0" w:firstColumn="0" w:lastColumn="0" w:noHBand="1" w:noVBand="1"/>
            </w:tblPr>
            <w:tblGrid>
              <w:gridCol w:w="1238"/>
              <w:gridCol w:w="1827"/>
              <w:gridCol w:w="3122"/>
              <w:gridCol w:w="2740"/>
            </w:tblGrid>
            <w:tr>
              <w:trPr>
                <w:trHeight w:val="340"/>
              </w:trPr>
              <w:tc>
                <w:tcPr>
                  <w:tcW w:w="693" w:type="pct"/>
                  <w:tcBorders>
                    <w:top w:val="single" w:sz="12" w:space="0" w:color="auto"/>
                    <w:left w:val="nil"/>
                    <w:bottom w:val="single" w:sz="4" w:space="0" w:color="auto"/>
                  </w:tcBorders>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bCs/>
                      <w:color w:val="auto"/>
                      <w:kern w:val="0"/>
                      <w:sz w:val="21"/>
                      <w:szCs w:val="21"/>
                      <w:lang w:val="en-US" w:eastAsia="zh-CN" w:bidi="ar-SA"/>
                      <w:highlight w:val="none"/>
                    </w:rPr>
                  </w:pPr>
                  <w:r>
                    <w:rPr>
                      <w:rFonts w:ascii="Times New Roman" w:eastAsia="宋体" w:cs="Times New Roman" w:hAnsi="Times New Roman"/>
                      <w:bCs/>
                      <w:color w:val="auto"/>
                      <w:kern w:val="0"/>
                      <w:sz w:val="21"/>
                      <w:szCs w:val="21"/>
                      <w:lang w:val="en-US" w:eastAsia="zh-CN" w:bidi="ar-SA"/>
                      <w:highlight w:val="none"/>
                    </w:rPr>
                    <w:t>项目</w:t>
                  </w:r>
                </w:p>
              </w:tc>
              <w:tc>
                <w:tcPr>
                  <w:tcW w:w="1023" w:type="pct"/>
                  <w:tcBorders>
                    <w:top w:val="single" w:sz="12" w:space="0" w:color="auto"/>
                    <w:bottom w:val="single" w:sz="4" w:space="0" w:color="auto"/>
                  </w:tcBorders>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bCs/>
                      <w:color w:val="auto"/>
                      <w:kern w:val="0"/>
                      <w:sz w:val="21"/>
                      <w:szCs w:val="21"/>
                      <w:lang w:val="en-US" w:eastAsia="zh-CN" w:bidi="ar-SA"/>
                      <w:highlight w:val="none"/>
                    </w:rPr>
                  </w:pPr>
                  <w:r>
                    <w:rPr>
                      <w:rFonts w:ascii="Times New Roman" w:eastAsia="宋体" w:cs="Times New Roman" w:hAnsi="Times New Roman"/>
                      <w:bCs/>
                      <w:color w:val="auto"/>
                      <w:kern w:val="0"/>
                      <w:sz w:val="21"/>
                      <w:szCs w:val="21"/>
                      <w:lang w:val="en-US" w:eastAsia="zh-CN" w:bidi="ar-SA"/>
                      <w:highlight w:val="none"/>
                    </w:rPr>
                    <w:t>监测点位</w:t>
                  </w:r>
                </w:p>
              </w:tc>
              <w:tc>
                <w:tcPr>
                  <w:tcW w:w="1748" w:type="pct"/>
                  <w:tcBorders>
                    <w:top w:val="single" w:sz="12" w:space="0" w:color="auto"/>
                    <w:bottom w:val="single" w:sz="4" w:space="0" w:color="auto"/>
                  </w:tcBorders>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bCs/>
                      <w:color w:val="auto"/>
                      <w:kern w:val="0"/>
                      <w:sz w:val="21"/>
                      <w:szCs w:val="21"/>
                      <w:lang w:val="en-US" w:eastAsia="zh-CN" w:bidi="ar-SA"/>
                      <w:highlight w:val="none"/>
                    </w:rPr>
                  </w:pPr>
                  <w:r>
                    <w:rPr>
                      <w:rFonts w:ascii="Times New Roman" w:eastAsia="宋体" w:cs="Times New Roman" w:hAnsi="Times New Roman"/>
                      <w:bCs/>
                      <w:color w:val="auto"/>
                      <w:kern w:val="0"/>
                      <w:sz w:val="21"/>
                      <w:szCs w:val="21"/>
                      <w:lang w:val="en-US" w:eastAsia="zh-CN" w:bidi="ar-SA"/>
                      <w:highlight w:val="none"/>
                    </w:rPr>
                    <w:t>监测因子</w:t>
                  </w:r>
                </w:p>
              </w:tc>
              <w:tc>
                <w:tcPr>
                  <w:tcW w:w="1534" w:type="pct"/>
                  <w:tcBorders>
                    <w:top w:val="single" w:sz="12" w:space="0" w:color="auto"/>
                    <w:bottom w:val="single" w:sz="4" w:space="0" w:color="auto"/>
                    <w:right w:val="nil"/>
                  </w:tcBorders>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bCs/>
                      <w:color w:val="auto"/>
                      <w:kern w:val="0"/>
                      <w:sz w:val="21"/>
                      <w:szCs w:val="21"/>
                      <w:lang w:val="en-US" w:eastAsia="zh-CN" w:bidi="ar-SA"/>
                      <w:highlight w:val="none"/>
                    </w:rPr>
                  </w:pPr>
                  <w:r>
                    <w:rPr>
                      <w:rFonts w:ascii="Times New Roman" w:eastAsia="宋体" w:cs="Times New Roman" w:hAnsi="Times New Roman"/>
                      <w:bCs/>
                      <w:color w:val="auto"/>
                      <w:kern w:val="0"/>
                      <w:sz w:val="21"/>
                      <w:szCs w:val="21"/>
                      <w:lang w:val="en-US" w:eastAsia="zh-CN" w:bidi="ar-SA"/>
                      <w:highlight w:val="none"/>
                    </w:rPr>
                    <w:t>建议监测频次</w:t>
                  </w:r>
                </w:p>
              </w:tc>
            </w:tr>
            <w:tr>
              <w:trPr>
                <w:trHeight w:val="340"/>
              </w:trPr>
              <w:tc>
                <w:tcPr>
                  <w:tcW w:w="693" w:type="pct"/>
                  <w:vMerge w:val="restart"/>
                  <w:tcBorders>
                    <w:left w:val="nil"/>
                  </w:tcBorders>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bCs/>
                      <w:color w:val="auto"/>
                      <w:kern w:val="0"/>
                      <w:sz w:val="21"/>
                      <w:szCs w:val="21"/>
                      <w:lang w:val="en-US" w:eastAsia="zh-CN" w:bidi="ar-SA"/>
                      <w:highlight w:val="none"/>
                    </w:rPr>
                  </w:pPr>
                  <w:r>
                    <w:rPr>
                      <w:rFonts w:ascii="Times New Roman" w:eastAsia="宋体" w:cs="Times New Roman" w:hAnsi="Times New Roman"/>
                      <w:bCs/>
                      <w:color w:val="auto"/>
                      <w:kern w:val="0"/>
                      <w:sz w:val="21"/>
                      <w:szCs w:val="21"/>
                      <w:lang w:val="en-US" w:eastAsia="zh-CN" w:bidi="ar-SA"/>
                      <w:highlight w:val="none"/>
                    </w:rPr>
                    <w:t>噪声</w:t>
                  </w:r>
                </w:p>
              </w:tc>
              <w:tc>
                <w:tcPr>
                  <w:tcW w:w="1023" w:type="pct"/>
                  <w:vMerge w:val="restart"/>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bCs/>
                      <w:color w:val="auto"/>
                      <w:kern w:val="0"/>
                      <w:sz w:val="21"/>
                      <w:szCs w:val="21"/>
                      <w:lang w:val="en-US" w:eastAsia="zh-CN" w:bidi="ar-SA"/>
                      <w:highlight w:val="none"/>
                    </w:rPr>
                  </w:pPr>
                  <w:r>
                    <w:rPr>
                      <w:rFonts w:ascii="Times New Roman" w:eastAsia="宋体" w:cs="Times New Roman" w:hAnsi="Times New Roman"/>
                      <w:bCs/>
                      <w:color w:val="auto"/>
                      <w:kern w:val="0"/>
                      <w:sz w:val="21"/>
                      <w:szCs w:val="21"/>
                      <w:lang w:val="en-US" w:eastAsia="zh-CN" w:bidi="ar-SA"/>
                      <w:highlight w:val="none"/>
                    </w:rPr>
                    <w:t>厂界</w:t>
                  </w:r>
                </w:p>
              </w:tc>
              <w:tc>
                <w:tcPr>
                  <w:tcW w:w="1748" w:type="pct"/>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bCs/>
                      <w:color w:val="auto"/>
                      <w:kern w:val="0"/>
                      <w:sz w:val="21"/>
                      <w:szCs w:val="21"/>
                      <w:lang w:val="en-US" w:eastAsia="zh-CN" w:bidi="ar-SA"/>
                      <w:highlight w:val="none"/>
                    </w:rPr>
                  </w:pPr>
                  <w:r>
                    <w:rPr>
                      <w:rFonts w:ascii="Times New Roman" w:eastAsia="宋体" w:cs="Times New Roman" w:hAnsi="Times New Roman"/>
                      <w:bCs/>
                      <w:color w:val="auto"/>
                      <w:kern w:val="0"/>
                      <w:sz w:val="21"/>
                      <w:szCs w:val="21"/>
                      <w:lang w:val="en-US" w:eastAsia="zh-CN" w:bidi="ar-SA"/>
                      <w:highlight w:val="none"/>
                    </w:rPr>
                    <w:t>等效连续A声级</w:t>
                  </w:r>
                </w:p>
              </w:tc>
              <w:tc>
                <w:tcPr>
                  <w:tcW w:w="1534" w:type="pct"/>
                  <w:vMerge w:val="restart"/>
                  <w:tcBorders>
                    <w:right w:val="nil"/>
                  </w:tcBorders>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bCs/>
                      <w:color w:val="auto"/>
                      <w:kern w:val="0"/>
                      <w:sz w:val="21"/>
                      <w:szCs w:val="21"/>
                      <w:lang w:val="en-US" w:eastAsia="zh-CN" w:bidi="ar-SA"/>
                      <w:highlight w:val="none"/>
                    </w:rPr>
                  </w:pPr>
                  <w:r>
                    <w:rPr>
                      <w:rFonts w:ascii="Times New Roman" w:eastAsia="宋体" w:cs="Times New Roman" w:hAnsi="Times New Roman"/>
                      <w:bCs/>
                      <w:color w:val="auto"/>
                      <w:kern w:val="0"/>
                      <w:sz w:val="21"/>
                      <w:szCs w:val="21"/>
                      <w:lang w:val="en-US" w:eastAsia="zh-CN" w:bidi="ar-SA"/>
                      <w:highlight w:val="none"/>
                    </w:rPr>
                    <w:t>1次/季度</w:t>
                  </w:r>
                </w:p>
              </w:tc>
            </w:tr>
            <w:tr>
              <w:trPr>
                <w:trHeight w:val="340"/>
              </w:trPr>
              <w:tc>
                <w:tcPr>
                  <w:tcW w:w="693" w:type="pct"/>
                  <w:vMerge/>
                  <w:tcBorders>
                    <w:left w:val="nil"/>
                    <w:bottom w:val="single" w:sz="12" w:space="0" w:color="auto"/>
                  </w:tcBorders>
                  <w:vAlign w:val="center"/>
                </w:tcPr>
                <w:p/>
              </w:tc>
              <w:tc>
                <w:tcPr>
                  <w:tcW w:w="1023" w:type="pct"/>
                  <w:vMerge/>
                  <w:tcBorders>
                    <w:bottom w:val="single" w:sz="12" w:space="0" w:color="auto"/>
                  </w:tcBorders>
                  <w:vAlign w:val="center"/>
                </w:tcPr>
                <w:p/>
              </w:tc>
              <w:tc>
                <w:tcPr>
                  <w:tcW w:w="1748" w:type="pct"/>
                  <w:tcBorders>
                    <w:bottom w:val="single" w:sz="12" w:space="0" w:color="auto"/>
                  </w:tcBorders>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en-US" w:eastAsia="zh-CN" w:bidi="ar-SA"/>
                      <w:highlight w:val="none"/>
                    </w:rPr>
                  </w:pPr>
                  <w:r>
                    <w:rPr>
                      <w:rFonts w:cs="Times New Roman" w:hint="eastAsia"/>
                      <w:bCs/>
                      <w:color w:val="auto"/>
                      <w:kern w:val="0"/>
                      <w:sz w:val="21"/>
                      <w:szCs w:val="21"/>
                      <w:lang w:val="en-US" w:eastAsia="zh-CN" w:bidi="ar-SA"/>
                      <w:highlight w:val="none"/>
                    </w:rPr>
                    <w:t>频发、偶发最大声级</w:t>
                  </w:r>
                </w:p>
              </w:tc>
              <w:tc>
                <w:tcPr>
                  <w:tcW w:w="1534" w:type="pct"/>
                  <w:vMerge/>
                  <w:tcBorders>
                    <w:bottom w:val="single" w:sz="12" w:space="0" w:color="auto"/>
                    <w:right w:val="nil"/>
                  </w:tcBorders>
                  <w:vAlign w:val="center"/>
                </w:tcPr>
                <w:p/>
              </w:tc>
            </w:tr>
          </w:tbl>
          <w:p>
            <w:pPr>
              <w:pStyle w:val="33"/>
              <w:keepNext w:val="0"/>
              <w:keepLines w:val="0"/>
              <w:pageBreakBefore w:val="0"/>
              <w:kinsoku/>
              <w:wordWrap/>
              <w:overflowPunct/>
              <w:topLinePunct w:val="0"/>
              <w:autoSpaceDE/>
              <w:autoSpaceDN/>
              <w:bidi w:val="0"/>
              <w:snapToGrid/>
              <w:spacing w:line="460" w:lineRule="exact"/>
              <w:jc w:val="both"/>
              <w:rPr>
                <w:b/>
                <w:bCs/>
                <w:color w:val="auto"/>
                <w:kern w:val="0"/>
                <w:sz w:val="24"/>
                <w:highlight w:val="none"/>
              </w:rPr>
            </w:pPr>
            <w:r>
              <w:rPr>
                <w:rFonts w:hint="eastAsia"/>
                <w:b/>
                <w:bCs/>
                <w:color w:val="auto"/>
                <w:kern w:val="0"/>
                <w:sz w:val="24"/>
                <w:highlight w:val="none"/>
              </w:rPr>
              <w:t>4、固体废物</w:t>
            </w:r>
          </w:p>
          <w:p>
            <w:pPr>
              <w:keepNext w:val="0"/>
              <w:keepLines w:val="0"/>
              <w:pageBreakBefore w:val="0"/>
              <w:kinsoku/>
              <w:wordWrap/>
              <w:overflowPunct/>
              <w:topLinePunct w:val="0"/>
              <w:autoSpaceDE/>
              <w:autoSpaceDN/>
              <w:bidi w:val="0"/>
              <w:snapToGrid/>
              <w:spacing w:line="460" w:lineRule="exact"/>
              <w:ind w:firstLineChars="200" w:firstLine="480"/>
              <w:jc w:val="both"/>
              <w:rPr>
                <w:color w:val="auto"/>
                <w:sz w:val="24"/>
                <w:highlight w:val="none"/>
              </w:rPr>
            </w:pPr>
            <w:r>
              <w:rPr>
                <w:rFonts w:hint="eastAsia"/>
                <w:color w:val="auto"/>
                <w:sz w:val="24"/>
                <w:highlight w:val="none"/>
              </w:rPr>
              <w:t>（1）固体废物产生及处置情况</w:t>
            </w:r>
          </w:p>
          <w:p>
            <w:pPr>
              <w:keepNext w:val="0"/>
              <w:keepLines w:val="0"/>
              <w:pageBreakBefore w:val="0"/>
              <w:kinsoku/>
              <w:wordWrap/>
              <w:overflowPunct/>
              <w:topLinePunct w:val="0"/>
              <w:autoSpaceDE/>
              <w:autoSpaceDN/>
              <w:bidi w:val="0"/>
              <w:snapToGrid/>
              <w:spacing w:line="460" w:lineRule="exact"/>
              <w:ind w:firstLineChars="200" w:firstLine="480"/>
              <w:jc w:val="both"/>
              <w:rPr>
                <w:rStyle w:val="56Char"/>
                <w:rFonts w:eastAsia="宋体"/>
                <w:color w:val="auto"/>
                <w:lang w:val="en-US" w:eastAsia="zh-CN"/>
                <w:highlight w:val="none"/>
              </w:rPr>
            </w:pPr>
            <w:r>
              <w:rPr>
                <w:rStyle w:val="56Char"/>
                <w:rFonts w:hint="eastAsia"/>
                <w:color w:val="auto"/>
                <w:highlight w:val="none"/>
              </w:rPr>
              <w:t>项目运营期产生的固废主要</w:t>
            </w:r>
            <w:r>
              <w:rPr>
                <w:rStyle w:val="56Char"/>
                <w:rFonts w:hint="eastAsia"/>
                <w:color w:val="auto"/>
                <w:lang w:val="en-US" w:eastAsia="zh-CN"/>
                <w:highlight w:val="none"/>
              </w:rPr>
              <w:t>为危险废物和生活垃圾。</w:t>
            </w:r>
          </w:p>
          <w:p>
            <w:pPr>
              <w:pStyle w:val="56"/>
              <w:keepNext w:val="0"/>
              <w:keepLines w:val="0"/>
              <w:pageBreakBefore w:val="0"/>
              <w:kinsoku/>
              <w:wordWrap/>
              <w:overflowPunct/>
              <w:topLinePunct w:val="0"/>
              <w:autoSpaceDE/>
              <w:autoSpaceDN/>
              <w:bidi w:val="0"/>
              <w:adjustRightInd w:val="0"/>
              <w:snapToGrid/>
              <w:spacing w:line="460" w:lineRule="exact"/>
              <w:jc w:val="both"/>
              <w:rPr>
                <w:rFonts w:eastAsia="宋体"/>
                <w:color w:val="auto"/>
                <w:lang w:val="en-US" w:eastAsia="zh-CN"/>
                <w:highlight w:val="none"/>
              </w:rPr>
            </w:pPr>
            <w:r>
              <w:rPr>
                <w:rFonts w:hint="eastAsia"/>
                <w:color w:val="auto"/>
                <w:lang w:val="en-US" w:eastAsia="zh-CN"/>
                <w:highlight w:val="none"/>
              </w:rPr>
              <w:t>①危险废物</w:t>
            </w:r>
          </w:p>
          <w:p>
            <w:pPr>
              <w:keepNext w:val="0"/>
              <w:pageBreakBefore w:val="0"/>
              <w:widowControl/>
              <w:kinsoku/>
              <w:wordWrap/>
              <w:overflowPunct/>
              <w:topLinePunct w:val="0"/>
              <w:autoSpaceDE/>
              <w:autoSpaceDN/>
              <w:bidi w:val="0"/>
              <w:spacing w:line="460" w:lineRule="exact"/>
              <w:ind w:firstLineChars="200" w:firstLine="480"/>
              <w:textAlignment w:val="center"/>
              <w:rPr>
                <w:rFonts w:hint="eastAsia"/>
                <w:color w:val="auto"/>
                <w:sz w:val="24"/>
                <w:lang w:val="zh-CN"/>
                <w:highlight w:val="none"/>
              </w:rPr>
            </w:pPr>
            <w:r>
              <w:rPr>
                <w:rFonts w:hint="eastAsia"/>
                <w:color w:val="auto"/>
                <w:sz w:val="24"/>
                <w:lang w:val="zh-CN"/>
                <w:highlight w:val="none"/>
              </w:rPr>
              <w:t>项目固体废物主要为破损电池中的废电解液、废碱液、废防护用具，全部为危险废物。</w:t>
            </w:r>
          </w:p>
          <w:p>
            <w:pPr>
              <w:keepNext w:val="0"/>
              <w:pageBreakBefore w:val="0"/>
              <w:widowControl/>
              <w:kinsoku/>
              <w:wordWrap/>
              <w:overflowPunct/>
              <w:topLinePunct w:val="0"/>
              <w:autoSpaceDE/>
              <w:autoSpaceDN/>
              <w:bidi w:val="0"/>
              <w:spacing w:line="460" w:lineRule="exact"/>
              <w:ind w:firstLineChars="200" w:firstLine="480"/>
              <w:textAlignment w:val="center"/>
              <w:rPr>
                <w:rFonts w:hint="eastAsia"/>
                <w:color w:val="auto"/>
                <w:sz w:val="24"/>
                <w:lang w:val="zh-CN"/>
                <w:highlight w:val="none"/>
              </w:rPr>
            </w:pPr>
            <w:r>
              <w:rPr>
                <w:rFonts w:ascii="Times New Roman" w:eastAsia="宋体" w:cs="Times New Roman" w:hAnsi="Times New Roman" w:hint="eastAsia"/>
                <w:bCs/>
                <w:color w:val="auto"/>
                <w:kern w:val="0"/>
                <w:sz w:val="24"/>
                <w:szCs w:val="22"/>
                <w:highlight w:val="none"/>
              </w:rPr>
              <w:t>结合企业提供的经验数据，</w:t>
            </w:r>
            <w:r>
              <w:rPr>
                <w:rFonts w:cs="Times New Roman" w:hint="eastAsia"/>
                <w:bCs/>
                <w:color w:val="auto"/>
                <w:kern w:val="0"/>
                <w:sz w:val="24"/>
                <w:szCs w:val="22"/>
                <w:lang w:eastAsia="zh-CN"/>
                <w:highlight w:val="none"/>
              </w:rPr>
              <w:t>废电池装卸及分拣过程中</w:t>
            </w:r>
            <w:r>
              <w:rPr>
                <w:rFonts w:ascii="Times New Roman" w:eastAsia="宋体" w:cs="Times New Roman" w:hAnsi="Times New Roman" w:hint="eastAsia"/>
                <w:bCs/>
                <w:color w:val="auto"/>
                <w:kern w:val="0"/>
                <w:sz w:val="24"/>
                <w:szCs w:val="22"/>
                <w:highlight w:val="none"/>
              </w:rPr>
              <w:t>破损检出率为</w:t>
            </w:r>
            <w:r>
              <w:rPr>
                <w:rFonts w:cs="Times New Roman" w:hint="eastAsia"/>
                <w:bCs/>
                <w:color w:val="auto"/>
                <w:kern w:val="0"/>
                <w:sz w:val="24"/>
                <w:szCs w:val="22"/>
                <w:lang w:val="en-US" w:eastAsia="zh-CN"/>
                <w:highlight w:val="none"/>
              </w:rPr>
              <w:t>0.5</w:t>
            </w:r>
            <w:r>
              <w:rPr>
                <w:rFonts w:ascii="Times New Roman" w:eastAsia="宋体" w:cs="Times New Roman" w:hAnsi="Times New Roman" w:hint="eastAsia"/>
                <w:bCs/>
                <w:color w:val="auto"/>
                <w:kern w:val="0"/>
                <w:sz w:val="24"/>
                <w:szCs w:val="22"/>
                <w:highlight w:val="none"/>
              </w:rPr>
              <w:t>%，</w:t>
            </w:r>
            <w:r>
              <w:rPr>
                <w:rFonts w:cs="Times New Roman" w:hint="eastAsia"/>
                <w:bCs/>
                <w:color w:val="auto"/>
                <w:kern w:val="0"/>
                <w:sz w:val="24"/>
                <w:szCs w:val="22"/>
                <w:lang w:eastAsia="zh-CN"/>
                <w:highlight w:val="none"/>
              </w:rPr>
              <w:t>本项目废电池最大贮存量为</w:t>
            </w:r>
            <w:r>
              <w:rPr>
                <w:rFonts w:cs="Times New Roman" w:hint="eastAsia"/>
                <w:bCs/>
                <w:color w:val="auto"/>
                <w:kern w:val="0"/>
                <w:sz w:val="24"/>
                <w:szCs w:val="22"/>
                <w:lang w:val="en-US" w:eastAsia="zh-CN"/>
                <w:highlight w:val="none"/>
              </w:rPr>
              <w:t>6000t/a，</w:t>
            </w:r>
            <w:r>
              <w:rPr>
                <w:rFonts w:ascii="Times New Roman" w:eastAsia="宋体" w:cs="Times New Roman" w:hAnsi="Times New Roman" w:hint="eastAsia"/>
                <w:bCs/>
                <w:color w:val="auto"/>
                <w:kern w:val="0"/>
                <w:sz w:val="24"/>
                <w:szCs w:val="22"/>
                <w:highlight w:val="none"/>
              </w:rPr>
              <w:t>破损电池检出量为</w:t>
            </w:r>
            <w:r>
              <w:rPr>
                <w:rFonts w:cs="Times New Roman" w:hint="eastAsia"/>
                <w:bCs/>
                <w:color w:val="auto"/>
                <w:kern w:val="0"/>
                <w:sz w:val="24"/>
                <w:szCs w:val="22"/>
                <w:lang w:val="en-US" w:eastAsia="zh-CN"/>
                <w:highlight w:val="none"/>
              </w:rPr>
              <w:t>30</w:t>
            </w:r>
            <w:r>
              <w:rPr>
                <w:rFonts w:ascii="Times New Roman" w:eastAsia="宋体" w:cs="Times New Roman" w:hAnsi="Times New Roman" w:hint="eastAsia"/>
                <w:bCs/>
                <w:color w:val="auto"/>
                <w:kern w:val="0"/>
                <w:sz w:val="24"/>
                <w:szCs w:val="22"/>
                <w:highlight w:val="none"/>
              </w:rPr>
              <w:t>t/a，</w:t>
            </w:r>
            <w:r>
              <w:rPr>
                <w:rFonts w:cs="Times New Roman" w:hint="eastAsia"/>
                <w:bCs/>
                <w:color w:val="auto"/>
                <w:kern w:val="0"/>
                <w:sz w:val="24"/>
                <w:szCs w:val="22"/>
                <w:lang w:eastAsia="zh-CN"/>
                <w:highlight w:val="none"/>
              </w:rPr>
              <w:t>根据前文表</w:t>
            </w:r>
            <w:r>
              <w:rPr>
                <w:rFonts w:cs="Times New Roman" w:hint="eastAsia"/>
                <w:bCs/>
                <w:color w:val="auto"/>
                <w:kern w:val="0"/>
                <w:sz w:val="24"/>
                <w:szCs w:val="22"/>
                <w:lang w:val="en-US" w:eastAsia="zh-CN"/>
                <w:highlight w:val="none"/>
              </w:rPr>
              <w:t>2-3</w:t>
            </w:r>
            <w:r>
              <w:rPr>
                <w:rFonts w:ascii="Times New Roman" w:eastAsia="宋体" w:cs="Times New Roman" w:hAnsi="Times New Roman" w:hint="eastAsia"/>
                <w:bCs/>
                <w:color w:val="auto"/>
                <w:kern w:val="0"/>
                <w:sz w:val="24"/>
                <w:szCs w:val="22"/>
                <w:highlight w:val="none"/>
              </w:rPr>
              <w:t>电解液</w:t>
            </w:r>
            <w:r>
              <w:rPr>
                <w:rFonts w:cs="Times New Roman" w:hint="eastAsia"/>
                <w:bCs/>
                <w:color w:val="auto"/>
                <w:kern w:val="0"/>
                <w:sz w:val="24"/>
                <w:szCs w:val="22"/>
                <w:lang w:eastAsia="zh-CN"/>
                <w:highlight w:val="none"/>
              </w:rPr>
              <w:t>占</w:t>
            </w:r>
            <w:r>
              <w:rPr>
                <w:rFonts w:ascii="Times New Roman" w:eastAsia="宋体" w:cs="Times New Roman" w:hAnsi="Times New Roman" w:hint="eastAsia"/>
                <w:bCs/>
                <w:color w:val="auto"/>
                <w:kern w:val="0"/>
                <w:sz w:val="24"/>
                <w:szCs w:val="22"/>
                <w:highlight w:val="none"/>
              </w:rPr>
              <w:t>电池重量的</w:t>
            </w:r>
            <w:r>
              <w:rPr>
                <w:rFonts w:cs="Times New Roman" w:hint="eastAsia"/>
                <w:bCs/>
                <w:color w:val="auto"/>
                <w:kern w:val="0"/>
                <w:sz w:val="24"/>
                <w:szCs w:val="22"/>
                <w:lang w:val="en-US" w:eastAsia="zh-CN"/>
                <w:highlight w:val="none"/>
              </w:rPr>
              <w:t>15</w:t>
            </w:r>
            <w:r>
              <w:rPr>
                <w:rFonts w:ascii="Times New Roman" w:eastAsia="宋体" w:cs="Times New Roman" w:hAnsi="Times New Roman" w:hint="eastAsia"/>
                <w:bCs/>
                <w:color w:val="auto"/>
                <w:kern w:val="0"/>
                <w:sz w:val="24"/>
                <w:szCs w:val="22"/>
                <w:highlight w:val="none"/>
              </w:rPr>
              <w:t>%</w:t>
            </w:r>
            <w:r>
              <w:rPr>
                <w:rFonts w:cs="Times New Roman" w:hint="eastAsia"/>
                <w:bCs/>
                <w:color w:val="auto"/>
                <w:kern w:val="0"/>
                <w:sz w:val="24"/>
                <w:szCs w:val="22"/>
                <w:lang w:eastAsia="zh-CN"/>
                <w:highlight w:val="none"/>
              </w:rPr>
              <w:t>，</w:t>
            </w:r>
            <w:r>
              <w:rPr>
                <w:rFonts w:hint="eastAsia"/>
                <w:color w:val="auto"/>
                <w:sz w:val="24"/>
                <w:lang w:val="zh-CN"/>
                <w:highlight w:val="none"/>
              </w:rPr>
              <w:t>则废电解液产生量为</w:t>
            </w:r>
            <w:r>
              <w:rPr>
                <w:rFonts w:hint="eastAsia"/>
                <w:color w:val="auto"/>
                <w:sz w:val="24"/>
                <w:lang w:val="en-US" w:eastAsia="zh-CN"/>
                <w:highlight w:val="none"/>
              </w:rPr>
              <w:t>4.5</w:t>
            </w:r>
            <w:r>
              <w:rPr>
                <w:rFonts w:hint="eastAsia"/>
                <w:color w:val="auto"/>
                <w:sz w:val="24"/>
                <w:lang w:val="zh-CN"/>
                <w:highlight w:val="none"/>
              </w:rPr>
              <w:t>t/a</w:t>
            </w:r>
            <w:r>
              <w:rPr>
                <w:rFonts w:hint="eastAsia"/>
                <w:color w:val="auto"/>
                <w:sz w:val="24"/>
                <w:lang w:val="zh-CN" w:eastAsia="zh-CN"/>
                <w:highlight w:val="none"/>
              </w:rPr>
              <w:t>。根据设计资料，碱喷淋装置循环水槽容积约为0.7m</w:t>
            </w:r>
            <w:r>
              <w:rPr>
                <w:rFonts w:hint="eastAsia"/>
                <w:color w:val="auto"/>
                <w:sz w:val="24"/>
                <w:vertAlign w:val="superscript"/>
                <w:lang w:val="zh-CN" w:eastAsia="zh-CN"/>
                <w:highlight w:val="none"/>
              </w:rPr>
              <w:t>3</w:t>
            </w:r>
            <w:r>
              <w:rPr>
                <w:rFonts w:hint="eastAsia"/>
                <w:color w:val="auto"/>
                <w:sz w:val="24"/>
                <w:lang w:val="zh-CN" w:eastAsia="zh-CN"/>
                <w:highlight w:val="none"/>
              </w:rPr>
              <w:t>，</w:t>
            </w:r>
            <w:r>
              <w:rPr>
                <w:rFonts w:hint="eastAsia"/>
                <w:color w:val="auto"/>
                <w:sz w:val="24"/>
                <w:lang w:val="zh-CN"/>
                <w:highlight w:val="none"/>
              </w:rPr>
              <w:t>碱液每年更换一次，废碱液产生量为0.</w:t>
            </w:r>
            <w:r>
              <w:rPr>
                <w:rFonts w:hint="eastAsia"/>
                <w:color w:val="auto"/>
                <w:sz w:val="24"/>
                <w:lang w:val="en-US" w:eastAsia="zh-CN"/>
                <w:highlight w:val="none"/>
              </w:rPr>
              <w:t>7</w:t>
            </w:r>
            <w:r>
              <w:rPr>
                <w:rFonts w:hint="eastAsia"/>
                <w:color w:val="auto"/>
                <w:sz w:val="24"/>
                <w:lang w:val="zh-CN"/>
                <w:highlight w:val="none"/>
              </w:rPr>
              <w:t>t/a。项目防护用具主要为工作人员使用的防护服、手套及在地面清理过程中产生的沾染电解液的废抹布等，根据建设单位提供资料，废电池分类装卸工作人员为</w:t>
            </w:r>
            <w:r>
              <w:rPr>
                <w:rFonts w:hint="eastAsia"/>
                <w:color w:val="auto"/>
                <w:sz w:val="24"/>
                <w:lang w:val="en-US" w:eastAsia="zh-CN"/>
                <w:highlight w:val="none"/>
              </w:rPr>
              <w:t>6</w:t>
            </w:r>
            <w:r>
              <w:rPr>
                <w:rFonts w:hint="eastAsia"/>
                <w:color w:val="auto"/>
                <w:sz w:val="24"/>
                <w:lang w:val="zh-CN"/>
                <w:highlight w:val="none"/>
              </w:rPr>
              <w:t>人，防护服及手套产生量以0.25kg/人</w:t>
            </w:r>
            <w:r>
              <w:rPr>
                <w:rFonts w:ascii="微软雅黑" w:eastAsia="微软雅黑" w:cs="微软雅黑" w:hAnsi="微软雅黑" w:hint="eastAsia"/>
                <w:color w:val="auto"/>
                <w:sz w:val="24"/>
                <w:lang w:val="zh-CN"/>
                <w:highlight w:val="none"/>
              </w:rPr>
              <w:t>∙</w:t>
            </w:r>
            <w:r>
              <w:rPr>
                <w:color w:val="auto"/>
                <w:sz w:val="24"/>
                <w:highlight w:val="none"/>
              </w:rPr>
              <w:t>d</w:t>
            </w:r>
            <w:r>
              <w:rPr>
                <w:rFonts w:hint="eastAsia"/>
                <w:color w:val="auto"/>
                <w:sz w:val="24"/>
                <w:lang w:val="zh-CN"/>
                <w:highlight w:val="none"/>
              </w:rPr>
              <w:t>计，废防护服及手套产生量为0.</w:t>
            </w:r>
            <w:r>
              <w:rPr>
                <w:rFonts w:hint="eastAsia"/>
                <w:color w:val="auto"/>
                <w:sz w:val="24"/>
                <w:lang w:val="en-US" w:eastAsia="zh-CN"/>
                <w:highlight w:val="none"/>
              </w:rPr>
              <w:t>45</w:t>
            </w:r>
            <w:r>
              <w:rPr>
                <w:rFonts w:hint="eastAsia"/>
                <w:color w:val="auto"/>
                <w:sz w:val="24"/>
                <w:lang w:val="zh-CN"/>
                <w:highlight w:val="none"/>
              </w:rPr>
              <w:t>t/a；废抹布产生量为0.0</w:t>
            </w:r>
            <w:r>
              <w:rPr>
                <w:rFonts w:hint="eastAsia"/>
                <w:color w:val="auto"/>
                <w:sz w:val="24"/>
                <w:lang w:val="en-US" w:eastAsia="zh-CN"/>
                <w:highlight w:val="none"/>
              </w:rPr>
              <w:t>1</w:t>
            </w:r>
            <w:r>
              <w:rPr>
                <w:rFonts w:hint="eastAsia"/>
                <w:color w:val="auto"/>
                <w:sz w:val="24"/>
                <w:lang w:val="zh-CN"/>
                <w:highlight w:val="none"/>
              </w:rPr>
              <w:t>t/a。</w:t>
            </w:r>
            <w:r>
              <w:rPr>
                <w:rFonts w:hint="eastAsia"/>
                <w:color w:val="auto"/>
                <w:sz w:val="24"/>
                <w:highlight w:val="none"/>
              </w:rPr>
              <w:t>分类</w:t>
            </w:r>
            <w:r>
              <w:rPr>
                <w:rFonts w:hint="eastAsia"/>
                <w:color w:val="auto"/>
                <w:sz w:val="24"/>
                <w:lang w:val="zh-CN"/>
                <w:highlight w:val="none"/>
              </w:rPr>
              <w:t>收集后暂存于危废暂存间，定期交由有资质的单位处理。</w:t>
            </w:r>
          </w:p>
          <w:p>
            <w:pPr>
              <w:keepNext w:val="0"/>
              <w:keepLines/>
              <w:pageBreakBefore w:val="0"/>
              <w:kinsoku/>
              <w:wordWrap/>
              <w:overflowPunct/>
              <w:topLinePunct w:val="0"/>
              <w:autoSpaceDE/>
              <w:autoSpaceDN/>
              <w:bidi w:val="0"/>
              <w:adjustRightInd w:val="0"/>
              <w:snapToGrid w:val="0"/>
              <w:spacing w:line="460" w:lineRule="exact"/>
              <w:ind w:firstLineChars="200" w:firstLine="480"/>
              <w:rPr>
                <w:rFonts w:hint="eastAsia"/>
                <w:color w:val="auto"/>
                <w:sz w:val="24"/>
                <w:highlight w:val="none"/>
              </w:rPr>
            </w:pPr>
            <w:r>
              <w:rPr>
                <w:rFonts w:hint="eastAsia"/>
                <w:color w:val="auto"/>
                <w:sz w:val="24"/>
                <w:lang w:eastAsia="zh-CN"/>
                <w:highlight w:val="none"/>
              </w:rPr>
              <w:t>②</w:t>
            </w:r>
            <w:r>
              <w:rPr>
                <w:rFonts w:hint="eastAsia"/>
                <w:color w:val="auto"/>
                <w:sz w:val="24"/>
                <w:highlight w:val="none"/>
              </w:rPr>
              <w:t>职工生活垃圾</w:t>
            </w:r>
          </w:p>
          <w:p>
            <w:pPr>
              <w:keepNext w:val="0"/>
              <w:keepLines/>
              <w:pageBreakBefore w:val="0"/>
              <w:kinsoku/>
              <w:wordWrap/>
              <w:overflowPunct/>
              <w:topLinePunct w:val="0"/>
              <w:autoSpaceDE/>
              <w:autoSpaceDN/>
              <w:bidi w:val="0"/>
              <w:adjustRightInd w:val="0"/>
              <w:snapToGrid w:val="0"/>
              <w:spacing w:line="460" w:lineRule="exact"/>
              <w:ind w:firstLineChars="200" w:firstLine="480"/>
              <w:rPr>
                <w:color w:val="auto"/>
                <w:sz w:val="24"/>
                <w:highlight w:val="none"/>
              </w:rPr>
            </w:pPr>
            <w:r>
              <w:rPr>
                <w:color w:val="auto"/>
                <w:sz w:val="24"/>
                <w:highlight w:val="none"/>
              </w:rPr>
              <w:t>生活垃圾产生量按0.5kg/人</w:t>
            </w:r>
            <w:r>
              <w:rPr>
                <w:rFonts w:ascii="微软雅黑" w:eastAsia="微软雅黑" w:cs="微软雅黑" w:hAnsi="微软雅黑" w:hint="eastAsia"/>
                <w:color w:val="auto"/>
                <w:sz w:val="24"/>
                <w:lang w:val="zh-CN"/>
                <w:highlight w:val="none"/>
              </w:rPr>
              <w:t>∙</w:t>
            </w:r>
            <w:r>
              <w:rPr>
                <w:color w:val="auto"/>
                <w:sz w:val="24"/>
                <w:highlight w:val="none"/>
              </w:rPr>
              <w:t>d计，项目劳动定员</w:t>
            </w:r>
            <w:r>
              <w:rPr>
                <w:rFonts w:hint="eastAsia"/>
                <w:color w:val="auto"/>
                <w:sz w:val="24"/>
                <w:lang w:val="en-US" w:eastAsia="zh-CN"/>
                <w:highlight w:val="none"/>
              </w:rPr>
              <w:t>6</w:t>
            </w:r>
            <w:r>
              <w:rPr>
                <w:color w:val="auto"/>
                <w:sz w:val="24"/>
                <w:highlight w:val="none"/>
              </w:rPr>
              <w:t>人，则生活垃圾产生量为</w:t>
            </w:r>
            <w:r>
              <w:rPr>
                <w:rFonts w:hint="eastAsia"/>
                <w:color w:val="auto"/>
                <w:sz w:val="24"/>
                <w:lang w:val="en-US" w:eastAsia="zh-CN"/>
                <w:highlight w:val="none"/>
              </w:rPr>
              <w:t>0.9</w:t>
            </w:r>
            <w:r>
              <w:rPr>
                <w:color w:val="auto"/>
                <w:sz w:val="24"/>
                <w:highlight w:val="none"/>
              </w:rPr>
              <w:t>t/a，收集后由环卫部门统一处置</w:t>
            </w:r>
            <w:r>
              <w:rPr>
                <w:rFonts w:hint="eastAsia"/>
                <w:color w:val="auto"/>
                <w:sz w:val="24"/>
                <w:highlight w:val="none"/>
              </w:rPr>
              <w:t>。</w:t>
            </w:r>
          </w:p>
          <w:p>
            <w:pPr>
              <w:keepNext w:val="0"/>
              <w:keepLines w:val="0"/>
              <w:pageBreakBefore w:val="0"/>
              <w:widowControl w:val="0"/>
              <w:kinsoku/>
              <w:wordWrap/>
              <w:overflowPunct/>
              <w:topLinePunct w:val="0"/>
              <w:autoSpaceDE/>
              <w:autoSpaceDN/>
              <w:bidi w:val="0"/>
              <w:adjustRightInd/>
              <w:snapToGrid/>
              <w:spacing w:line="460" w:lineRule="exact"/>
              <w:ind w:firstLineChars="200" w:firstLine="480"/>
              <w:textAlignment w:val="auto"/>
              <w:rPr>
                <w:rFonts w:ascii="Times New Roman" w:cs="Times New Roman" w:hAnsi="Times New Roman" w:hint="eastAsia"/>
                <w:color w:val="auto"/>
                <w:sz w:val="24"/>
                <w:highlight w:val="none"/>
              </w:rPr>
            </w:pPr>
            <w:r>
              <w:rPr>
                <w:rFonts w:hint="eastAsia"/>
                <w:color w:val="auto"/>
                <w:sz w:val="24"/>
                <w:highlight w:val="none"/>
              </w:rPr>
              <w:t>综上，从项目采用的固废利用及处置方式来分析，对产生的各类固废按其性质分类分区收集，均能得到有效利用</w:t>
            </w:r>
            <w:r>
              <w:rPr>
                <w:rFonts w:ascii="Times New Roman" w:cs="Times New Roman" w:hAnsi="Times New Roman" w:hint="eastAsia"/>
                <w:color w:val="auto"/>
                <w:sz w:val="24"/>
                <w:highlight w:val="none"/>
              </w:rPr>
              <w:t>或妥善处置。</w:t>
            </w:r>
          </w:p>
          <w:p>
            <w:pPr>
              <w:keepNext w:val="0"/>
              <w:keepLines w:val="0"/>
              <w:pageBreakBefore w:val="0"/>
              <w:widowControl/>
              <w:kinsoku/>
              <w:wordWrap/>
              <w:overflowPunct/>
              <w:topLinePunct w:val="0"/>
              <w:autoSpaceDE/>
              <w:autoSpaceDN/>
              <w:bidi w:val="0"/>
              <w:adjustRightInd/>
              <w:snapToGrid/>
              <w:spacing w:line="460" w:lineRule="exact"/>
              <w:ind w:firstLineChars="200" w:firstLine="480"/>
              <w:textAlignment w:val="center"/>
              <w:rPr>
                <w:rFonts w:ascii="Times New Roman" w:eastAsia="宋体" w:cs="Times New Roman" w:hAnsi="Times New Roman" w:hint="eastAsia"/>
                <w:color w:val="auto"/>
                <w:sz w:val="24"/>
                <w:lang w:val="en-US" w:eastAsia="zh-CN"/>
                <w:highlight w:val="none"/>
              </w:rPr>
            </w:pPr>
            <w:r>
              <w:rPr>
                <w:rFonts w:ascii="Times New Roman" w:eastAsia="宋体" w:cs="Times New Roman" w:hAnsi="Times New Roman" w:hint="eastAsia"/>
                <w:color w:val="auto"/>
                <w:sz w:val="24"/>
                <w:lang w:val="en-US" w:eastAsia="zh-CN"/>
                <w:highlight w:val="none"/>
              </w:rPr>
              <w:t>根据《建设项目危险废物环境影响评价指南》（环保部公告2017年第43号），危险废物贮存情况见下：</w:t>
            </w:r>
          </w:p>
          <w:p>
            <w:pPr>
              <w:jc w:val="center"/>
              <w:rPr>
                <w:rFonts w:ascii="Times New Roman" w:eastAsia="宋体" w:cs="Times New Roman" w:hAnsi="Times New Roman" w:hint="eastAsia"/>
                <w:b/>
                <w:bCs/>
                <w:snapToGrid w:val="0"/>
                <w:color w:val="auto"/>
                <w:kern w:val="0"/>
                <w:sz w:val="24"/>
                <w:lang w:val="en-US" w:eastAsia="zh-CN"/>
                <w:highlight w:val="none"/>
              </w:rPr>
            </w:pPr>
            <w:r>
              <w:rPr>
                <w:rFonts w:ascii="Times New Roman" w:eastAsia="宋体" w:cs="Times New Roman" w:hAnsi="Times New Roman" w:hint="eastAsia"/>
                <w:b/>
                <w:bCs/>
                <w:snapToGrid w:val="0"/>
                <w:color w:val="auto"/>
                <w:kern w:val="0"/>
                <w:sz w:val="24"/>
                <w:lang w:val="en-US" w:eastAsia="zh-CN"/>
                <w:highlight w:val="none"/>
              </w:rPr>
              <w:t>表4-</w:t>
            </w:r>
            <w:r>
              <w:rPr>
                <w:rFonts w:cs="Times New Roman" w:hint="eastAsia"/>
                <w:b/>
                <w:bCs/>
                <w:snapToGrid w:val="0"/>
                <w:color w:val="auto"/>
                <w:kern w:val="0"/>
                <w:sz w:val="24"/>
                <w:lang w:val="en-US" w:eastAsia="zh-CN"/>
                <w:highlight w:val="none"/>
              </w:rPr>
              <w:t>8</w:t>
            </w:r>
            <w:r>
              <w:rPr>
                <w:rFonts w:ascii="Times New Roman" w:eastAsia="宋体" w:cs="Times New Roman" w:hAnsi="Times New Roman" w:hint="eastAsia"/>
                <w:b/>
                <w:bCs/>
                <w:snapToGrid w:val="0"/>
                <w:color w:val="auto"/>
                <w:kern w:val="0"/>
                <w:sz w:val="24"/>
                <w:lang w:val="en-US" w:eastAsia="zh-CN"/>
                <w:highlight w:val="none"/>
              </w:rPr>
              <w:t xml:space="preserve">  工程分析中危险废物汇总样表</w:t>
            </w:r>
          </w:p>
          <w:tbl>
            <w:tblPr>
              <w:jc w:val="center"/>
              <w:tblW w:w="4997" w:type="pct"/>
              <w:tblBorders>
                <w:top w:val="single" w:sz="12" w:space="0" w:color="auto"/>
                <w:left w:val="none" w:sz="0" w:space="0" w:color="auto"/>
                <w:bottom w:val="single" w:sz="12" w:space="0" w:color="auto"/>
                <w:right w:val="none" w:sz="0" w:space="0" w:color="auto"/>
                <w:insideH w:val="single" w:sz="4" w:space="0" w:color="auto"/>
                <w:insideV w:val="single" w:sz="4" w:space="0" w:color="auto"/>
              </w:tblBorders>
              <w:tblLayout w:type="fixed"/>
              <w:tblCellMar>
                <w:top w:w="0" w:type="dxa"/>
                <w:left w:w="108" w:type="dxa"/>
                <w:bottom w:w="0" w:type="dxa"/>
                <w:right w:w="108" w:type="dxa"/>
              </w:tblCellMar>
              <w:tblLook w:val="0600" w:firstRow="0" w:lastRow="0" w:firstColumn="0" w:lastColumn="0" w:noHBand="1" w:noVBand="1"/>
            </w:tblPr>
            <w:tblGrid>
              <w:gridCol w:w="468"/>
              <w:gridCol w:w="1148"/>
              <w:gridCol w:w="878"/>
              <w:gridCol w:w="1010"/>
              <w:gridCol w:w="909"/>
              <w:gridCol w:w="866"/>
              <w:gridCol w:w="819"/>
              <w:gridCol w:w="646"/>
              <w:gridCol w:w="800"/>
              <w:gridCol w:w="660"/>
              <w:gridCol w:w="710"/>
            </w:tblGrid>
            <w:tr>
              <w:trPr>
                <w:trHeight w:val="340"/>
              </w:trPr>
              <w:tc>
                <w:tcPr>
                  <w:tcW w:w="262" w:type="pct"/>
                  <w:tcBorders>
                    <w:tl2br w:val="nil"/>
                    <w:tr2bl w:val="nil"/>
                  </w:tcBorders>
                  <w:tcMar>
                    <w:left w:w="6" w:type="dxa"/>
                    <w:right w:w="6"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zh-CN" w:eastAsia="zh-CN" w:bidi="ar-SA"/>
                      <w:highlight w:val="none"/>
                    </w:rPr>
                  </w:pPr>
                  <w:r>
                    <w:rPr>
                      <w:rFonts w:ascii="Times New Roman" w:eastAsia="宋体" w:cs="Times New Roman" w:hAnsi="Times New Roman" w:hint="eastAsia"/>
                      <w:bCs/>
                      <w:color w:val="auto"/>
                      <w:kern w:val="0"/>
                      <w:sz w:val="21"/>
                      <w:szCs w:val="21"/>
                      <w:lang w:val="zh-CN" w:eastAsia="zh-CN" w:bidi="ar-SA"/>
                      <w:highlight w:val="none"/>
                    </w:rPr>
                    <w:t>序号</w:t>
                  </w:r>
                </w:p>
              </w:tc>
              <w:tc>
                <w:tcPr>
                  <w:tcW w:w="643" w:type="pct"/>
                  <w:tcBorders>
                    <w:tl2br w:val="nil"/>
                    <w:tr2bl w:val="nil"/>
                  </w:tcBorders>
                  <w:tcMar>
                    <w:left w:w="6" w:type="dxa"/>
                    <w:right w:w="6"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zh-CN" w:eastAsia="zh-CN" w:bidi="ar-SA"/>
                      <w:highlight w:val="none"/>
                    </w:rPr>
                  </w:pPr>
                  <w:r>
                    <w:rPr>
                      <w:rFonts w:ascii="Times New Roman" w:eastAsia="宋体" w:cs="Times New Roman" w:hAnsi="Times New Roman" w:hint="eastAsia"/>
                      <w:bCs/>
                      <w:color w:val="auto"/>
                      <w:kern w:val="0"/>
                      <w:sz w:val="21"/>
                      <w:szCs w:val="21"/>
                      <w:lang w:val="zh-CN" w:eastAsia="zh-CN" w:bidi="ar-SA"/>
                      <w:highlight w:val="none"/>
                    </w:rPr>
                    <w:t>危险废</w:t>
                  </w:r>
                </w:p>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zh-CN" w:eastAsia="zh-CN" w:bidi="ar-SA"/>
                      <w:highlight w:val="none"/>
                    </w:rPr>
                  </w:pPr>
                  <w:r>
                    <w:rPr>
                      <w:rFonts w:ascii="Times New Roman" w:eastAsia="宋体" w:cs="Times New Roman" w:hAnsi="Times New Roman" w:hint="eastAsia"/>
                      <w:bCs/>
                      <w:color w:val="auto"/>
                      <w:kern w:val="0"/>
                      <w:sz w:val="21"/>
                      <w:szCs w:val="21"/>
                      <w:lang w:val="zh-CN" w:eastAsia="zh-CN" w:bidi="ar-SA"/>
                      <w:highlight w:val="none"/>
                    </w:rPr>
                    <w:t>物名称</w:t>
                  </w:r>
                </w:p>
              </w:tc>
              <w:tc>
                <w:tcPr>
                  <w:tcW w:w="492" w:type="pct"/>
                  <w:tcBorders>
                    <w:tl2br w:val="nil"/>
                    <w:tr2bl w:val="nil"/>
                  </w:tcBorders>
                  <w:tcMar>
                    <w:left w:w="6" w:type="dxa"/>
                    <w:right w:w="6"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zh-CN" w:eastAsia="zh-CN" w:bidi="ar-SA"/>
                      <w:highlight w:val="none"/>
                    </w:rPr>
                  </w:pPr>
                  <w:r>
                    <w:rPr>
                      <w:rFonts w:ascii="Times New Roman" w:eastAsia="宋体" w:cs="Times New Roman" w:hAnsi="Times New Roman" w:hint="eastAsia"/>
                      <w:bCs/>
                      <w:color w:val="auto"/>
                      <w:kern w:val="0"/>
                      <w:sz w:val="21"/>
                      <w:szCs w:val="21"/>
                      <w:lang w:val="zh-CN" w:eastAsia="zh-CN" w:bidi="ar-SA"/>
                      <w:highlight w:val="none"/>
                    </w:rPr>
                    <w:t>危险废</w:t>
                  </w:r>
                </w:p>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en-US" w:eastAsia="zh-CN" w:bidi="ar-SA"/>
                      <w:highlight w:val="none"/>
                    </w:rPr>
                  </w:pPr>
                  <w:r>
                    <w:rPr>
                      <w:rFonts w:ascii="Times New Roman" w:eastAsia="宋体" w:cs="Times New Roman" w:hAnsi="Times New Roman" w:hint="eastAsia"/>
                      <w:bCs/>
                      <w:color w:val="auto"/>
                      <w:kern w:val="0"/>
                      <w:sz w:val="21"/>
                      <w:szCs w:val="21"/>
                      <w:lang w:val="zh-CN" w:eastAsia="zh-CN" w:bidi="ar-SA"/>
                      <w:highlight w:val="none"/>
                    </w:rPr>
                    <w:t>物类别</w:t>
                  </w:r>
                </w:p>
              </w:tc>
              <w:tc>
                <w:tcPr>
                  <w:tcW w:w="566" w:type="pct"/>
                  <w:tcBorders>
                    <w:tl2br w:val="nil"/>
                    <w:tr2bl w:val="nil"/>
                  </w:tcBorders>
                  <w:tcMar>
                    <w:left w:w="6" w:type="dxa"/>
                    <w:right w:w="6"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zh-CN" w:eastAsia="zh-CN" w:bidi="ar-SA"/>
                      <w:highlight w:val="none"/>
                    </w:rPr>
                  </w:pPr>
                  <w:r>
                    <w:rPr>
                      <w:rFonts w:ascii="Times New Roman" w:eastAsia="宋体" w:cs="Times New Roman" w:hAnsi="Times New Roman" w:hint="eastAsia"/>
                      <w:bCs/>
                      <w:color w:val="auto"/>
                      <w:kern w:val="0"/>
                      <w:sz w:val="21"/>
                      <w:szCs w:val="21"/>
                      <w:lang w:val="zh-CN" w:eastAsia="zh-CN" w:bidi="ar-SA"/>
                      <w:highlight w:val="none"/>
                    </w:rPr>
                    <w:t>危险废</w:t>
                  </w:r>
                </w:p>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en-US" w:eastAsia="zh-CN" w:bidi="ar-SA"/>
                      <w:highlight w:val="none"/>
                    </w:rPr>
                  </w:pPr>
                  <w:r>
                    <w:rPr>
                      <w:rFonts w:ascii="Times New Roman" w:eastAsia="宋体" w:cs="Times New Roman" w:hAnsi="Times New Roman" w:hint="eastAsia"/>
                      <w:bCs/>
                      <w:color w:val="auto"/>
                      <w:kern w:val="0"/>
                      <w:sz w:val="21"/>
                      <w:szCs w:val="21"/>
                      <w:lang w:val="zh-CN" w:eastAsia="zh-CN" w:bidi="ar-SA"/>
                      <w:highlight w:val="none"/>
                    </w:rPr>
                    <w:t>物代码</w:t>
                  </w:r>
                </w:p>
              </w:tc>
              <w:tc>
                <w:tcPr>
                  <w:tcW w:w="509" w:type="pct"/>
                  <w:tcBorders>
                    <w:tl2br w:val="nil"/>
                    <w:tr2bl w:val="nil"/>
                  </w:tcBorders>
                  <w:tcMar>
                    <w:left w:w="6" w:type="dxa"/>
                    <w:right w:w="6"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zh-CN" w:eastAsia="zh-CN" w:bidi="ar-SA"/>
                      <w:highlight w:val="none"/>
                    </w:rPr>
                  </w:pPr>
                  <w:r>
                    <w:rPr>
                      <w:rFonts w:ascii="Times New Roman" w:eastAsia="宋体" w:cs="Times New Roman" w:hAnsi="Times New Roman" w:hint="eastAsia"/>
                      <w:bCs/>
                      <w:color w:val="auto"/>
                      <w:kern w:val="0"/>
                      <w:sz w:val="21"/>
                      <w:szCs w:val="21"/>
                      <w:lang w:val="zh-CN" w:eastAsia="zh-CN" w:bidi="ar-SA"/>
                      <w:highlight w:val="none"/>
                    </w:rPr>
                    <w:t>产生量（t/a）</w:t>
                  </w:r>
                </w:p>
              </w:tc>
              <w:tc>
                <w:tcPr>
                  <w:tcW w:w="485" w:type="pct"/>
                  <w:tcBorders>
                    <w:tl2br w:val="nil"/>
                    <w:tr2bl w:val="nil"/>
                  </w:tcBorders>
                  <w:tcMar>
                    <w:left w:w="6" w:type="dxa"/>
                    <w:right w:w="6"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zh-CN" w:eastAsia="zh-CN" w:bidi="ar-SA"/>
                      <w:highlight w:val="none"/>
                    </w:rPr>
                  </w:pPr>
                  <w:r>
                    <w:rPr>
                      <w:rFonts w:ascii="Times New Roman" w:eastAsia="宋体" w:cs="Times New Roman" w:hAnsi="Times New Roman" w:hint="eastAsia"/>
                      <w:bCs/>
                      <w:color w:val="auto"/>
                      <w:kern w:val="0"/>
                      <w:sz w:val="21"/>
                      <w:szCs w:val="21"/>
                      <w:lang w:val="zh-CN" w:eastAsia="zh-CN" w:bidi="ar-SA"/>
                      <w:highlight w:val="none"/>
                    </w:rPr>
                    <w:t>物态</w:t>
                  </w:r>
                </w:p>
              </w:tc>
              <w:tc>
                <w:tcPr>
                  <w:tcW w:w="459" w:type="pct"/>
                  <w:tcBorders>
                    <w:tl2br w:val="nil"/>
                    <w:tr2bl w:val="nil"/>
                  </w:tcBorders>
                  <w:tcMar>
                    <w:left w:w="6" w:type="dxa"/>
                    <w:right w:w="6"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zh-CN" w:eastAsia="zh-CN" w:bidi="ar-SA"/>
                      <w:highlight w:val="none"/>
                    </w:rPr>
                  </w:pPr>
                  <w:r>
                    <w:rPr>
                      <w:rFonts w:ascii="Times New Roman" w:eastAsia="宋体" w:cs="Times New Roman" w:hAnsi="Times New Roman" w:hint="eastAsia"/>
                      <w:bCs/>
                      <w:color w:val="auto"/>
                      <w:kern w:val="0"/>
                      <w:sz w:val="21"/>
                      <w:szCs w:val="21"/>
                      <w:lang w:val="zh-CN" w:eastAsia="zh-CN" w:bidi="ar-SA"/>
                      <w:highlight w:val="none"/>
                    </w:rPr>
                    <w:t>主要</w:t>
                  </w:r>
                </w:p>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zh-CN" w:eastAsia="zh-CN" w:bidi="ar-SA"/>
                      <w:highlight w:val="none"/>
                    </w:rPr>
                  </w:pPr>
                  <w:r>
                    <w:rPr>
                      <w:rFonts w:ascii="Times New Roman" w:eastAsia="宋体" w:cs="Times New Roman" w:hAnsi="Times New Roman" w:hint="eastAsia"/>
                      <w:bCs/>
                      <w:color w:val="auto"/>
                      <w:kern w:val="0"/>
                      <w:sz w:val="21"/>
                      <w:szCs w:val="21"/>
                      <w:lang w:val="zh-CN" w:eastAsia="zh-CN" w:bidi="ar-SA"/>
                      <w:highlight w:val="none"/>
                    </w:rPr>
                    <w:t>成分</w:t>
                  </w:r>
                </w:p>
              </w:tc>
              <w:tc>
                <w:tcPr>
                  <w:tcW w:w="362" w:type="pct"/>
                  <w:tcBorders>
                    <w:tl2br w:val="nil"/>
                    <w:tr2bl w:val="nil"/>
                  </w:tcBorders>
                  <w:tcMar>
                    <w:left w:w="6" w:type="dxa"/>
                    <w:right w:w="6"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zh-CN" w:eastAsia="zh-CN" w:bidi="ar-SA"/>
                      <w:highlight w:val="none"/>
                    </w:rPr>
                  </w:pPr>
                  <w:r>
                    <w:rPr>
                      <w:rFonts w:ascii="Times New Roman" w:eastAsia="宋体" w:cs="Times New Roman" w:hAnsi="Times New Roman" w:hint="eastAsia"/>
                      <w:bCs/>
                      <w:color w:val="auto"/>
                      <w:kern w:val="0"/>
                      <w:sz w:val="21"/>
                      <w:szCs w:val="21"/>
                      <w:lang w:val="zh-CN" w:eastAsia="zh-CN" w:bidi="ar-SA"/>
                      <w:highlight w:val="none"/>
                    </w:rPr>
                    <w:t>有害</w:t>
                  </w:r>
                </w:p>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zh-CN" w:eastAsia="zh-CN" w:bidi="ar-SA"/>
                      <w:highlight w:val="none"/>
                    </w:rPr>
                  </w:pPr>
                  <w:r>
                    <w:rPr>
                      <w:rFonts w:ascii="Times New Roman" w:eastAsia="宋体" w:cs="Times New Roman" w:hAnsi="Times New Roman" w:hint="eastAsia"/>
                      <w:bCs/>
                      <w:color w:val="auto"/>
                      <w:kern w:val="0"/>
                      <w:sz w:val="21"/>
                      <w:szCs w:val="21"/>
                      <w:lang w:val="zh-CN" w:eastAsia="zh-CN" w:bidi="ar-SA"/>
                      <w:highlight w:val="none"/>
                    </w:rPr>
                    <w:t>成分</w:t>
                  </w:r>
                </w:p>
              </w:tc>
              <w:tc>
                <w:tcPr>
                  <w:tcW w:w="448" w:type="pct"/>
                  <w:tcBorders>
                    <w:tl2br w:val="nil"/>
                    <w:tr2bl w:val="nil"/>
                  </w:tcBorders>
                  <w:tcMar>
                    <w:left w:w="6" w:type="dxa"/>
                    <w:right w:w="6"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zh-CN" w:eastAsia="zh-CN" w:bidi="ar-SA"/>
                      <w:highlight w:val="none"/>
                    </w:rPr>
                  </w:pPr>
                  <w:r>
                    <w:rPr>
                      <w:rFonts w:ascii="Times New Roman" w:eastAsia="宋体" w:cs="Times New Roman" w:hAnsi="Times New Roman" w:hint="eastAsia"/>
                      <w:bCs/>
                      <w:color w:val="auto"/>
                      <w:kern w:val="0"/>
                      <w:sz w:val="21"/>
                      <w:szCs w:val="21"/>
                      <w:lang w:val="zh-CN" w:eastAsia="zh-CN" w:bidi="ar-SA"/>
                      <w:highlight w:val="none"/>
                    </w:rPr>
                    <w:t>产废</w:t>
                  </w:r>
                </w:p>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zh-CN" w:eastAsia="zh-CN" w:bidi="ar-SA"/>
                      <w:highlight w:val="none"/>
                    </w:rPr>
                  </w:pPr>
                  <w:r>
                    <w:rPr>
                      <w:rFonts w:ascii="Times New Roman" w:eastAsia="宋体" w:cs="Times New Roman" w:hAnsi="Times New Roman" w:hint="eastAsia"/>
                      <w:bCs/>
                      <w:color w:val="auto"/>
                      <w:kern w:val="0"/>
                      <w:sz w:val="21"/>
                      <w:szCs w:val="21"/>
                      <w:lang w:val="zh-CN" w:eastAsia="zh-CN" w:bidi="ar-SA"/>
                      <w:highlight w:val="none"/>
                    </w:rPr>
                    <w:t>周期</w:t>
                  </w:r>
                </w:p>
              </w:tc>
              <w:tc>
                <w:tcPr>
                  <w:tcW w:w="370" w:type="pct"/>
                  <w:tcBorders>
                    <w:tl2br w:val="nil"/>
                    <w:tr2bl w:val="nil"/>
                  </w:tcBorders>
                  <w:tcMar>
                    <w:left w:w="6" w:type="dxa"/>
                    <w:right w:w="6"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zh-CN" w:eastAsia="zh-CN" w:bidi="ar-SA"/>
                      <w:highlight w:val="none"/>
                    </w:rPr>
                  </w:pPr>
                  <w:r>
                    <w:rPr>
                      <w:rFonts w:ascii="Times New Roman" w:eastAsia="宋体" w:cs="Times New Roman" w:hAnsi="Times New Roman" w:hint="eastAsia"/>
                      <w:bCs/>
                      <w:color w:val="auto"/>
                      <w:kern w:val="0"/>
                      <w:sz w:val="21"/>
                      <w:szCs w:val="21"/>
                      <w:lang w:val="zh-CN" w:eastAsia="zh-CN" w:bidi="ar-SA"/>
                      <w:highlight w:val="none"/>
                    </w:rPr>
                    <w:t>危险</w:t>
                  </w:r>
                </w:p>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zh-CN" w:eastAsia="zh-CN" w:bidi="ar-SA"/>
                      <w:highlight w:val="none"/>
                    </w:rPr>
                  </w:pPr>
                  <w:r>
                    <w:rPr>
                      <w:rFonts w:ascii="Times New Roman" w:eastAsia="宋体" w:cs="Times New Roman" w:hAnsi="Times New Roman" w:hint="eastAsia"/>
                      <w:bCs/>
                      <w:color w:val="auto"/>
                      <w:kern w:val="0"/>
                      <w:sz w:val="21"/>
                      <w:szCs w:val="21"/>
                      <w:lang w:val="zh-CN" w:eastAsia="zh-CN" w:bidi="ar-SA"/>
                      <w:highlight w:val="none"/>
                    </w:rPr>
                    <w:t>特性</w:t>
                  </w:r>
                </w:p>
              </w:tc>
              <w:tc>
                <w:tcPr>
                  <w:tcW w:w="398" w:type="pct"/>
                  <w:tcBorders>
                    <w:tl2br w:val="nil"/>
                    <w:tr2bl w:val="nil"/>
                  </w:tcBorders>
                  <w:tcMar>
                    <w:left w:w="6" w:type="dxa"/>
                    <w:right w:w="6"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en-US" w:eastAsia="zh-CN" w:bidi="ar-SA"/>
                      <w:highlight w:val="none"/>
                    </w:rPr>
                  </w:pPr>
                  <w:r>
                    <w:rPr>
                      <w:rFonts w:ascii="Times New Roman" w:eastAsia="宋体" w:cs="Times New Roman" w:hAnsi="Times New Roman" w:hint="eastAsia"/>
                      <w:bCs/>
                      <w:color w:val="auto"/>
                      <w:kern w:val="0"/>
                      <w:sz w:val="21"/>
                      <w:szCs w:val="21"/>
                      <w:lang w:val="en-US" w:eastAsia="zh-CN" w:bidi="ar-SA"/>
                      <w:highlight w:val="none"/>
                    </w:rPr>
                    <w:t>处置方式</w:t>
                  </w:r>
                </w:p>
              </w:tc>
            </w:tr>
            <w:tr>
              <w:trPr>
                <w:trHeight w:val="340"/>
              </w:trPr>
              <w:tc>
                <w:tcPr>
                  <w:tcW w:w="262" w:type="pct"/>
                  <w:tcBorders>
                    <w:tl2br w:val="nil"/>
                    <w:tr2bl w:val="nil"/>
                  </w:tcBorders>
                  <w:tcMar>
                    <w:left w:w="6" w:type="dxa"/>
                    <w:right w:w="6"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en-US" w:eastAsia="zh-CN" w:bidi="ar-SA"/>
                      <w:highlight w:val="none"/>
                    </w:rPr>
                  </w:pPr>
                  <w:r>
                    <w:rPr>
                      <w:rFonts w:ascii="Times New Roman" w:eastAsia="宋体" w:cs="Times New Roman" w:hAnsi="Times New Roman" w:hint="eastAsia"/>
                      <w:bCs/>
                      <w:color w:val="auto"/>
                      <w:kern w:val="0"/>
                      <w:sz w:val="21"/>
                      <w:szCs w:val="21"/>
                      <w:lang w:val="en-US" w:eastAsia="zh-CN" w:bidi="ar-SA"/>
                      <w:highlight w:val="none"/>
                    </w:rPr>
                    <w:t>1</w:t>
                  </w:r>
                </w:p>
              </w:tc>
              <w:tc>
                <w:tcPr>
                  <w:tcW w:w="643" w:type="pct"/>
                  <w:tcBorders>
                    <w:tl2br w:val="nil"/>
                    <w:tr2bl w:val="nil"/>
                  </w:tcBorders>
                  <w:tcMar>
                    <w:left w:w="6" w:type="dxa"/>
                    <w:right w:w="6"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zh-CN" w:eastAsia="zh-CN" w:bidi="ar-SA"/>
                      <w:highlight w:val="none"/>
                    </w:rPr>
                  </w:pPr>
                  <w:r>
                    <w:rPr>
                      <w:rFonts w:ascii="Times New Roman" w:eastAsia="宋体" w:cs="Times New Roman" w:hAnsi="Times New Roman" w:hint="eastAsia"/>
                      <w:bCs/>
                      <w:color w:val="auto"/>
                      <w:kern w:val="0"/>
                      <w:sz w:val="21"/>
                      <w:szCs w:val="21"/>
                      <w:lang w:val="zh-CN" w:eastAsia="zh-CN" w:bidi="ar-SA"/>
                      <w:highlight w:val="none"/>
                    </w:rPr>
                    <w:t>废电解液</w:t>
                  </w:r>
                </w:p>
              </w:tc>
              <w:tc>
                <w:tcPr>
                  <w:tcW w:w="492" w:type="pct"/>
                  <w:tcBorders>
                    <w:tl2br w:val="nil"/>
                    <w:tr2bl w:val="nil"/>
                  </w:tcBorders>
                  <w:tcMar>
                    <w:left w:w="6" w:type="dxa"/>
                    <w:right w:w="6"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zh-CN" w:eastAsia="zh-CN" w:bidi="ar-SA"/>
                      <w:highlight w:val="none"/>
                    </w:rPr>
                  </w:pPr>
                  <w:r>
                    <w:rPr>
                      <w:rFonts w:ascii="Times New Roman" w:eastAsia="宋体" w:cs="Times New Roman" w:hAnsi="Times New Roman" w:hint="eastAsia"/>
                      <w:bCs/>
                      <w:color w:val="auto"/>
                      <w:kern w:val="0"/>
                      <w:sz w:val="21"/>
                      <w:szCs w:val="21"/>
                      <w:lang w:val="zh-CN" w:eastAsia="zh-CN" w:bidi="ar-SA"/>
                      <w:highlight w:val="none"/>
                    </w:rPr>
                    <w:t>HW31</w:t>
                  </w:r>
                </w:p>
              </w:tc>
              <w:tc>
                <w:tcPr>
                  <w:tcW w:w="566" w:type="pct"/>
                  <w:tcBorders>
                    <w:tl2br w:val="nil"/>
                    <w:tr2bl w:val="nil"/>
                  </w:tcBorders>
                  <w:tcMar>
                    <w:left w:w="6" w:type="dxa"/>
                    <w:right w:w="6"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zh-CN" w:eastAsia="zh-CN" w:bidi="ar-SA"/>
                      <w:highlight w:val="none"/>
                    </w:rPr>
                  </w:pPr>
                  <w:r>
                    <w:rPr>
                      <w:rFonts w:ascii="Times New Roman" w:eastAsia="宋体" w:cs="Times New Roman" w:hAnsi="Times New Roman" w:hint="eastAsia"/>
                      <w:bCs/>
                      <w:color w:val="auto"/>
                      <w:kern w:val="0"/>
                      <w:sz w:val="21"/>
                      <w:szCs w:val="21"/>
                      <w:lang w:val="zh-CN" w:eastAsia="zh-CN" w:bidi="ar-SA"/>
                      <w:highlight w:val="none"/>
                    </w:rPr>
                    <w:t>900-052-</w:t>
                  </w:r>
                </w:p>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zh-CN" w:eastAsia="zh-CN" w:bidi="ar-SA"/>
                      <w:highlight w:val="none"/>
                    </w:rPr>
                  </w:pPr>
                  <w:r>
                    <w:rPr>
                      <w:rFonts w:ascii="Times New Roman" w:eastAsia="宋体" w:cs="Times New Roman" w:hAnsi="Times New Roman" w:hint="eastAsia"/>
                      <w:bCs/>
                      <w:color w:val="auto"/>
                      <w:kern w:val="0"/>
                      <w:sz w:val="21"/>
                      <w:szCs w:val="21"/>
                      <w:lang w:val="zh-CN" w:eastAsia="zh-CN" w:bidi="ar-SA"/>
                      <w:highlight w:val="none"/>
                    </w:rPr>
                    <w:t>31</w:t>
                  </w:r>
                </w:p>
              </w:tc>
              <w:tc>
                <w:tcPr>
                  <w:tcW w:w="509" w:type="pct"/>
                  <w:tcBorders>
                    <w:tl2br w:val="nil"/>
                    <w:tr2bl w:val="nil"/>
                  </w:tcBorders>
                  <w:tcMar>
                    <w:left w:w="6" w:type="dxa"/>
                    <w:right w:w="6"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bCs/>
                      <w:color w:val="auto"/>
                      <w:kern w:val="0"/>
                      <w:sz w:val="21"/>
                      <w:szCs w:val="21"/>
                      <w:lang w:val="en-US" w:eastAsia="zh-CN" w:bidi="ar-SA"/>
                      <w:highlight w:val="none"/>
                    </w:rPr>
                  </w:pPr>
                  <w:r>
                    <w:rPr>
                      <w:rFonts w:cs="Times New Roman" w:hint="eastAsia"/>
                      <w:bCs/>
                      <w:color w:val="auto"/>
                      <w:kern w:val="0"/>
                      <w:sz w:val="21"/>
                      <w:szCs w:val="21"/>
                      <w:lang w:val="en-US" w:eastAsia="zh-CN" w:bidi="ar-SA"/>
                      <w:highlight w:val="none"/>
                    </w:rPr>
                    <w:t>4.5</w:t>
                  </w:r>
                </w:p>
              </w:tc>
              <w:tc>
                <w:tcPr>
                  <w:tcW w:w="485" w:type="pct"/>
                  <w:tcBorders>
                    <w:tl2br w:val="nil"/>
                    <w:tr2bl w:val="nil"/>
                  </w:tcBorders>
                  <w:tcMar>
                    <w:left w:w="6" w:type="dxa"/>
                    <w:right w:w="6"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zh-CN" w:eastAsia="zh-CN" w:bidi="ar-SA"/>
                      <w:highlight w:val="none"/>
                    </w:rPr>
                  </w:pPr>
                  <w:r>
                    <w:rPr>
                      <w:rFonts w:ascii="Times New Roman" w:eastAsia="宋体" w:cs="Times New Roman" w:hAnsi="Times New Roman" w:hint="eastAsia"/>
                      <w:bCs/>
                      <w:color w:val="auto"/>
                      <w:kern w:val="0"/>
                      <w:sz w:val="21"/>
                      <w:szCs w:val="21"/>
                      <w:lang w:val="zh-CN" w:eastAsia="zh-CN" w:bidi="ar-SA"/>
                      <w:highlight w:val="none"/>
                    </w:rPr>
                    <w:t>液态</w:t>
                  </w:r>
                </w:p>
              </w:tc>
              <w:tc>
                <w:tcPr>
                  <w:tcW w:w="459" w:type="pct"/>
                  <w:tcBorders>
                    <w:tl2br w:val="nil"/>
                    <w:tr2bl w:val="nil"/>
                  </w:tcBorders>
                  <w:tcMar>
                    <w:left w:w="6" w:type="dxa"/>
                    <w:right w:w="6"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zh-CN" w:eastAsia="zh-CN" w:bidi="ar-SA"/>
                      <w:highlight w:val="none"/>
                    </w:rPr>
                  </w:pPr>
                  <w:r>
                    <w:rPr>
                      <w:rFonts w:ascii="Times New Roman" w:eastAsia="宋体" w:cs="Times New Roman" w:hAnsi="Times New Roman" w:hint="eastAsia"/>
                      <w:bCs/>
                      <w:color w:val="auto"/>
                      <w:kern w:val="0"/>
                      <w:sz w:val="21"/>
                      <w:szCs w:val="21"/>
                      <w:lang w:val="zh-CN" w:eastAsia="zh-CN" w:bidi="ar-SA"/>
                      <w:highlight w:val="none"/>
                    </w:rPr>
                    <w:t>硫酸</w:t>
                  </w:r>
                </w:p>
              </w:tc>
              <w:tc>
                <w:tcPr>
                  <w:tcW w:w="362" w:type="pct"/>
                  <w:tcBorders>
                    <w:tl2br w:val="nil"/>
                    <w:tr2bl w:val="nil"/>
                  </w:tcBorders>
                  <w:tcMar>
                    <w:left w:w="6" w:type="dxa"/>
                    <w:right w:w="6"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bCs/>
                      <w:color w:val="auto"/>
                      <w:kern w:val="0"/>
                      <w:sz w:val="21"/>
                      <w:szCs w:val="21"/>
                      <w:lang w:val="en-US" w:eastAsia="zh-CN" w:bidi="ar-SA"/>
                      <w:highlight w:val="none"/>
                    </w:rPr>
                  </w:pPr>
                  <w:r>
                    <w:rPr>
                      <w:rFonts w:ascii="Times New Roman" w:eastAsia="宋体" w:cs="Times New Roman" w:hAnsi="Times New Roman" w:hint="eastAsia"/>
                      <w:bCs/>
                      <w:color w:val="auto"/>
                      <w:kern w:val="0"/>
                      <w:sz w:val="21"/>
                      <w:szCs w:val="21"/>
                      <w:lang w:val="zh-CN" w:eastAsia="zh-CN" w:bidi="ar-SA"/>
                      <w:highlight w:val="none"/>
                    </w:rPr>
                    <w:t>硫酸</w:t>
                  </w:r>
                </w:p>
              </w:tc>
              <w:tc>
                <w:tcPr>
                  <w:tcW w:w="448" w:type="pct"/>
                  <w:tcBorders>
                    <w:tl2br w:val="nil"/>
                    <w:tr2bl w:val="nil"/>
                  </w:tcBorders>
                  <w:tcMar>
                    <w:left w:w="6" w:type="dxa"/>
                    <w:right w:w="6"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zh-CN" w:eastAsia="zh-CN" w:bidi="ar-SA"/>
                      <w:highlight w:val="none"/>
                    </w:rPr>
                  </w:pPr>
                  <w:r>
                    <w:rPr>
                      <w:rFonts w:ascii="Times New Roman" w:eastAsia="宋体" w:cs="Times New Roman" w:hAnsi="Times New Roman" w:hint="eastAsia"/>
                      <w:bCs/>
                      <w:color w:val="auto"/>
                      <w:kern w:val="0"/>
                      <w:sz w:val="21"/>
                      <w:szCs w:val="21"/>
                      <w:lang w:val="zh-CN" w:eastAsia="zh-CN" w:bidi="ar-SA"/>
                      <w:highlight w:val="none"/>
                    </w:rPr>
                    <w:t>1次/</w:t>
                  </w:r>
                  <w:r>
                    <w:rPr>
                      <w:rFonts w:cs="Times New Roman" w:hint="eastAsia"/>
                      <w:bCs/>
                      <w:color w:val="auto"/>
                      <w:kern w:val="0"/>
                      <w:sz w:val="21"/>
                      <w:szCs w:val="21"/>
                      <w:lang w:val="en-US" w:eastAsia="zh-CN" w:bidi="ar-SA"/>
                      <w:highlight w:val="none"/>
                    </w:rPr>
                    <w:t>5天</w:t>
                  </w:r>
                </w:p>
              </w:tc>
              <w:tc>
                <w:tcPr>
                  <w:tcW w:w="370" w:type="pct"/>
                  <w:tcBorders>
                    <w:tl2br w:val="nil"/>
                    <w:tr2bl w:val="nil"/>
                  </w:tcBorders>
                  <w:tcMar>
                    <w:left w:w="6" w:type="dxa"/>
                    <w:right w:w="6"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en-US" w:eastAsia="zh-CN" w:bidi="ar-SA"/>
                      <w:highlight w:val="none"/>
                    </w:rPr>
                  </w:pPr>
                  <w:r>
                    <w:rPr>
                      <w:rFonts w:ascii="Times New Roman" w:eastAsia="宋体" w:cs="Times New Roman" w:hAnsi="Times New Roman" w:hint="eastAsia"/>
                      <w:bCs/>
                      <w:color w:val="auto"/>
                      <w:kern w:val="0"/>
                      <w:sz w:val="21"/>
                      <w:szCs w:val="21"/>
                      <w:lang w:val="zh-CN" w:eastAsia="zh-CN" w:bidi="ar-SA"/>
                      <w:highlight w:val="none"/>
                    </w:rPr>
                    <w:t>T ，C</w:t>
                  </w:r>
                </w:p>
              </w:tc>
              <w:tc>
                <w:tcPr>
                  <w:tcW w:w="398" w:type="pct"/>
                  <w:vMerge w:val="restart"/>
                  <w:tcBorders>
                    <w:tl2br w:val="nil"/>
                    <w:tr2bl w:val="nil"/>
                  </w:tcBorders>
                  <w:tcMar>
                    <w:left w:w="6" w:type="dxa"/>
                    <w:right w:w="6"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en-US" w:eastAsia="zh-CN" w:bidi="ar-SA"/>
                      <w:highlight w:val="none"/>
                    </w:rPr>
                  </w:pPr>
                  <w:r>
                    <w:rPr>
                      <w:rFonts w:cs="Times New Roman" w:hint="eastAsia"/>
                      <w:bCs/>
                      <w:color w:val="auto"/>
                      <w:kern w:val="0"/>
                      <w:sz w:val="21"/>
                      <w:szCs w:val="21"/>
                      <w:lang w:val="en-US" w:eastAsia="zh-CN" w:bidi="ar-SA"/>
                      <w:highlight w:val="none"/>
                    </w:rPr>
                    <w:t>危废暂存间</w:t>
                  </w:r>
                  <w:r>
                    <w:rPr>
                      <w:rFonts w:ascii="Times New Roman" w:eastAsia="宋体" w:cs="Times New Roman" w:hAnsi="Times New Roman" w:hint="eastAsia"/>
                      <w:bCs/>
                      <w:color w:val="auto"/>
                      <w:kern w:val="0"/>
                      <w:sz w:val="21"/>
                      <w:szCs w:val="21"/>
                      <w:lang w:val="en-US" w:eastAsia="zh-CN" w:bidi="ar-SA"/>
                      <w:highlight w:val="none"/>
                    </w:rPr>
                    <w:t>，委托有资质单位处置</w:t>
                  </w:r>
                </w:p>
              </w:tc>
            </w:tr>
            <w:tr>
              <w:trPr>
                <w:trHeight w:val="340"/>
              </w:trPr>
              <w:tc>
                <w:tcPr>
                  <w:tcW w:w="262" w:type="pct"/>
                  <w:tcBorders>
                    <w:tl2br w:val="nil"/>
                    <w:tr2bl w:val="nil"/>
                  </w:tcBorders>
                  <w:tcMar>
                    <w:left w:w="6" w:type="dxa"/>
                    <w:right w:w="6"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bCs/>
                      <w:color w:val="auto"/>
                      <w:kern w:val="0"/>
                      <w:sz w:val="21"/>
                      <w:szCs w:val="21"/>
                      <w:lang w:val="en-US" w:eastAsia="zh-CN" w:bidi="ar-SA"/>
                      <w:highlight w:val="none"/>
                    </w:rPr>
                  </w:pPr>
                  <w:r>
                    <w:rPr>
                      <w:rFonts w:ascii="Times New Roman" w:eastAsia="宋体" w:cs="Times New Roman" w:hAnsi="Times New Roman" w:hint="eastAsia"/>
                      <w:bCs/>
                      <w:color w:val="auto"/>
                      <w:kern w:val="0"/>
                      <w:sz w:val="21"/>
                      <w:szCs w:val="21"/>
                      <w:lang w:val="en-US" w:eastAsia="zh-CN" w:bidi="ar-SA"/>
                      <w:highlight w:val="none"/>
                    </w:rPr>
                    <w:t>2</w:t>
                  </w:r>
                </w:p>
              </w:tc>
              <w:tc>
                <w:tcPr>
                  <w:tcW w:w="643" w:type="pct"/>
                  <w:tcBorders>
                    <w:tl2br w:val="nil"/>
                    <w:tr2bl w:val="nil"/>
                  </w:tcBorders>
                  <w:tcMar>
                    <w:left w:w="6" w:type="dxa"/>
                    <w:right w:w="6"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zh-CN" w:eastAsia="zh-CN" w:bidi="ar-SA"/>
                      <w:highlight w:val="none"/>
                    </w:rPr>
                  </w:pPr>
                  <w:r>
                    <w:rPr>
                      <w:rFonts w:ascii="Times New Roman" w:eastAsia="宋体" w:cs="Times New Roman" w:hAnsi="Times New Roman" w:hint="eastAsia"/>
                      <w:bCs/>
                      <w:color w:val="auto"/>
                      <w:kern w:val="0"/>
                      <w:sz w:val="21"/>
                      <w:szCs w:val="21"/>
                      <w:lang w:val="zh-CN" w:eastAsia="zh-CN" w:bidi="ar-SA"/>
                      <w:highlight w:val="none"/>
                    </w:rPr>
                    <w:t>废碱液</w:t>
                  </w:r>
                </w:p>
              </w:tc>
              <w:tc>
                <w:tcPr>
                  <w:tcW w:w="492" w:type="pct"/>
                  <w:tcBorders>
                    <w:tl2br w:val="nil"/>
                    <w:tr2bl w:val="nil"/>
                  </w:tcBorders>
                  <w:tcMar>
                    <w:left w:w="6" w:type="dxa"/>
                    <w:right w:w="6"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zh-CN" w:eastAsia="zh-CN" w:bidi="ar-SA"/>
                      <w:highlight w:val="none"/>
                    </w:rPr>
                  </w:pPr>
                  <w:r>
                    <w:rPr>
                      <w:rFonts w:ascii="Times New Roman" w:eastAsia="宋体" w:cs="Times New Roman" w:hAnsi="Times New Roman" w:hint="eastAsia"/>
                      <w:bCs/>
                      <w:color w:val="auto"/>
                      <w:kern w:val="0"/>
                      <w:sz w:val="21"/>
                      <w:szCs w:val="21"/>
                      <w:lang w:val="zh-CN" w:eastAsia="zh-CN" w:bidi="ar-SA"/>
                      <w:highlight w:val="none"/>
                    </w:rPr>
                    <w:t>HW35</w:t>
                  </w:r>
                </w:p>
              </w:tc>
              <w:tc>
                <w:tcPr>
                  <w:tcW w:w="566" w:type="pct"/>
                  <w:tcBorders>
                    <w:tl2br w:val="nil"/>
                    <w:tr2bl w:val="nil"/>
                  </w:tcBorders>
                  <w:tcMar>
                    <w:left w:w="6" w:type="dxa"/>
                    <w:right w:w="6"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zh-CN" w:eastAsia="zh-CN" w:bidi="ar-SA"/>
                      <w:highlight w:val="none"/>
                    </w:rPr>
                  </w:pPr>
                  <w:r>
                    <w:rPr>
                      <w:rFonts w:ascii="Times New Roman" w:eastAsia="宋体" w:cs="Times New Roman" w:hAnsi="Times New Roman" w:hint="eastAsia"/>
                      <w:bCs/>
                      <w:color w:val="auto"/>
                      <w:kern w:val="0"/>
                      <w:sz w:val="21"/>
                      <w:szCs w:val="21"/>
                      <w:lang w:val="zh-CN" w:eastAsia="zh-CN" w:bidi="ar-SA"/>
                      <w:highlight w:val="none"/>
                    </w:rPr>
                    <w:t>900-399-</w:t>
                  </w:r>
                </w:p>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zh-CN" w:eastAsia="zh-CN" w:bidi="ar-SA"/>
                      <w:highlight w:val="none"/>
                    </w:rPr>
                  </w:pPr>
                  <w:r>
                    <w:rPr>
                      <w:rFonts w:ascii="Times New Roman" w:eastAsia="宋体" w:cs="Times New Roman" w:hAnsi="Times New Roman" w:hint="eastAsia"/>
                      <w:bCs/>
                      <w:color w:val="auto"/>
                      <w:kern w:val="0"/>
                      <w:sz w:val="21"/>
                      <w:szCs w:val="21"/>
                      <w:lang w:val="zh-CN" w:eastAsia="zh-CN" w:bidi="ar-SA"/>
                      <w:highlight w:val="none"/>
                    </w:rPr>
                    <w:t>35</w:t>
                  </w:r>
                </w:p>
              </w:tc>
              <w:tc>
                <w:tcPr>
                  <w:tcW w:w="509" w:type="pct"/>
                  <w:tcBorders>
                    <w:tl2br w:val="nil"/>
                    <w:tr2bl w:val="nil"/>
                  </w:tcBorders>
                  <w:tcMar>
                    <w:left w:w="6" w:type="dxa"/>
                    <w:right w:w="6"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zh-CN" w:eastAsia="zh-CN" w:bidi="ar-SA"/>
                      <w:highlight w:val="none"/>
                    </w:rPr>
                  </w:pPr>
                  <w:r>
                    <w:rPr>
                      <w:rFonts w:ascii="Times New Roman" w:eastAsia="宋体" w:cs="Times New Roman" w:hAnsi="Times New Roman" w:hint="eastAsia"/>
                      <w:bCs/>
                      <w:color w:val="auto"/>
                      <w:kern w:val="0"/>
                      <w:sz w:val="21"/>
                      <w:szCs w:val="21"/>
                      <w:lang w:val="zh-CN" w:eastAsia="zh-CN" w:bidi="ar-SA"/>
                      <w:highlight w:val="none"/>
                    </w:rPr>
                    <w:t>0.</w:t>
                  </w:r>
                  <w:r>
                    <w:rPr>
                      <w:rFonts w:cs="Times New Roman" w:hint="eastAsia"/>
                      <w:bCs/>
                      <w:color w:val="auto"/>
                      <w:kern w:val="0"/>
                      <w:sz w:val="21"/>
                      <w:szCs w:val="21"/>
                      <w:lang w:val="en-US" w:eastAsia="zh-CN" w:bidi="ar-SA"/>
                      <w:highlight w:val="none"/>
                    </w:rPr>
                    <w:t>7</w:t>
                  </w:r>
                </w:p>
              </w:tc>
              <w:tc>
                <w:tcPr>
                  <w:tcW w:w="485" w:type="pct"/>
                  <w:tcBorders>
                    <w:tl2br w:val="nil"/>
                    <w:tr2bl w:val="nil"/>
                  </w:tcBorders>
                  <w:tcMar>
                    <w:left w:w="6" w:type="dxa"/>
                    <w:right w:w="6"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zh-CN" w:eastAsia="zh-CN" w:bidi="ar-SA"/>
                      <w:highlight w:val="none"/>
                    </w:rPr>
                  </w:pPr>
                  <w:r>
                    <w:rPr>
                      <w:rFonts w:ascii="Times New Roman" w:eastAsia="宋体" w:cs="Times New Roman" w:hAnsi="Times New Roman" w:hint="eastAsia"/>
                      <w:bCs/>
                      <w:color w:val="auto"/>
                      <w:kern w:val="0"/>
                      <w:sz w:val="21"/>
                      <w:szCs w:val="21"/>
                      <w:lang w:val="zh-CN" w:eastAsia="zh-CN" w:bidi="ar-SA"/>
                      <w:highlight w:val="none"/>
                    </w:rPr>
                    <w:t>液态</w:t>
                  </w:r>
                </w:p>
              </w:tc>
              <w:tc>
                <w:tcPr>
                  <w:tcW w:w="459" w:type="pct"/>
                  <w:tcBorders>
                    <w:tl2br w:val="nil"/>
                    <w:tr2bl w:val="nil"/>
                  </w:tcBorders>
                  <w:tcMar>
                    <w:left w:w="6" w:type="dxa"/>
                    <w:right w:w="6"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zh-CN" w:eastAsia="zh-CN" w:bidi="ar-SA"/>
                      <w:highlight w:val="none"/>
                    </w:rPr>
                  </w:pPr>
                  <w:r>
                    <w:rPr>
                      <w:rFonts w:ascii="Times New Roman" w:eastAsia="宋体" w:cs="Times New Roman" w:hAnsi="Times New Roman" w:hint="eastAsia"/>
                      <w:bCs/>
                      <w:color w:val="auto"/>
                      <w:kern w:val="0"/>
                      <w:sz w:val="21"/>
                      <w:szCs w:val="21"/>
                      <w:lang w:val="zh-CN" w:eastAsia="zh-CN" w:bidi="ar-SA"/>
                      <w:highlight w:val="none"/>
                    </w:rPr>
                    <w:t>废碱液</w:t>
                  </w:r>
                </w:p>
              </w:tc>
              <w:tc>
                <w:tcPr>
                  <w:tcW w:w="362" w:type="pct"/>
                  <w:tcBorders>
                    <w:tl2br w:val="nil"/>
                    <w:tr2bl w:val="nil"/>
                  </w:tcBorders>
                  <w:tcMar>
                    <w:left w:w="6" w:type="dxa"/>
                    <w:right w:w="6"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zh-CN" w:eastAsia="zh-CN" w:bidi="ar-SA"/>
                      <w:highlight w:val="none"/>
                    </w:rPr>
                  </w:pPr>
                  <w:r>
                    <w:rPr>
                      <w:rFonts w:ascii="Times New Roman" w:eastAsia="宋体" w:cs="Times New Roman" w:hAnsi="Times New Roman" w:hint="eastAsia"/>
                      <w:bCs/>
                      <w:color w:val="auto"/>
                      <w:kern w:val="0"/>
                      <w:sz w:val="21"/>
                      <w:szCs w:val="21"/>
                      <w:lang w:val="zh-CN" w:eastAsia="zh-CN" w:bidi="ar-SA"/>
                      <w:highlight w:val="none"/>
                    </w:rPr>
                    <w:t>氢氧</w:t>
                  </w:r>
                </w:p>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zh-CN" w:eastAsia="zh-CN" w:bidi="ar-SA"/>
                      <w:highlight w:val="none"/>
                    </w:rPr>
                  </w:pPr>
                  <w:r>
                    <w:rPr>
                      <w:rFonts w:ascii="Times New Roman" w:eastAsia="宋体" w:cs="Times New Roman" w:hAnsi="Times New Roman" w:hint="eastAsia"/>
                      <w:bCs/>
                      <w:color w:val="auto"/>
                      <w:kern w:val="0"/>
                      <w:sz w:val="21"/>
                      <w:szCs w:val="21"/>
                      <w:lang w:val="zh-CN" w:eastAsia="zh-CN" w:bidi="ar-SA"/>
                      <w:highlight w:val="none"/>
                    </w:rPr>
                    <w:t>化钠</w:t>
                  </w:r>
                </w:p>
              </w:tc>
              <w:tc>
                <w:tcPr>
                  <w:tcW w:w="448" w:type="pct"/>
                  <w:tcBorders>
                    <w:tl2br w:val="nil"/>
                    <w:tr2bl w:val="nil"/>
                  </w:tcBorders>
                  <w:tcMar>
                    <w:left w:w="6" w:type="dxa"/>
                    <w:right w:w="6"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zh-CN" w:eastAsia="zh-CN" w:bidi="ar-SA"/>
                      <w:highlight w:val="none"/>
                    </w:rPr>
                  </w:pPr>
                  <w:r>
                    <w:rPr>
                      <w:rFonts w:ascii="Times New Roman" w:eastAsia="宋体" w:cs="Times New Roman" w:hAnsi="Times New Roman" w:hint="eastAsia"/>
                      <w:bCs/>
                      <w:color w:val="auto"/>
                      <w:kern w:val="0"/>
                      <w:sz w:val="21"/>
                      <w:szCs w:val="21"/>
                      <w:lang w:val="zh-CN" w:eastAsia="zh-CN" w:bidi="ar-SA"/>
                      <w:highlight w:val="none"/>
                    </w:rPr>
                    <w:t>1次/年</w:t>
                  </w:r>
                </w:p>
              </w:tc>
              <w:tc>
                <w:tcPr>
                  <w:tcW w:w="370" w:type="pct"/>
                  <w:tcBorders>
                    <w:tl2br w:val="nil"/>
                    <w:tr2bl w:val="nil"/>
                  </w:tcBorders>
                  <w:tcMar>
                    <w:left w:w="6" w:type="dxa"/>
                    <w:right w:w="6"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zh-CN" w:eastAsia="zh-CN" w:bidi="ar-SA"/>
                      <w:highlight w:val="none"/>
                    </w:rPr>
                  </w:pPr>
                  <w:r>
                    <w:rPr>
                      <w:rFonts w:ascii="Times New Roman" w:eastAsia="宋体" w:cs="Times New Roman" w:hAnsi="Times New Roman" w:hint="eastAsia"/>
                      <w:bCs/>
                      <w:color w:val="auto"/>
                      <w:kern w:val="0"/>
                      <w:sz w:val="21"/>
                      <w:szCs w:val="21"/>
                      <w:lang w:val="zh-CN" w:eastAsia="zh-CN" w:bidi="ar-SA"/>
                      <w:highlight w:val="none"/>
                    </w:rPr>
                    <w:t>T ，C</w:t>
                  </w:r>
                </w:p>
              </w:tc>
              <w:tc>
                <w:tcPr>
                  <w:tcW w:w="398" w:type="pct"/>
                  <w:vMerge/>
                  <w:tcBorders>
                    <w:tl2br w:val="nil"/>
                    <w:tr2bl w:val="nil"/>
                  </w:tcBorders>
                  <w:tcMar>
                    <w:left w:w="6" w:type="dxa"/>
                    <w:right w:w="6" w:type="dxa"/>
                  </w:tcMar>
                  <w:vAlign w:val="center"/>
                </w:tcPr>
                <w:p/>
              </w:tc>
            </w:tr>
            <w:tr>
              <w:trPr>
                <w:trHeight w:val="340"/>
              </w:trPr>
              <w:tc>
                <w:tcPr>
                  <w:tcW w:w="262" w:type="pct"/>
                  <w:tcBorders>
                    <w:tl2br w:val="nil"/>
                    <w:tr2bl w:val="nil"/>
                  </w:tcBorders>
                  <w:tcMar>
                    <w:left w:w="6" w:type="dxa"/>
                    <w:right w:w="6"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bCs/>
                      <w:color w:val="auto"/>
                      <w:kern w:val="0"/>
                      <w:sz w:val="21"/>
                      <w:szCs w:val="21"/>
                      <w:lang w:val="en-US" w:eastAsia="zh-CN" w:bidi="ar-SA"/>
                      <w:highlight w:val="none"/>
                    </w:rPr>
                  </w:pPr>
                  <w:r>
                    <w:rPr>
                      <w:rFonts w:ascii="Times New Roman" w:eastAsia="宋体" w:cs="Times New Roman" w:hAnsi="Times New Roman" w:hint="eastAsia"/>
                      <w:bCs/>
                      <w:color w:val="auto"/>
                      <w:kern w:val="0"/>
                      <w:sz w:val="21"/>
                      <w:szCs w:val="21"/>
                      <w:lang w:val="en-US" w:eastAsia="zh-CN" w:bidi="ar-SA"/>
                      <w:highlight w:val="none"/>
                    </w:rPr>
                    <w:t>3</w:t>
                  </w:r>
                </w:p>
              </w:tc>
              <w:tc>
                <w:tcPr>
                  <w:tcW w:w="643" w:type="pct"/>
                  <w:tcBorders>
                    <w:tl2br w:val="nil"/>
                    <w:tr2bl w:val="nil"/>
                  </w:tcBorders>
                  <w:tcMar>
                    <w:left w:w="6" w:type="dxa"/>
                    <w:right w:w="6"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zh-CN" w:eastAsia="zh-CN" w:bidi="ar-SA"/>
                      <w:highlight w:val="none"/>
                    </w:rPr>
                  </w:pPr>
                  <w:r>
                    <w:rPr>
                      <w:rFonts w:ascii="Times New Roman" w:eastAsia="宋体" w:cs="Times New Roman" w:hAnsi="Times New Roman" w:hint="eastAsia"/>
                      <w:bCs/>
                      <w:color w:val="auto"/>
                      <w:kern w:val="0"/>
                      <w:sz w:val="21"/>
                      <w:szCs w:val="21"/>
                      <w:lang w:val="zh-CN" w:eastAsia="zh-CN" w:bidi="ar-SA"/>
                      <w:highlight w:val="none"/>
                    </w:rPr>
                    <w:t>废防护用具</w:t>
                  </w:r>
                </w:p>
              </w:tc>
              <w:tc>
                <w:tcPr>
                  <w:tcW w:w="492" w:type="pct"/>
                  <w:tcBorders>
                    <w:tl2br w:val="nil"/>
                    <w:tr2bl w:val="nil"/>
                  </w:tcBorders>
                  <w:tcMar>
                    <w:left w:w="6" w:type="dxa"/>
                    <w:right w:w="6"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zh-CN" w:eastAsia="zh-CN" w:bidi="ar-SA"/>
                      <w:highlight w:val="none"/>
                    </w:rPr>
                  </w:pPr>
                  <w:r>
                    <w:rPr>
                      <w:rFonts w:ascii="Times New Roman" w:eastAsia="宋体" w:cs="Times New Roman" w:hAnsi="Times New Roman" w:hint="eastAsia"/>
                      <w:bCs/>
                      <w:color w:val="auto"/>
                      <w:kern w:val="0"/>
                      <w:sz w:val="21"/>
                      <w:szCs w:val="21"/>
                      <w:lang w:val="zh-CN" w:eastAsia="zh-CN" w:bidi="ar-SA"/>
                      <w:highlight w:val="none"/>
                    </w:rPr>
                    <w:t>HW49</w:t>
                  </w:r>
                </w:p>
              </w:tc>
              <w:tc>
                <w:tcPr>
                  <w:tcW w:w="566" w:type="pct"/>
                  <w:tcBorders>
                    <w:tl2br w:val="nil"/>
                    <w:tr2bl w:val="nil"/>
                  </w:tcBorders>
                  <w:tcMar>
                    <w:left w:w="6" w:type="dxa"/>
                    <w:right w:w="6"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zh-CN" w:eastAsia="zh-CN" w:bidi="ar-SA"/>
                      <w:highlight w:val="none"/>
                    </w:rPr>
                  </w:pPr>
                  <w:r>
                    <w:rPr>
                      <w:rFonts w:ascii="Times New Roman" w:eastAsia="宋体" w:cs="Times New Roman" w:hAnsi="Times New Roman" w:hint="eastAsia"/>
                      <w:bCs/>
                      <w:color w:val="auto"/>
                      <w:kern w:val="0"/>
                      <w:sz w:val="21"/>
                      <w:szCs w:val="21"/>
                      <w:lang w:val="zh-CN" w:eastAsia="zh-CN" w:bidi="ar-SA"/>
                      <w:highlight w:val="none"/>
                    </w:rPr>
                    <w:t>900-041-</w:t>
                  </w:r>
                </w:p>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zh-CN" w:eastAsia="zh-CN" w:bidi="ar-SA"/>
                      <w:highlight w:val="none"/>
                    </w:rPr>
                  </w:pPr>
                  <w:r>
                    <w:rPr>
                      <w:rFonts w:ascii="Times New Roman" w:eastAsia="宋体" w:cs="Times New Roman" w:hAnsi="Times New Roman" w:hint="eastAsia"/>
                      <w:bCs/>
                      <w:color w:val="auto"/>
                      <w:kern w:val="0"/>
                      <w:sz w:val="21"/>
                      <w:szCs w:val="21"/>
                      <w:lang w:val="zh-CN" w:eastAsia="zh-CN" w:bidi="ar-SA"/>
                      <w:highlight w:val="none"/>
                    </w:rPr>
                    <w:t>49</w:t>
                  </w:r>
                </w:p>
              </w:tc>
              <w:tc>
                <w:tcPr>
                  <w:tcW w:w="509" w:type="pct"/>
                  <w:tcBorders>
                    <w:tl2br w:val="nil"/>
                    <w:tr2bl w:val="nil"/>
                  </w:tcBorders>
                  <w:tcMar>
                    <w:left w:w="6" w:type="dxa"/>
                    <w:right w:w="6"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bCs/>
                      <w:color w:val="auto"/>
                      <w:kern w:val="0"/>
                      <w:sz w:val="21"/>
                      <w:szCs w:val="21"/>
                      <w:lang w:val="en-US" w:eastAsia="zh-CN" w:bidi="ar-SA"/>
                      <w:highlight w:val="none"/>
                    </w:rPr>
                  </w:pPr>
                  <w:r>
                    <w:rPr>
                      <w:rFonts w:ascii="Times New Roman" w:eastAsia="宋体" w:cs="Times New Roman" w:hAnsi="Times New Roman" w:hint="eastAsia"/>
                      <w:bCs/>
                      <w:color w:val="auto"/>
                      <w:kern w:val="0"/>
                      <w:sz w:val="21"/>
                      <w:szCs w:val="21"/>
                      <w:lang w:val="zh-CN" w:eastAsia="zh-CN" w:bidi="ar-SA"/>
                      <w:highlight w:val="none"/>
                    </w:rPr>
                    <w:t>0.</w:t>
                  </w:r>
                  <w:r>
                    <w:rPr>
                      <w:rFonts w:cs="Times New Roman" w:hint="eastAsia"/>
                      <w:bCs/>
                      <w:color w:val="auto"/>
                      <w:kern w:val="0"/>
                      <w:sz w:val="21"/>
                      <w:szCs w:val="21"/>
                      <w:lang w:val="en-US" w:eastAsia="zh-CN" w:bidi="ar-SA"/>
                      <w:highlight w:val="none"/>
                    </w:rPr>
                    <w:t>45</w:t>
                  </w:r>
                </w:p>
              </w:tc>
              <w:tc>
                <w:tcPr>
                  <w:tcW w:w="485" w:type="pct"/>
                  <w:tcBorders>
                    <w:tl2br w:val="nil"/>
                    <w:tr2bl w:val="nil"/>
                  </w:tcBorders>
                  <w:tcMar>
                    <w:left w:w="6" w:type="dxa"/>
                    <w:right w:w="6"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zh-CN" w:eastAsia="zh-CN" w:bidi="ar-SA"/>
                      <w:highlight w:val="none"/>
                    </w:rPr>
                  </w:pPr>
                  <w:r>
                    <w:rPr>
                      <w:rFonts w:ascii="Times New Roman" w:eastAsia="宋体" w:cs="Times New Roman" w:hAnsi="Times New Roman" w:hint="eastAsia"/>
                      <w:bCs/>
                      <w:color w:val="auto"/>
                      <w:kern w:val="0"/>
                      <w:sz w:val="21"/>
                      <w:szCs w:val="21"/>
                      <w:lang w:val="zh-CN" w:eastAsia="zh-CN" w:bidi="ar-SA"/>
                      <w:highlight w:val="none"/>
                    </w:rPr>
                    <w:t>固态</w:t>
                  </w:r>
                </w:p>
              </w:tc>
              <w:tc>
                <w:tcPr>
                  <w:tcW w:w="459" w:type="pct"/>
                  <w:tcBorders>
                    <w:tl2br w:val="nil"/>
                    <w:tr2bl w:val="nil"/>
                  </w:tcBorders>
                  <w:tcMar>
                    <w:left w:w="6" w:type="dxa"/>
                    <w:right w:w="6"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zh-CN" w:eastAsia="zh-CN" w:bidi="ar-SA"/>
                      <w:highlight w:val="none"/>
                    </w:rPr>
                  </w:pPr>
                  <w:r>
                    <w:rPr>
                      <w:rFonts w:ascii="Times New Roman" w:eastAsia="宋体" w:cs="Times New Roman" w:hAnsi="Times New Roman" w:hint="eastAsia"/>
                      <w:bCs/>
                      <w:color w:val="auto"/>
                      <w:kern w:val="0"/>
                      <w:sz w:val="21"/>
                      <w:szCs w:val="21"/>
                      <w:lang w:val="zh-CN" w:eastAsia="zh-CN" w:bidi="ar-SA"/>
                      <w:highlight w:val="none"/>
                    </w:rPr>
                    <w:t>硫酸</w:t>
                  </w:r>
                </w:p>
              </w:tc>
              <w:tc>
                <w:tcPr>
                  <w:tcW w:w="362" w:type="pct"/>
                  <w:tcBorders>
                    <w:tl2br w:val="nil"/>
                    <w:tr2bl w:val="nil"/>
                  </w:tcBorders>
                  <w:tcMar>
                    <w:left w:w="6" w:type="dxa"/>
                    <w:right w:w="6"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zh-CN" w:eastAsia="zh-CN" w:bidi="ar-SA"/>
                      <w:highlight w:val="none"/>
                    </w:rPr>
                  </w:pPr>
                  <w:r>
                    <w:rPr>
                      <w:rFonts w:ascii="Times New Roman" w:eastAsia="宋体" w:cs="Times New Roman" w:hAnsi="Times New Roman" w:hint="eastAsia"/>
                      <w:bCs/>
                      <w:color w:val="auto"/>
                      <w:kern w:val="0"/>
                      <w:sz w:val="21"/>
                      <w:szCs w:val="21"/>
                      <w:lang w:val="zh-CN" w:eastAsia="zh-CN" w:bidi="ar-SA"/>
                      <w:highlight w:val="none"/>
                    </w:rPr>
                    <w:t>硫酸</w:t>
                  </w:r>
                </w:p>
              </w:tc>
              <w:tc>
                <w:tcPr>
                  <w:tcW w:w="448" w:type="pct"/>
                  <w:tcBorders>
                    <w:tl2br w:val="nil"/>
                    <w:tr2bl w:val="nil"/>
                  </w:tcBorders>
                  <w:tcMar>
                    <w:left w:w="6" w:type="dxa"/>
                    <w:right w:w="6"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zh-CN" w:eastAsia="zh-CN" w:bidi="ar-SA"/>
                      <w:highlight w:val="none"/>
                    </w:rPr>
                  </w:pPr>
                  <w:r>
                    <w:rPr>
                      <w:rFonts w:ascii="Times New Roman" w:eastAsia="宋体" w:cs="Times New Roman" w:hAnsi="Times New Roman" w:hint="eastAsia"/>
                      <w:bCs/>
                      <w:color w:val="auto"/>
                      <w:kern w:val="0"/>
                      <w:sz w:val="21"/>
                      <w:szCs w:val="21"/>
                      <w:lang w:val="zh-CN" w:eastAsia="zh-CN" w:bidi="ar-SA"/>
                      <w:highlight w:val="none"/>
                    </w:rPr>
                    <w:t>1次/天</w:t>
                  </w:r>
                </w:p>
              </w:tc>
              <w:tc>
                <w:tcPr>
                  <w:tcW w:w="370" w:type="pct"/>
                  <w:tcBorders>
                    <w:tl2br w:val="nil"/>
                    <w:tr2bl w:val="nil"/>
                  </w:tcBorders>
                  <w:tcMar>
                    <w:left w:w="6" w:type="dxa"/>
                    <w:right w:w="6"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zh-CN" w:eastAsia="zh-CN" w:bidi="ar-SA"/>
                      <w:highlight w:val="none"/>
                    </w:rPr>
                  </w:pPr>
                  <w:r>
                    <w:rPr>
                      <w:rFonts w:ascii="Times New Roman" w:eastAsia="宋体" w:cs="Times New Roman" w:hAnsi="Times New Roman" w:hint="eastAsia"/>
                      <w:bCs/>
                      <w:color w:val="auto"/>
                      <w:kern w:val="0"/>
                      <w:sz w:val="21"/>
                      <w:szCs w:val="21"/>
                      <w:lang w:val="zh-CN" w:eastAsia="zh-CN" w:bidi="ar-SA"/>
                      <w:highlight w:val="none"/>
                    </w:rPr>
                    <w:t>T ，In</w:t>
                  </w:r>
                </w:p>
              </w:tc>
              <w:tc>
                <w:tcPr>
                  <w:tcW w:w="398" w:type="pct"/>
                  <w:vMerge/>
                  <w:tcBorders>
                    <w:tl2br w:val="nil"/>
                    <w:tr2bl w:val="nil"/>
                  </w:tcBorders>
                  <w:tcMar>
                    <w:left w:w="6" w:type="dxa"/>
                    <w:right w:w="6" w:type="dxa"/>
                  </w:tcMar>
                  <w:vAlign w:val="center"/>
                </w:tcPr>
                <w:p/>
              </w:tc>
            </w:tr>
            <w:tr>
              <w:trPr>
                <w:trHeight w:val="340"/>
              </w:trPr>
              <w:tc>
                <w:tcPr>
                  <w:tcW w:w="262" w:type="pct"/>
                  <w:tcBorders>
                    <w:tl2br w:val="nil"/>
                    <w:tr2bl w:val="nil"/>
                  </w:tcBorders>
                  <w:tcMar>
                    <w:left w:w="6" w:type="dxa"/>
                    <w:right w:w="6"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bCs/>
                      <w:color w:val="auto"/>
                      <w:kern w:val="0"/>
                      <w:sz w:val="21"/>
                      <w:szCs w:val="21"/>
                      <w:lang w:val="en-US" w:eastAsia="zh-CN" w:bidi="ar-SA"/>
                      <w:highlight w:val="none"/>
                    </w:rPr>
                  </w:pPr>
                  <w:r>
                    <w:rPr>
                      <w:rFonts w:ascii="Times New Roman" w:eastAsia="宋体" w:cs="Times New Roman" w:hAnsi="Times New Roman" w:hint="eastAsia"/>
                      <w:bCs/>
                      <w:color w:val="auto"/>
                      <w:kern w:val="0"/>
                      <w:sz w:val="21"/>
                      <w:szCs w:val="21"/>
                      <w:lang w:val="en-US" w:eastAsia="zh-CN" w:bidi="ar-SA"/>
                      <w:highlight w:val="none"/>
                    </w:rPr>
                    <w:t>4</w:t>
                  </w:r>
                </w:p>
              </w:tc>
              <w:tc>
                <w:tcPr>
                  <w:tcW w:w="643" w:type="pct"/>
                  <w:tcBorders>
                    <w:tl2br w:val="nil"/>
                    <w:tr2bl w:val="nil"/>
                  </w:tcBorders>
                  <w:tcMar>
                    <w:left w:w="6" w:type="dxa"/>
                    <w:right w:w="6"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zh-CN" w:eastAsia="zh-CN" w:bidi="ar-SA"/>
                      <w:highlight w:val="none"/>
                    </w:rPr>
                  </w:pPr>
                  <w:r>
                    <w:rPr>
                      <w:rFonts w:ascii="Times New Roman" w:eastAsia="宋体" w:cs="Times New Roman" w:hAnsi="Times New Roman" w:hint="eastAsia"/>
                      <w:bCs/>
                      <w:color w:val="auto"/>
                      <w:kern w:val="0"/>
                      <w:sz w:val="21"/>
                      <w:szCs w:val="21"/>
                      <w:lang w:val="zh-CN" w:eastAsia="zh-CN" w:bidi="ar-SA"/>
                      <w:highlight w:val="none"/>
                    </w:rPr>
                    <w:t>废抹布</w:t>
                  </w:r>
                </w:p>
              </w:tc>
              <w:tc>
                <w:tcPr>
                  <w:tcW w:w="492" w:type="pct"/>
                  <w:tcBorders>
                    <w:tl2br w:val="nil"/>
                    <w:tr2bl w:val="nil"/>
                  </w:tcBorders>
                  <w:tcMar>
                    <w:left w:w="6" w:type="dxa"/>
                    <w:right w:w="6"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zh-CN" w:eastAsia="zh-CN" w:bidi="ar-SA"/>
                      <w:highlight w:val="none"/>
                    </w:rPr>
                  </w:pPr>
                  <w:r>
                    <w:rPr>
                      <w:rFonts w:ascii="Times New Roman" w:eastAsia="宋体" w:cs="Times New Roman" w:hAnsi="Times New Roman" w:hint="eastAsia"/>
                      <w:bCs/>
                      <w:color w:val="auto"/>
                      <w:kern w:val="0"/>
                      <w:sz w:val="21"/>
                      <w:szCs w:val="21"/>
                      <w:lang w:val="zh-CN" w:eastAsia="zh-CN" w:bidi="ar-SA"/>
                      <w:highlight w:val="none"/>
                    </w:rPr>
                    <w:t>HW49</w:t>
                  </w:r>
                </w:p>
              </w:tc>
              <w:tc>
                <w:tcPr>
                  <w:tcW w:w="566" w:type="pct"/>
                  <w:tcBorders>
                    <w:tl2br w:val="nil"/>
                    <w:tr2bl w:val="nil"/>
                  </w:tcBorders>
                  <w:tcMar>
                    <w:left w:w="6" w:type="dxa"/>
                    <w:right w:w="6"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zh-CN" w:eastAsia="zh-CN" w:bidi="ar-SA"/>
                      <w:highlight w:val="none"/>
                    </w:rPr>
                  </w:pPr>
                  <w:r>
                    <w:rPr>
                      <w:rFonts w:ascii="Times New Roman" w:eastAsia="宋体" w:cs="Times New Roman" w:hAnsi="Times New Roman" w:hint="eastAsia"/>
                      <w:bCs/>
                      <w:color w:val="auto"/>
                      <w:kern w:val="0"/>
                      <w:sz w:val="21"/>
                      <w:szCs w:val="21"/>
                      <w:lang w:val="zh-CN" w:eastAsia="zh-CN" w:bidi="ar-SA"/>
                      <w:highlight w:val="none"/>
                    </w:rPr>
                    <w:t>900-041-</w:t>
                  </w:r>
                </w:p>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zh-CN" w:eastAsia="zh-CN" w:bidi="ar-SA"/>
                      <w:highlight w:val="none"/>
                    </w:rPr>
                  </w:pPr>
                  <w:r>
                    <w:rPr>
                      <w:rFonts w:ascii="Times New Roman" w:eastAsia="宋体" w:cs="Times New Roman" w:hAnsi="Times New Roman" w:hint="eastAsia"/>
                      <w:bCs/>
                      <w:color w:val="auto"/>
                      <w:kern w:val="0"/>
                      <w:sz w:val="21"/>
                      <w:szCs w:val="21"/>
                      <w:lang w:val="zh-CN" w:eastAsia="zh-CN" w:bidi="ar-SA"/>
                      <w:highlight w:val="none"/>
                    </w:rPr>
                    <w:t>49</w:t>
                  </w:r>
                </w:p>
              </w:tc>
              <w:tc>
                <w:tcPr>
                  <w:tcW w:w="509" w:type="pct"/>
                  <w:tcBorders>
                    <w:tl2br w:val="nil"/>
                    <w:tr2bl w:val="nil"/>
                  </w:tcBorders>
                  <w:tcMar>
                    <w:left w:w="6" w:type="dxa"/>
                    <w:right w:w="6"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zh-CN" w:eastAsia="zh-CN" w:bidi="ar-SA"/>
                      <w:highlight w:val="none"/>
                    </w:rPr>
                  </w:pPr>
                  <w:r>
                    <w:rPr>
                      <w:rFonts w:ascii="Times New Roman" w:eastAsia="宋体" w:cs="Times New Roman" w:hAnsi="Times New Roman" w:hint="eastAsia"/>
                      <w:bCs/>
                      <w:color w:val="auto"/>
                      <w:kern w:val="0"/>
                      <w:sz w:val="21"/>
                      <w:szCs w:val="21"/>
                      <w:lang w:val="zh-CN" w:eastAsia="zh-CN" w:bidi="ar-SA"/>
                      <w:highlight w:val="none"/>
                    </w:rPr>
                    <w:t>0.0</w:t>
                  </w:r>
                  <w:r>
                    <w:rPr>
                      <w:rFonts w:cs="Times New Roman" w:hint="eastAsia"/>
                      <w:bCs/>
                      <w:color w:val="auto"/>
                      <w:kern w:val="0"/>
                      <w:sz w:val="21"/>
                      <w:szCs w:val="21"/>
                      <w:lang w:val="en-US" w:eastAsia="zh-CN" w:bidi="ar-SA"/>
                      <w:highlight w:val="none"/>
                    </w:rPr>
                    <w:t>1</w:t>
                  </w:r>
                </w:p>
              </w:tc>
              <w:tc>
                <w:tcPr>
                  <w:tcW w:w="485" w:type="pct"/>
                  <w:tcBorders>
                    <w:tl2br w:val="nil"/>
                    <w:tr2bl w:val="nil"/>
                  </w:tcBorders>
                  <w:tcMar>
                    <w:left w:w="6" w:type="dxa"/>
                    <w:right w:w="6"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zh-CN" w:eastAsia="zh-CN" w:bidi="ar-SA"/>
                      <w:highlight w:val="none"/>
                    </w:rPr>
                  </w:pPr>
                  <w:r>
                    <w:rPr>
                      <w:rFonts w:ascii="Times New Roman" w:eastAsia="宋体" w:cs="Times New Roman" w:hAnsi="Times New Roman" w:hint="eastAsia"/>
                      <w:bCs/>
                      <w:color w:val="auto"/>
                      <w:kern w:val="0"/>
                      <w:sz w:val="21"/>
                      <w:szCs w:val="21"/>
                      <w:lang w:val="zh-CN" w:eastAsia="zh-CN" w:bidi="ar-SA"/>
                      <w:highlight w:val="none"/>
                    </w:rPr>
                    <w:t>固态</w:t>
                  </w:r>
                </w:p>
              </w:tc>
              <w:tc>
                <w:tcPr>
                  <w:tcW w:w="459" w:type="pct"/>
                  <w:tcBorders>
                    <w:tl2br w:val="nil"/>
                    <w:tr2bl w:val="nil"/>
                  </w:tcBorders>
                  <w:tcMar>
                    <w:left w:w="6" w:type="dxa"/>
                    <w:right w:w="6"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zh-CN" w:eastAsia="zh-CN" w:bidi="ar-SA"/>
                      <w:highlight w:val="none"/>
                    </w:rPr>
                  </w:pPr>
                  <w:r>
                    <w:rPr>
                      <w:rFonts w:ascii="Times New Roman" w:eastAsia="宋体" w:cs="Times New Roman" w:hAnsi="Times New Roman" w:hint="eastAsia"/>
                      <w:bCs/>
                      <w:color w:val="auto"/>
                      <w:kern w:val="0"/>
                      <w:sz w:val="21"/>
                      <w:szCs w:val="21"/>
                      <w:lang w:val="zh-CN" w:eastAsia="zh-CN" w:bidi="ar-SA"/>
                      <w:highlight w:val="none"/>
                    </w:rPr>
                    <w:t>硫酸</w:t>
                  </w:r>
                </w:p>
              </w:tc>
              <w:tc>
                <w:tcPr>
                  <w:tcW w:w="362" w:type="pct"/>
                  <w:tcBorders>
                    <w:tl2br w:val="nil"/>
                    <w:tr2bl w:val="nil"/>
                  </w:tcBorders>
                  <w:tcMar>
                    <w:left w:w="6" w:type="dxa"/>
                    <w:right w:w="6"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en-US" w:eastAsia="zh-CN" w:bidi="ar-SA"/>
                      <w:highlight w:val="none"/>
                    </w:rPr>
                  </w:pPr>
                  <w:r>
                    <w:rPr>
                      <w:rFonts w:ascii="Times New Roman" w:eastAsia="宋体" w:cs="Times New Roman" w:hAnsi="Times New Roman" w:hint="eastAsia"/>
                      <w:bCs/>
                      <w:color w:val="auto"/>
                      <w:kern w:val="0"/>
                      <w:sz w:val="21"/>
                      <w:szCs w:val="21"/>
                      <w:lang w:val="zh-CN" w:eastAsia="zh-CN" w:bidi="ar-SA"/>
                      <w:highlight w:val="none"/>
                    </w:rPr>
                    <w:t>硫酸</w:t>
                  </w:r>
                </w:p>
              </w:tc>
              <w:tc>
                <w:tcPr>
                  <w:tcW w:w="448" w:type="pct"/>
                  <w:tcBorders>
                    <w:tl2br w:val="nil"/>
                    <w:tr2bl w:val="nil"/>
                  </w:tcBorders>
                  <w:tcMar>
                    <w:left w:w="6" w:type="dxa"/>
                    <w:right w:w="6"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zh-CN" w:eastAsia="zh-CN" w:bidi="ar-SA"/>
                      <w:highlight w:val="none"/>
                    </w:rPr>
                  </w:pPr>
                  <w:r>
                    <w:rPr>
                      <w:rFonts w:ascii="Times New Roman" w:eastAsia="宋体" w:cs="Times New Roman" w:hAnsi="Times New Roman" w:hint="eastAsia"/>
                      <w:bCs/>
                      <w:color w:val="auto"/>
                      <w:kern w:val="0"/>
                      <w:sz w:val="21"/>
                      <w:szCs w:val="21"/>
                      <w:lang w:val="zh-CN" w:eastAsia="zh-CN" w:bidi="ar-SA"/>
                      <w:highlight w:val="none"/>
                    </w:rPr>
                    <w:t>1次/</w:t>
                  </w:r>
                  <w:r>
                    <w:rPr>
                      <w:rFonts w:cs="Times New Roman" w:hint="eastAsia"/>
                      <w:bCs/>
                      <w:color w:val="auto"/>
                      <w:kern w:val="0"/>
                      <w:sz w:val="21"/>
                      <w:szCs w:val="21"/>
                      <w:lang w:val="en-US" w:eastAsia="zh-CN" w:bidi="ar-SA"/>
                      <w:highlight w:val="none"/>
                    </w:rPr>
                    <w:t>5天</w:t>
                  </w:r>
                </w:p>
              </w:tc>
              <w:tc>
                <w:tcPr>
                  <w:tcW w:w="370" w:type="pct"/>
                  <w:tcBorders>
                    <w:tl2br w:val="nil"/>
                    <w:tr2bl w:val="nil"/>
                  </w:tcBorders>
                  <w:tcMar>
                    <w:left w:w="6" w:type="dxa"/>
                    <w:right w:w="6"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en-US" w:eastAsia="zh-CN" w:bidi="ar-SA"/>
                      <w:highlight w:val="none"/>
                    </w:rPr>
                  </w:pPr>
                  <w:r>
                    <w:rPr>
                      <w:rFonts w:ascii="Times New Roman" w:eastAsia="宋体" w:cs="Times New Roman" w:hAnsi="Times New Roman" w:hint="eastAsia"/>
                      <w:bCs/>
                      <w:color w:val="auto"/>
                      <w:kern w:val="0"/>
                      <w:sz w:val="21"/>
                      <w:szCs w:val="21"/>
                      <w:lang w:val="zh-CN" w:eastAsia="zh-CN" w:bidi="ar-SA"/>
                      <w:highlight w:val="none"/>
                    </w:rPr>
                    <w:t>T ，In</w:t>
                  </w:r>
                </w:p>
              </w:tc>
              <w:tc>
                <w:tcPr>
                  <w:tcW w:w="398" w:type="pct"/>
                  <w:vMerge/>
                  <w:tcBorders>
                    <w:tl2br w:val="nil"/>
                    <w:tr2bl w:val="nil"/>
                  </w:tcBorders>
                  <w:tcMar>
                    <w:left w:w="6" w:type="dxa"/>
                    <w:right w:w="6" w:type="dxa"/>
                  </w:tcMar>
                  <w:vAlign w:val="center"/>
                </w:tcPr>
                <w:p/>
              </w:tc>
            </w:tr>
          </w:tbl>
          <w:p>
            <w:pPr>
              <w:jc w:val="center"/>
              <w:rPr>
                <w:rFonts w:hint="eastAsia"/>
                <w:b/>
                <w:bCs/>
                <w:snapToGrid w:val="0"/>
                <w:color w:val="auto"/>
                <w:kern w:val="0"/>
                <w:sz w:val="24"/>
                <w:highlight w:val="none"/>
              </w:rPr>
            </w:pPr>
          </w:p>
          <w:p>
            <w:pPr>
              <w:jc w:val="center"/>
              <w:rPr>
                <w:rFonts w:hint="eastAsia"/>
                <w:b/>
                <w:bCs/>
                <w:snapToGrid w:val="0"/>
                <w:color w:val="auto"/>
                <w:kern w:val="0"/>
                <w:sz w:val="24"/>
                <w:highlight w:val="none"/>
              </w:rPr>
            </w:pPr>
            <w:r>
              <w:rPr>
                <w:rFonts w:hint="eastAsia"/>
                <w:b/>
                <w:bCs/>
                <w:snapToGrid w:val="0"/>
                <w:color w:val="auto"/>
                <w:kern w:val="0"/>
                <w:sz w:val="24"/>
                <w:highlight w:val="none"/>
              </w:rPr>
              <w:t>表4-</w:t>
            </w:r>
            <w:r>
              <w:rPr>
                <w:rFonts w:hint="eastAsia"/>
                <w:b/>
                <w:bCs/>
                <w:snapToGrid w:val="0"/>
                <w:color w:val="auto"/>
                <w:kern w:val="0"/>
                <w:sz w:val="24"/>
                <w:lang w:val="en-US" w:eastAsia="zh-CN"/>
                <w:highlight w:val="none"/>
              </w:rPr>
              <w:t>9</w:t>
            </w:r>
            <w:r>
              <w:rPr>
                <w:rFonts w:hint="eastAsia"/>
                <w:b/>
                <w:bCs/>
                <w:snapToGrid w:val="0"/>
                <w:color w:val="auto"/>
                <w:kern w:val="0"/>
                <w:sz w:val="24"/>
                <w:highlight w:val="none"/>
              </w:rPr>
              <w:t xml:space="preserve">  建设项目危险废物贮存场所（设施）基本情况样表 </w:t>
            </w:r>
          </w:p>
          <w:tbl>
            <w:tblPr>
              <w:jc w:val="center"/>
              <w:tblW w:w="4988" w:type="pct"/>
              <w:tblBorders>
                <w:top w:val="single" w:sz="12" w:space="0" w:color="auto"/>
                <w:left w:val="none" w:sz="0" w:space="0" w:color="auto"/>
                <w:bottom w:val="single" w:sz="12" w:space="0" w:color="auto"/>
                <w:right w:val="none" w:sz="0" w:space="0" w:color="auto"/>
                <w:insideH w:val="single" w:sz="4" w:space="0" w:color="auto"/>
                <w:insideV w:val="single" w:sz="4" w:space="0" w:color="auto"/>
              </w:tblBorders>
              <w:tblLayout w:type="fixed"/>
              <w:tblCellMar>
                <w:top w:w="0" w:type="dxa"/>
                <w:left w:w="108" w:type="dxa"/>
                <w:bottom w:w="0" w:type="dxa"/>
                <w:right w:w="108" w:type="dxa"/>
              </w:tblCellMar>
              <w:tblLook w:val="0600" w:firstRow="0" w:lastRow="0" w:firstColumn="0" w:lastColumn="0" w:noHBand="1" w:noVBand="1"/>
            </w:tblPr>
            <w:tblGrid>
              <w:gridCol w:w="281"/>
              <w:gridCol w:w="857"/>
              <w:gridCol w:w="1183"/>
              <w:gridCol w:w="816"/>
              <w:gridCol w:w="1200"/>
              <w:gridCol w:w="852"/>
              <w:gridCol w:w="840"/>
              <w:gridCol w:w="1284"/>
              <w:gridCol w:w="732"/>
              <w:gridCol w:w="870"/>
            </w:tblGrid>
            <w:tr>
              <w:trPr>
                <w:trHeight w:val="340"/>
              </w:trPr>
              <w:tc>
                <w:tcPr>
                  <w:tcW w:w="281" w:type="dxa"/>
                  <w:tcBorders>
                    <w:tl2br w:val="nil"/>
                    <w:tr2bl w:val="nil"/>
                  </w:tcBorders>
                  <w:tcMar>
                    <w:left w:w="6" w:type="dxa"/>
                    <w:right w:w="6"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zh-CN" w:eastAsia="zh-CN" w:bidi="ar-SA"/>
                      <w:highlight w:val="none"/>
                    </w:rPr>
                  </w:pPr>
                  <w:r>
                    <w:rPr>
                      <w:rFonts w:ascii="Times New Roman" w:eastAsia="宋体" w:cs="Times New Roman" w:hAnsi="Times New Roman" w:hint="eastAsia"/>
                      <w:bCs/>
                      <w:color w:val="auto"/>
                      <w:kern w:val="0"/>
                      <w:sz w:val="21"/>
                      <w:szCs w:val="21"/>
                      <w:lang w:val="zh-CN" w:eastAsia="zh-CN" w:bidi="ar-SA"/>
                      <w:highlight w:val="none"/>
                    </w:rPr>
                    <w:t>序号</w:t>
                  </w:r>
                </w:p>
              </w:tc>
              <w:tc>
                <w:tcPr>
                  <w:tcW w:w="857" w:type="dxa"/>
                  <w:tcBorders>
                    <w:tl2br w:val="nil"/>
                    <w:tr2bl w:val="nil"/>
                  </w:tcBorders>
                  <w:tcMar>
                    <w:left w:w="6" w:type="dxa"/>
                    <w:right w:w="6"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zh-CN" w:eastAsia="zh-CN" w:bidi="ar-SA"/>
                      <w:highlight w:val="none"/>
                    </w:rPr>
                  </w:pPr>
                  <w:r>
                    <w:rPr>
                      <w:rFonts w:ascii="Times New Roman" w:eastAsia="宋体" w:cs="Times New Roman" w:hAnsi="Times New Roman" w:hint="eastAsia"/>
                      <w:bCs/>
                      <w:color w:val="auto"/>
                      <w:kern w:val="0"/>
                      <w:sz w:val="21"/>
                      <w:szCs w:val="21"/>
                      <w:lang w:val="zh-CN" w:eastAsia="zh-CN" w:bidi="ar-SA"/>
                      <w:highlight w:val="none"/>
                    </w:rPr>
                    <w:t>贮存</w:t>
                  </w:r>
                </w:p>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zh-CN" w:eastAsia="zh-CN" w:bidi="ar-SA"/>
                      <w:highlight w:val="none"/>
                    </w:rPr>
                  </w:pPr>
                  <w:r>
                    <w:rPr>
                      <w:rFonts w:ascii="Times New Roman" w:eastAsia="宋体" w:cs="Times New Roman" w:hAnsi="Times New Roman" w:hint="eastAsia"/>
                      <w:bCs/>
                      <w:color w:val="auto"/>
                      <w:kern w:val="0"/>
                      <w:sz w:val="21"/>
                      <w:szCs w:val="21"/>
                      <w:lang w:val="zh-CN" w:eastAsia="zh-CN" w:bidi="ar-SA"/>
                      <w:highlight w:val="none"/>
                    </w:rPr>
                    <w:t>场所</w:t>
                  </w:r>
                </w:p>
              </w:tc>
              <w:tc>
                <w:tcPr>
                  <w:tcW w:w="1183" w:type="dxa"/>
                  <w:tcBorders>
                    <w:tl2br w:val="nil"/>
                    <w:tr2bl w:val="nil"/>
                  </w:tcBorders>
                  <w:tcMar>
                    <w:left w:w="6" w:type="dxa"/>
                    <w:right w:w="6"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zh-CN" w:eastAsia="zh-CN" w:bidi="ar-SA"/>
                      <w:highlight w:val="none"/>
                    </w:rPr>
                  </w:pPr>
                  <w:r>
                    <w:rPr>
                      <w:rFonts w:ascii="Times New Roman" w:eastAsia="宋体" w:cs="Times New Roman" w:hAnsi="Times New Roman" w:hint="eastAsia"/>
                      <w:bCs/>
                      <w:color w:val="auto"/>
                      <w:kern w:val="0"/>
                      <w:sz w:val="21"/>
                      <w:szCs w:val="21"/>
                      <w:lang w:val="zh-CN" w:eastAsia="zh-CN" w:bidi="ar-SA"/>
                      <w:highlight w:val="none"/>
                    </w:rPr>
                    <w:t>危险废物名称</w:t>
                  </w:r>
                </w:p>
              </w:tc>
              <w:tc>
                <w:tcPr>
                  <w:tcW w:w="816" w:type="dxa"/>
                  <w:tcBorders>
                    <w:tl2br w:val="nil"/>
                    <w:tr2bl w:val="nil"/>
                  </w:tcBorders>
                  <w:tcMar>
                    <w:left w:w="6" w:type="dxa"/>
                    <w:right w:w="6"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zh-CN" w:eastAsia="zh-CN" w:bidi="ar-SA"/>
                      <w:highlight w:val="none"/>
                    </w:rPr>
                  </w:pPr>
                  <w:r>
                    <w:rPr>
                      <w:rFonts w:ascii="Times New Roman" w:eastAsia="宋体" w:cs="Times New Roman" w:hAnsi="Times New Roman" w:hint="eastAsia"/>
                      <w:bCs/>
                      <w:color w:val="auto"/>
                      <w:kern w:val="0"/>
                      <w:sz w:val="21"/>
                      <w:szCs w:val="21"/>
                      <w:lang w:val="zh-CN" w:eastAsia="zh-CN" w:bidi="ar-SA"/>
                      <w:highlight w:val="none"/>
                    </w:rPr>
                    <w:t>危险废</w:t>
                  </w:r>
                </w:p>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zh-CN" w:eastAsia="zh-CN" w:bidi="ar-SA"/>
                      <w:highlight w:val="none"/>
                    </w:rPr>
                  </w:pPr>
                  <w:r>
                    <w:rPr>
                      <w:rFonts w:ascii="Times New Roman" w:eastAsia="宋体" w:cs="Times New Roman" w:hAnsi="Times New Roman" w:hint="eastAsia"/>
                      <w:bCs/>
                      <w:color w:val="auto"/>
                      <w:kern w:val="0"/>
                      <w:sz w:val="21"/>
                      <w:szCs w:val="21"/>
                      <w:lang w:val="zh-CN" w:eastAsia="zh-CN" w:bidi="ar-SA"/>
                      <w:highlight w:val="none"/>
                    </w:rPr>
                    <w:t>物类别</w:t>
                  </w:r>
                </w:p>
              </w:tc>
              <w:tc>
                <w:tcPr>
                  <w:tcW w:w="1200" w:type="dxa"/>
                  <w:tcBorders>
                    <w:tl2br w:val="nil"/>
                    <w:tr2bl w:val="nil"/>
                  </w:tcBorders>
                  <w:tcMar>
                    <w:left w:w="6" w:type="dxa"/>
                    <w:right w:w="6"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zh-CN" w:eastAsia="zh-CN" w:bidi="ar-SA"/>
                      <w:highlight w:val="none"/>
                    </w:rPr>
                  </w:pPr>
                  <w:r>
                    <w:rPr>
                      <w:rFonts w:ascii="Times New Roman" w:eastAsia="宋体" w:cs="Times New Roman" w:hAnsi="Times New Roman" w:hint="eastAsia"/>
                      <w:bCs/>
                      <w:color w:val="auto"/>
                      <w:kern w:val="0"/>
                      <w:sz w:val="21"/>
                      <w:szCs w:val="21"/>
                      <w:lang w:val="zh-CN" w:eastAsia="zh-CN" w:bidi="ar-SA"/>
                      <w:highlight w:val="none"/>
                    </w:rPr>
                    <w:t>危险废物</w:t>
                  </w:r>
                </w:p>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zh-CN" w:eastAsia="zh-CN" w:bidi="ar-SA"/>
                      <w:highlight w:val="none"/>
                    </w:rPr>
                  </w:pPr>
                  <w:r>
                    <w:rPr>
                      <w:rFonts w:ascii="Times New Roman" w:eastAsia="宋体" w:cs="Times New Roman" w:hAnsi="Times New Roman" w:hint="eastAsia"/>
                      <w:bCs/>
                      <w:color w:val="auto"/>
                      <w:kern w:val="0"/>
                      <w:sz w:val="21"/>
                      <w:szCs w:val="21"/>
                      <w:lang w:val="zh-CN" w:eastAsia="zh-CN" w:bidi="ar-SA"/>
                      <w:highlight w:val="none"/>
                    </w:rPr>
                    <w:t>代码</w:t>
                  </w:r>
                </w:p>
              </w:tc>
              <w:tc>
                <w:tcPr>
                  <w:tcW w:w="852" w:type="dxa"/>
                  <w:tcBorders>
                    <w:tl2br w:val="nil"/>
                    <w:tr2bl w:val="nil"/>
                  </w:tcBorders>
                  <w:tcMar>
                    <w:left w:w="6" w:type="dxa"/>
                    <w:right w:w="6"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zh-CN" w:eastAsia="zh-CN" w:bidi="ar-SA"/>
                      <w:highlight w:val="none"/>
                    </w:rPr>
                  </w:pPr>
                  <w:r>
                    <w:rPr>
                      <w:rFonts w:ascii="Times New Roman" w:eastAsia="宋体" w:cs="Times New Roman" w:hAnsi="Times New Roman" w:hint="eastAsia"/>
                      <w:bCs/>
                      <w:color w:val="auto"/>
                      <w:kern w:val="0"/>
                      <w:sz w:val="21"/>
                      <w:szCs w:val="21"/>
                      <w:lang w:val="zh-CN" w:eastAsia="zh-CN" w:bidi="ar-SA"/>
                      <w:highlight w:val="none"/>
                    </w:rPr>
                    <w:t>位置</w:t>
                  </w:r>
                </w:p>
              </w:tc>
              <w:tc>
                <w:tcPr>
                  <w:tcW w:w="840" w:type="dxa"/>
                  <w:tcBorders>
                    <w:tl2br w:val="nil"/>
                    <w:tr2bl w:val="nil"/>
                  </w:tcBorders>
                  <w:tcMar>
                    <w:left w:w="6" w:type="dxa"/>
                    <w:right w:w="6"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zh-CN" w:eastAsia="zh-CN" w:bidi="ar-SA"/>
                      <w:highlight w:val="none"/>
                    </w:rPr>
                  </w:pPr>
                  <w:r>
                    <w:rPr>
                      <w:rFonts w:ascii="Times New Roman" w:eastAsia="宋体" w:cs="Times New Roman" w:hAnsi="Times New Roman" w:hint="eastAsia"/>
                      <w:bCs/>
                      <w:color w:val="auto"/>
                      <w:kern w:val="0"/>
                      <w:sz w:val="21"/>
                      <w:szCs w:val="21"/>
                      <w:lang w:val="zh-CN" w:eastAsia="zh-CN" w:bidi="ar-SA"/>
                      <w:highlight w:val="none"/>
                    </w:rPr>
                    <w:t>占地面积</w:t>
                  </w:r>
                </w:p>
              </w:tc>
              <w:tc>
                <w:tcPr>
                  <w:tcW w:w="1284" w:type="dxa"/>
                  <w:tcBorders>
                    <w:tl2br w:val="nil"/>
                    <w:tr2bl w:val="nil"/>
                  </w:tcBorders>
                  <w:tcMar>
                    <w:left w:w="6" w:type="dxa"/>
                    <w:right w:w="6"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zh-CN" w:eastAsia="zh-CN" w:bidi="ar-SA"/>
                      <w:highlight w:val="none"/>
                    </w:rPr>
                  </w:pPr>
                  <w:r>
                    <w:rPr>
                      <w:rFonts w:ascii="Times New Roman" w:eastAsia="宋体" w:cs="Times New Roman" w:hAnsi="Times New Roman" w:hint="eastAsia"/>
                      <w:bCs/>
                      <w:color w:val="auto"/>
                      <w:kern w:val="0"/>
                      <w:sz w:val="21"/>
                      <w:szCs w:val="21"/>
                      <w:lang w:val="zh-CN" w:eastAsia="zh-CN" w:bidi="ar-SA"/>
                      <w:highlight w:val="none"/>
                    </w:rPr>
                    <w:t>贮存方式</w:t>
                  </w:r>
                </w:p>
              </w:tc>
              <w:tc>
                <w:tcPr>
                  <w:tcW w:w="732" w:type="dxa"/>
                  <w:tcBorders>
                    <w:tl2br w:val="nil"/>
                    <w:tr2bl w:val="nil"/>
                  </w:tcBorders>
                  <w:tcMar>
                    <w:left w:w="6" w:type="dxa"/>
                    <w:right w:w="6"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zh-CN" w:eastAsia="zh-CN" w:bidi="ar-SA"/>
                      <w:highlight w:val="none"/>
                    </w:rPr>
                  </w:pPr>
                  <w:r>
                    <w:rPr>
                      <w:rFonts w:ascii="Times New Roman" w:eastAsia="宋体" w:cs="Times New Roman" w:hAnsi="Times New Roman" w:hint="eastAsia"/>
                      <w:bCs/>
                      <w:color w:val="auto"/>
                      <w:kern w:val="0"/>
                      <w:sz w:val="21"/>
                      <w:szCs w:val="21"/>
                      <w:lang w:val="zh-CN" w:eastAsia="zh-CN" w:bidi="ar-SA"/>
                      <w:highlight w:val="none"/>
                    </w:rPr>
                    <w:t>贮存</w:t>
                  </w:r>
                </w:p>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zh-CN" w:eastAsia="zh-CN" w:bidi="ar-SA"/>
                      <w:highlight w:val="none"/>
                    </w:rPr>
                  </w:pPr>
                  <w:r>
                    <w:rPr>
                      <w:rFonts w:ascii="Times New Roman" w:eastAsia="宋体" w:cs="Times New Roman" w:hAnsi="Times New Roman" w:hint="eastAsia"/>
                      <w:bCs/>
                      <w:color w:val="auto"/>
                      <w:kern w:val="0"/>
                      <w:sz w:val="21"/>
                      <w:szCs w:val="21"/>
                      <w:lang w:val="zh-CN" w:eastAsia="zh-CN" w:bidi="ar-SA"/>
                      <w:highlight w:val="none"/>
                    </w:rPr>
                    <w:t>能力</w:t>
                  </w:r>
                </w:p>
              </w:tc>
              <w:tc>
                <w:tcPr>
                  <w:tcW w:w="870" w:type="dxa"/>
                  <w:tcBorders>
                    <w:tl2br w:val="nil"/>
                    <w:tr2bl w:val="nil"/>
                  </w:tcBorders>
                  <w:tcMar>
                    <w:left w:w="6" w:type="dxa"/>
                    <w:right w:w="6"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zh-CN" w:eastAsia="zh-CN" w:bidi="ar-SA"/>
                      <w:highlight w:val="none"/>
                    </w:rPr>
                  </w:pPr>
                  <w:r>
                    <w:rPr>
                      <w:rFonts w:ascii="Times New Roman" w:eastAsia="宋体" w:cs="Times New Roman" w:hAnsi="Times New Roman" w:hint="eastAsia"/>
                      <w:bCs/>
                      <w:color w:val="auto"/>
                      <w:kern w:val="0"/>
                      <w:sz w:val="21"/>
                      <w:szCs w:val="21"/>
                      <w:lang w:val="zh-CN" w:eastAsia="zh-CN" w:bidi="ar-SA"/>
                      <w:highlight w:val="none"/>
                    </w:rPr>
                    <w:t>贮存周期</w:t>
                  </w:r>
                </w:p>
              </w:tc>
            </w:tr>
            <w:tr>
              <w:trPr>
                <w:trHeight w:val="406"/>
              </w:trPr>
              <w:tc>
                <w:tcPr>
                  <w:tcW w:w="281" w:type="dxa"/>
                  <w:tcBorders>
                    <w:tl2br w:val="nil"/>
                    <w:tr2bl w:val="nil"/>
                  </w:tcBorders>
                  <w:tcMar>
                    <w:left w:w="6" w:type="dxa"/>
                    <w:right w:w="6"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zh-CN" w:eastAsia="zh-CN" w:bidi="ar-SA"/>
                      <w:highlight w:val="none"/>
                    </w:rPr>
                  </w:pPr>
                  <w:r>
                    <w:rPr>
                      <w:rFonts w:ascii="Times New Roman" w:eastAsia="宋体" w:cs="Times New Roman" w:hAnsi="Times New Roman" w:hint="eastAsia"/>
                      <w:bCs/>
                      <w:color w:val="auto"/>
                      <w:kern w:val="0"/>
                      <w:sz w:val="21"/>
                      <w:szCs w:val="21"/>
                      <w:lang w:val="zh-CN" w:eastAsia="zh-CN" w:bidi="ar-SA"/>
                      <w:highlight w:val="none"/>
                    </w:rPr>
                    <w:t>1</w:t>
                  </w:r>
                </w:p>
              </w:tc>
              <w:tc>
                <w:tcPr>
                  <w:tcW w:w="857" w:type="dxa"/>
                  <w:vMerge w:val="restart"/>
                  <w:tcBorders>
                    <w:tl2br w:val="nil"/>
                    <w:tr2bl w:val="nil"/>
                  </w:tcBorders>
                  <w:tcMar>
                    <w:left w:w="6" w:type="dxa"/>
                    <w:right w:w="6"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zh-CN" w:eastAsia="zh-CN" w:bidi="ar-SA"/>
                      <w:highlight w:val="none"/>
                    </w:rPr>
                  </w:pPr>
                  <w:r>
                    <w:rPr>
                      <w:rFonts w:cs="Times New Roman" w:hint="eastAsia"/>
                      <w:bCs/>
                      <w:color w:val="auto"/>
                      <w:kern w:val="0"/>
                      <w:sz w:val="21"/>
                      <w:szCs w:val="21"/>
                      <w:lang w:val="zh-CN" w:eastAsia="zh-CN" w:bidi="ar-SA"/>
                      <w:highlight w:val="none"/>
                    </w:rPr>
                    <w:t>危废间</w:t>
                  </w:r>
                </w:p>
              </w:tc>
              <w:tc>
                <w:tcPr>
                  <w:tcW w:w="1183" w:type="dxa"/>
                  <w:tcBorders>
                    <w:tl2br w:val="nil"/>
                    <w:tr2bl w:val="nil"/>
                  </w:tcBorders>
                  <w:tcMar>
                    <w:left w:w="6" w:type="dxa"/>
                    <w:right w:w="6"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en-US" w:eastAsia="zh-CN" w:bidi="ar-SA"/>
                      <w:highlight w:val="none"/>
                    </w:rPr>
                  </w:pPr>
                  <w:r>
                    <w:rPr>
                      <w:rFonts w:ascii="Times New Roman" w:eastAsia="宋体" w:cs="Times New Roman" w:hAnsi="Times New Roman" w:hint="eastAsia"/>
                      <w:bCs/>
                      <w:color w:val="auto"/>
                      <w:kern w:val="0"/>
                      <w:sz w:val="21"/>
                      <w:szCs w:val="21"/>
                      <w:lang w:val="zh-CN" w:eastAsia="zh-CN" w:bidi="ar-SA"/>
                      <w:highlight w:val="none"/>
                    </w:rPr>
                    <w:t>废电解液</w:t>
                  </w:r>
                </w:p>
              </w:tc>
              <w:tc>
                <w:tcPr>
                  <w:tcW w:w="816" w:type="dxa"/>
                  <w:tcBorders>
                    <w:tl2br w:val="nil"/>
                    <w:tr2bl w:val="nil"/>
                  </w:tcBorders>
                  <w:tcMar>
                    <w:left w:w="6" w:type="dxa"/>
                    <w:right w:w="6"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en-US" w:eastAsia="zh-CN" w:bidi="ar-SA"/>
                      <w:highlight w:val="none"/>
                    </w:rPr>
                  </w:pPr>
                  <w:r>
                    <w:rPr>
                      <w:rFonts w:ascii="Times New Roman" w:eastAsia="宋体" w:cs="Times New Roman" w:hAnsi="Times New Roman" w:hint="eastAsia"/>
                      <w:bCs/>
                      <w:color w:val="auto"/>
                      <w:kern w:val="0"/>
                      <w:sz w:val="21"/>
                      <w:szCs w:val="21"/>
                      <w:lang w:val="zh-CN" w:eastAsia="zh-CN" w:bidi="ar-SA"/>
                      <w:highlight w:val="none"/>
                    </w:rPr>
                    <w:t>HW31</w:t>
                  </w:r>
                </w:p>
              </w:tc>
              <w:tc>
                <w:tcPr>
                  <w:tcW w:w="1200" w:type="dxa"/>
                  <w:tcBorders>
                    <w:tl2br w:val="nil"/>
                    <w:tr2bl w:val="nil"/>
                  </w:tcBorders>
                  <w:tcMar>
                    <w:left w:w="6" w:type="dxa"/>
                    <w:right w:w="6"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en-US" w:eastAsia="zh-CN" w:bidi="ar-SA"/>
                      <w:highlight w:val="none"/>
                    </w:rPr>
                  </w:pPr>
                  <w:r>
                    <w:rPr>
                      <w:rFonts w:ascii="Times New Roman" w:eastAsia="宋体" w:cs="Times New Roman" w:hAnsi="Times New Roman" w:hint="eastAsia"/>
                      <w:bCs/>
                      <w:color w:val="auto"/>
                      <w:kern w:val="0"/>
                      <w:sz w:val="21"/>
                      <w:szCs w:val="21"/>
                      <w:lang w:val="zh-CN" w:eastAsia="zh-CN" w:bidi="ar-SA"/>
                      <w:highlight w:val="none"/>
                    </w:rPr>
                    <w:t>900-052-31</w:t>
                  </w:r>
                </w:p>
              </w:tc>
              <w:tc>
                <w:tcPr>
                  <w:tcW w:w="852" w:type="dxa"/>
                  <w:vMerge w:val="restart"/>
                  <w:tcBorders>
                    <w:tl2br w:val="nil"/>
                    <w:tr2bl w:val="nil"/>
                  </w:tcBorders>
                  <w:tcMar>
                    <w:left w:w="6" w:type="dxa"/>
                    <w:right w:w="6"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zh-CN" w:eastAsia="zh-CN" w:bidi="ar-SA"/>
                      <w:highlight w:val="none"/>
                    </w:rPr>
                  </w:pPr>
                  <w:r>
                    <w:rPr>
                      <w:rFonts w:ascii="Times New Roman" w:eastAsia="宋体" w:cs="Times New Roman" w:hAnsi="Times New Roman" w:hint="eastAsia"/>
                      <w:bCs/>
                      <w:color w:val="auto"/>
                      <w:kern w:val="0"/>
                      <w:sz w:val="21"/>
                      <w:szCs w:val="21"/>
                      <w:lang w:val="zh-CN" w:eastAsia="zh-CN" w:bidi="ar-SA"/>
                      <w:highlight w:val="none"/>
                    </w:rPr>
                    <w:t>库房内东</w:t>
                  </w:r>
                  <w:r>
                    <w:rPr>
                      <w:rFonts w:cs="Times New Roman" w:hint="eastAsia"/>
                      <w:bCs/>
                      <w:color w:val="auto"/>
                      <w:kern w:val="0"/>
                      <w:sz w:val="21"/>
                      <w:szCs w:val="21"/>
                      <w:lang w:val="zh-CN" w:eastAsia="zh-CN" w:bidi="ar-SA"/>
                      <w:highlight w:val="none"/>
                    </w:rPr>
                    <w:t>北</w:t>
                  </w:r>
                  <w:r>
                    <w:rPr>
                      <w:rFonts w:ascii="Times New Roman" w:eastAsia="宋体" w:cs="Times New Roman" w:hAnsi="Times New Roman" w:hint="eastAsia"/>
                      <w:bCs/>
                      <w:color w:val="auto"/>
                      <w:kern w:val="0"/>
                      <w:sz w:val="21"/>
                      <w:szCs w:val="21"/>
                      <w:lang w:val="zh-CN" w:eastAsia="zh-CN" w:bidi="ar-SA"/>
                      <w:highlight w:val="none"/>
                    </w:rPr>
                    <w:t>侧</w:t>
                  </w:r>
                </w:p>
              </w:tc>
              <w:tc>
                <w:tcPr>
                  <w:tcW w:w="840" w:type="dxa"/>
                  <w:vMerge w:val="restart"/>
                  <w:tcBorders>
                    <w:tl2br w:val="nil"/>
                    <w:tr2bl w:val="nil"/>
                  </w:tcBorders>
                  <w:tcMar>
                    <w:left w:w="6" w:type="dxa"/>
                    <w:right w:w="6"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zh-CN" w:eastAsia="zh-CN" w:bidi="ar-SA"/>
                      <w:highlight w:val="none"/>
                    </w:rPr>
                  </w:pPr>
                  <w:r>
                    <w:rPr>
                      <w:rFonts w:cs="Times New Roman" w:hint="eastAsia"/>
                      <w:bCs/>
                      <w:color w:val="auto"/>
                      <w:kern w:val="0"/>
                      <w:sz w:val="21"/>
                      <w:szCs w:val="21"/>
                      <w:lang w:val="en-US" w:eastAsia="zh-CN" w:bidi="ar-SA"/>
                      <w:highlight w:val="none"/>
                    </w:rPr>
                    <w:t>14</w:t>
                  </w:r>
                  <w:r>
                    <w:rPr>
                      <w:rFonts w:ascii="Times New Roman" w:eastAsia="宋体" w:cs="Times New Roman" w:hAnsi="Times New Roman" w:hint="eastAsia"/>
                      <w:bCs/>
                      <w:color w:val="auto"/>
                      <w:kern w:val="0"/>
                      <w:sz w:val="21"/>
                      <w:szCs w:val="21"/>
                      <w:lang w:val="zh-CN" w:eastAsia="zh-CN" w:bidi="ar-SA"/>
                      <w:highlight w:val="none"/>
                    </w:rPr>
                    <w:t>m</w:t>
                  </w:r>
                  <w:r>
                    <w:rPr>
                      <w:rFonts w:ascii="Times New Roman" w:eastAsia="宋体" w:cs="Times New Roman" w:hAnsi="Times New Roman" w:hint="eastAsia"/>
                      <w:bCs/>
                      <w:color w:val="auto"/>
                      <w:kern w:val="0"/>
                      <w:sz w:val="21"/>
                      <w:szCs w:val="21"/>
                      <w:vertAlign w:val="superscript"/>
                      <w:lang w:val="zh-CN" w:eastAsia="zh-CN" w:bidi="ar-SA"/>
                      <w:highlight w:val="none"/>
                    </w:rPr>
                    <w:t>2</w:t>
                  </w:r>
                </w:p>
              </w:tc>
              <w:tc>
                <w:tcPr>
                  <w:tcW w:w="1284" w:type="dxa"/>
                  <w:vMerge w:val="restart"/>
                  <w:tcBorders>
                    <w:tl2br w:val="nil"/>
                    <w:tr2bl w:val="nil"/>
                  </w:tcBorders>
                  <w:tcMar>
                    <w:left w:w="6" w:type="dxa"/>
                    <w:right w:w="6"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zh-CN" w:eastAsia="zh-CN" w:bidi="ar-SA"/>
                      <w:highlight w:val="none"/>
                    </w:rPr>
                  </w:pPr>
                  <w:r>
                    <w:rPr>
                      <w:rFonts w:ascii="Times New Roman" w:eastAsia="宋体" w:cs="Times New Roman" w:hAnsi="Times New Roman" w:hint="eastAsia"/>
                      <w:bCs/>
                      <w:color w:val="auto"/>
                      <w:kern w:val="0"/>
                      <w:sz w:val="21"/>
                      <w:szCs w:val="21"/>
                      <w:lang w:val="zh-CN" w:eastAsia="zh-CN" w:bidi="ar-SA"/>
                      <w:highlight w:val="none"/>
                    </w:rPr>
                    <w:t>分类密封</w:t>
                  </w:r>
                </w:p>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zh-CN" w:eastAsia="zh-CN" w:bidi="ar-SA"/>
                      <w:highlight w:val="none"/>
                    </w:rPr>
                  </w:pPr>
                  <w:r>
                    <w:rPr>
                      <w:rFonts w:ascii="Times New Roman" w:eastAsia="宋体" w:cs="Times New Roman" w:hAnsi="Times New Roman" w:hint="eastAsia"/>
                      <w:bCs/>
                      <w:color w:val="auto"/>
                      <w:kern w:val="0"/>
                      <w:sz w:val="21"/>
                      <w:szCs w:val="21"/>
                      <w:lang w:val="zh-CN" w:eastAsia="zh-CN" w:bidi="ar-SA"/>
                      <w:highlight w:val="none"/>
                    </w:rPr>
                    <w:t>包装、分</w:t>
                  </w:r>
                </w:p>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zh-CN" w:eastAsia="zh-CN" w:bidi="ar-SA"/>
                      <w:highlight w:val="none"/>
                    </w:rPr>
                  </w:pPr>
                  <w:r>
                    <w:rPr>
                      <w:rFonts w:ascii="Times New Roman" w:eastAsia="宋体" w:cs="Times New Roman" w:hAnsi="Times New Roman" w:hint="eastAsia"/>
                      <w:bCs/>
                      <w:color w:val="auto"/>
                      <w:kern w:val="0"/>
                      <w:sz w:val="21"/>
                      <w:szCs w:val="21"/>
                      <w:lang w:val="zh-CN" w:eastAsia="zh-CN" w:bidi="ar-SA"/>
                      <w:highlight w:val="none"/>
                    </w:rPr>
                    <w:t>区暂存，</w:t>
                  </w:r>
                </w:p>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zh-CN" w:eastAsia="zh-CN" w:bidi="ar-SA"/>
                      <w:highlight w:val="none"/>
                    </w:rPr>
                  </w:pPr>
                  <w:r>
                    <w:rPr>
                      <w:rFonts w:ascii="Times New Roman" w:eastAsia="宋体" w:cs="Times New Roman" w:hAnsi="Times New Roman" w:hint="eastAsia"/>
                      <w:bCs/>
                      <w:color w:val="auto"/>
                      <w:kern w:val="0"/>
                      <w:sz w:val="21"/>
                      <w:szCs w:val="21"/>
                      <w:lang w:val="zh-CN" w:eastAsia="zh-CN" w:bidi="ar-SA"/>
                      <w:highlight w:val="none"/>
                    </w:rPr>
                    <w:t>暂存于密</w:t>
                  </w:r>
                </w:p>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zh-CN" w:eastAsia="zh-CN" w:bidi="ar-SA"/>
                      <w:highlight w:val="none"/>
                    </w:rPr>
                  </w:pPr>
                  <w:r>
                    <w:rPr>
                      <w:rFonts w:ascii="Times New Roman" w:eastAsia="宋体" w:cs="Times New Roman" w:hAnsi="Times New Roman" w:hint="eastAsia"/>
                      <w:bCs/>
                      <w:color w:val="auto"/>
                      <w:kern w:val="0"/>
                      <w:sz w:val="21"/>
                      <w:szCs w:val="21"/>
                      <w:lang w:val="zh-CN" w:eastAsia="zh-CN" w:bidi="ar-SA"/>
                      <w:highlight w:val="none"/>
                    </w:rPr>
                    <w:t>闭桶内，</w:t>
                  </w:r>
                </w:p>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zh-CN" w:eastAsia="zh-CN" w:bidi="ar-SA"/>
                      <w:highlight w:val="none"/>
                    </w:rPr>
                  </w:pPr>
                  <w:r>
                    <w:rPr>
                      <w:rFonts w:ascii="Times New Roman" w:eastAsia="宋体" w:cs="Times New Roman" w:hAnsi="Times New Roman" w:hint="eastAsia"/>
                      <w:bCs/>
                      <w:color w:val="auto"/>
                      <w:kern w:val="0"/>
                      <w:sz w:val="21"/>
                      <w:szCs w:val="21"/>
                      <w:lang w:val="zh-CN" w:eastAsia="zh-CN" w:bidi="ar-SA"/>
                      <w:highlight w:val="none"/>
                    </w:rPr>
                    <w:t>桶下放置托盘</w:t>
                  </w:r>
                </w:p>
              </w:tc>
              <w:tc>
                <w:tcPr>
                  <w:tcW w:w="732" w:type="dxa"/>
                  <w:tcBorders>
                    <w:tl2br w:val="nil"/>
                    <w:tr2bl w:val="nil"/>
                  </w:tcBorders>
                  <w:tcMar>
                    <w:left w:w="6" w:type="dxa"/>
                    <w:right w:w="6"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bCs/>
                      <w:color w:val="auto"/>
                      <w:kern w:val="0"/>
                      <w:sz w:val="21"/>
                      <w:szCs w:val="21"/>
                      <w:lang w:val="en-US" w:eastAsia="zh-CN" w:bidi="ar-SA"/>
                      <w:highlight w:val="none"/>
                    </w:rPr>
                  </w:pPr>
                  <w:r>
                    <w:rPr>
                      <w:rFonts w:cs="Times New Roman" w:hint="eastAsia"/>
                      <w:bCs/>
                      <w:color w:val="auto"/>
                      <w:kern w:val="0"/>
                      <w:sz w:val="21"/>
                      <w:szCs w:val="21"/>
                      <w:lang w:val="en-US" w:eastAsia="zh-CN" w:bidi="ar-SA"/>
                      <w:highlight w:val="none"/>
                    </w:rPr>
                    <w:t>4.5</w:t>
                  </w:r>
                </w:p>
              </w:tc>
              <w:tc>
                <w:tcPr>
                  <w:tcW w:w="870" w:type="dxa"/>
                  <w:tcBorders>
                    <w:tl2br w:val="nil"/>
                    <w:tr2bl w:val="nil"/>
                  </w:tcBorders>
                  <w:tcMar>
                    <w:left w:w="6" w:type="dxa"/>
                    <w:right w:w="6"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bCs/>
                      <w:color w:val="auto"/>
                      <w:kern w:val="0"/>
                      <w:sz w:val="21"/>
                      <w:szCs w:val="21"/>
                      <w:lang w:val="en-US" w:eastAsia="zh-CN" w:bidi="ar-SA"/>
                      <w:highlight w:val="none"/>
                    </w:rPr>
                  </w:pPr>
                  <w:r>
                    <w:rPr>
                      <w:rFonts w:ascii="Times New Roman" w:eastAsia="宋体" w:cs="Times New Roman" w:hAnsi="Times New Roman" w:hint="eastAsia"/>
                      <w:bCs/>
                      <w:color w:val="auto"/>
                      <w:kern w:val="0"/>
                      <w:sz w:val="21"/>
                      <w:szCs w:val="21"/>
                      <w:lang w:val="zh-CN" w:eastAsia="zh-CN" w:bidi="ar-SA"/>
                      <w:highlight w:val="none"/>
                    </w:rPr>
                    <w:t>1次/</w:t>
                  </w:r>
                  <w:r>
                    <w:rPr>
                      <w:rFonts w:cs="Times New Roman" w:hint="eastAsia"/>
                      <w:bCs/>
                      <w:color w:val="auto"/>
                      <w:kern w:val="0"/>
                      <w:sz w:val="21"/>
                      <w:szCs w:val="21"/>
                      <w:lang w:val="en-US" w:eastAsia="zh-CN" w:bidi="ar-SA"/>
                      <w:highlight w:val="none"/>
                    </w:rPr>
                    <w:t>5天</w:t>
                  </w:r>
                </w:p>
              </w:tc>
            </w:tr>
            <w:tr>
              <w:trPr>
                <w:trHeight w:val="406"/>
              </w:trPr>
              <w:tc>
                <w:tcPr>
                  <w:tcW w:w="281" w:type="dxa"/>
                  <w:tcBorders>
                    <w:tl2br w:val="nil"/>
                    <w:tr2bl w:val="nil"/>
                  </w:tcBorders>
                  <w:tcMar>
                    <w:left w:w="6" w:type="dxa"/>
                    <w:right w:w="6"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en-US" w:eastAsia="zh-CN" w:bidi="ar-SA"/>
                      <w:highlight w:val="none"/>
                    </w:rPr>
                  </w:pPr>
                  <w:r>
                    <w:rPr>
                      <w:rFonts w:ascii="Times New Roman" w:eastAsia="宋体" w:cs="Times New Roman" w:hAnsi="Times New Roman" w:hint="eastAsia"/>
                      <w:bCs/>
                      <w:color w:val="auto"/>
                      <w:kern w:val="0"/>
                      <w:sz w:val="21"/>
                      <w:szCs w:val="21"/>
                      <w:lang w:val="en-US" w:eastAsia="zh-CN" w:bidi="ar-SA"/>
                      <w:highlight w:val="none"/>
                    </w:rPr>
                    <w:t>2</w:t>
                  </w:r>
                </w:p>
              </w:tc>
              <w:tc>
                <w:tcPr>
                  <w:tcW w:w="857" w:type="dxa"/>
                  <w:vMerge/>
                  <w:tcBorders>
                    <w:tl2br w:val="nil"/>
                    <w:tr2bl w:val="nil"/>
                  </w:tcBorders>
                  <w:tcMar>
                    <w:left w:w="6" w:type="dxa"/>
                    <w:right w:w="6" w:type="dxa"/>
                  </w:tcMar>
                  <w:vAlign w:val="center"/>
                </w:tcPr>
                <w:p/>
              </w:tc>
              <w:tc>
                <w:tcPr>
                  <w:tcW w:w="1183" w:type="dxa"/>
                  <w:tcBorders>
                    <w:tl2br w:val="nil"/>
                    <w:tr2bl w:val="nil"/>
                  </w:tcBorders>
                  <w:tcMar>
                    <w:left w:w="6" w:type="dxa"/>
                    <w:right w:w="6"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en-US" w:eastAsia="zh-CN" w:bidi="ar-SA"/>
                      <w:highlight w:val="none"/>
                    </w:rPr>
                  </w:pPr>
                  <w:r>
                    <w:rPr>
                      <w:rFonts w:ascii="Times New Roman" w:eastAsia="宋体" w:cs="Times New Roman" w:hAnsi="Times New Roman" w:hint="eastAsia"/>
                      <w:bCs/>
                      <w:color w:val="auto"/>
                      <w:kern w:val="0"/>
                      <w:sz w:val="21"/>
                      <w:szCs w:val="21"/>
                      <w:lang w:val="zh-CN" w:eastAsia="zh-CN" w:bidi="ar-SA"/>
                      <w:highlight w:val="none"/>
                    </w:rPr>
                    <w:t>废碱液</w:t>
                  </w:r>
                </w:p>
              </w:tc>
              <w:tc>
                <w:tcPr>
                  <w:tcW w:w="816" w:type="dxa"/>
                  <w:tcBorders>
                    <w:tl2br w:val="nil"/>
                    <w:tr2bl w:val="nil"/>
                  </w:tcBorders>
                  <w:tcMar>
                    <w:left w:w="6" w:type="dxa"/>
                    <w:right w:w="6"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en-US" w:eastAsia="zh-CN" w:bidi="ar-SA"/>
                      <w:highlight w:val="none"/>
                    </w:rPr>
                  </w:pPr>
                  <w:r>
                    <w:rPr>
                      <w:rFonts w:ascii="Times New Roman" w:eastAsia="宋体" w:cs="Times New Roman" w:hAnsi="Times New Roman" w:hint="eastAsia"/>
                      <w:bCs/>
                      <w:color w:val="auto"/>
                      <w:kern w:val="0"/>
                      <w:sz w:val="21"/>
                      <w:szCs w:val="21"/>
                      <w:lang w:val="zh-CN" w:eastAsia="zh-CN" w:bidi="ar-SA"/>
                      <w:highlight w:val="none"/>
                    </w:rPr>
                    <w:t>HW35</w:t>
                  </w:r>
                </w:p>
              </w:tc>
              <w:tc>
                <w:tcPr>
                  <w:tcW w:w="1200" w:type="dxa"/>
                  <w:tcBorders>
                    <w:tl2br w:val="nil"/>
                    <w:tr2bl w:val="nil"/>
                  </w:tcBorders>
                  <w:tcMar>
                    <w:left w:w="6" w:type="dxa"/>
                    <w:right w:w="6"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en-US" w:eastAsia="zh-CN" w:bidi="ar-SA"/>
                      <w:highlight w:val="none"/>
                    </w:rPr>
                  </w:pPr>
                  <w:r>
                    <w:rPr>
                      <w:rFonts w:ascii="Times New Roman" w:eastAsia="宋体" w:cs="Times New Roman" w:hAnsi="Times New Roman" w:hint="eastAsia"/>
                      <w:bCs/>
                      <w:color w:val="auto"/>
                      <w:kern w:val="0"/>
                      <w:sz w:val="21"/>
                      <w:szCs w:val="21"/>
                      <w:lang w:val="zh-CN" w:eastAsia="zh-CN" w:bidi="ar-SA"/>
                      <w:highlight w:val="none"/>
                    </w:rPr>
                    <w:t>900-399-35</w:t>
                  </w:r>
                </w:p>
              </w:tc>
              <w:tc>
                <w:tcPr>
                  <w:tcW w:w="852" w:type="dxa"/>
                  <w:vMerge/>
                  <w:tcBorders>
                    <w:tl2br w:val="nil"/>
                    <w:tr2bl w:val="nil"/>
                  </w:tcBorders>
                  <w:tcMar>
                    <w:left w:w="6" w:type="dxa"/>
                    <w:right w:w="6" w:type="dxa"/>
                  </w:tcMar>
                  <w:vAlign w:val="center"/>
                </w:tcPr>
                <w:p/>
              </w:tc>
              <w:tc>
                <w:tcPr>
                  <w:tcW w:w="840" w:type="dxa"/>
                  <w:vMerge/>
                  <w:tcBorders>
                    <w:tl2br w:val="nil"/>
                    <w:tr2bl w:val="nil"/>
                  </w:tcBorders>
                  <w:tcMar>
                    <w:left w:w="6" w:type="dxa"/>
                    <w:right w:w="6" w:type="dxa"/>
                  </w:tcMar>
                  <w:vAlign w:val="center"/>
                </w:tcPr>
                <w:p/>
              </w:tc>
              <w:tc>
                <w:tcPr>
                  <w:tcW w:w="1284" w:type="dxa"/>
                  <w:vMerge/>
                  <w:tcBorders>
                    <w:tl2br w:val="nil"/>
                    <w:tr2bl w:val="nil"/>
                  </w:tcBorders>
                  <w:tcMar>
                    <w:left w:w="6" w:type="dxa"/>
                    <w:right w:w="6" w:type="dxa"/>
                  </w:tcMar>
                  <w:vAlign w:val="center"/>
                </w:tcPr>
                <w:p/>
              </w:tc>
              <w:tc>
                <w:tcPr>
                  <w:tcW w:w="732" w:type="dxa"/>
                  <w:tcBorders>
                    <w:tl2br w:val="nil"/>
                    <w:tr2bl w:val="nil"/>
                  </w:tcBorders>
                  <w:tcMar>
                    <w:left w:w="6" w:type="dxa"/>
                    <w:right w:w="6"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zh-CN" w:eastAsia="zh-CN" w:bidi="ar-SA"/>
                      <w:highlight w:val="none"/>
                    </w:rPr>
                  </w:pPr>
                  <w:r>
                    <w:rPr>
                      <w:rFonts w:ascii="Times New Roman" w:eastAsia="宋体" w:cs="Times New Roman" w:hAnsi="Times New Roman" w:hint="eastAsia"/>
                      <w:bCs/>
                      <w:color w:val="auto"/>
                      <w:kern w:val="0"/>
                      <w:sz w:val="21"/>
                      <w:szCs w:val="21"/>
                      <w:lang w:val="zh-CN" w:eastAsia="zh-CN" w:bidi="ar-SA"/>
                      <w:highlight w:val="none"/>
                    </w:rPr>
                    <w:t>0.</w:t>
                  </w:r>
                  <w:r>
                    <w:rPr>
                      <w:rFonts w:cs="Times New Roman" w:hint="eastAsia"/>
                      <w:bCs/>
                      <w:color w:val="auto"/>
                      <w:kern w:val="0"/>
                      <w:sz w:val="21"/>
                      <w:szCs w:val="21"/>
                      <w:lang w:val="en-US" w:eastAsia="zh-CN" w:bidi="ar-SA"/>
                      <w:highlight w:val="none"/>
                    </w:rPr>
                    <w:t>7</w:t>
                  </w:r>
                </w:p>
              </w:tc>
              <w:tc>
                <w:tcPr>
                  <w:tcW w:w="870" w:type="dxa"/>
                  <w:tcBorders>
                    <w:tl2br w:val="nil"/>
                    <w:tr2bl w:val="nil"/>
                  </w:tcBorders>
                  <w:tcMar>
                    <w:left w:w="6" w:type="dxa"/>
                    <w:right w:w="6"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zh-CN" w:eastAsia="zh-CN" w:bidi="ar-SA"/>
                      <w:highlight w:val="none"/>
                    </w:rPr>
                  </w:pPr>
                  <w:r>
                    <w:rPr>
                      <w:rFonts w:ascii="Times New Roman" w:eastAsia="宋体" w:cs="Times New Roman" w:hAnsi="Times New Roman" w:hint="eastAsia"/>
                      <w:bCs/>
                      <w:color w:val="auto"/>
                      <w:kern w:val="0"/>
                      <w:sz w:val="21"/>
                      <w:szCs w:val="21"/>
                      <w:lang w:val="zh-CN" w:eastAsia="zh-CN" w:bidi="ar-SA"/>
                      <w:highlight w:val="none"/>
                    </w:rPr>
                    <w:t>1次/年</w:t>
                  </w:r>
                </w:p>
              </w:tc>
            </w:tr>
            <w:tr>
              <w:trPr>
                <w:trHeight w:val="406"/>
              </w:trPr>
              <w:tc>
                <w:tcPr>
                  <w:tcW w:w="281" w:type="dxa"/>
                  <w:tcBorders>
                    <w:tl2br w:val="nil"/>
                    <w:tr2bl w:val="nil"/>
                  </w:tcBorders>
                  <w:tcMar>
                    <w:left w:w="6" w:type="dxa"/>
                    <w:right w:w="6"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en-US" w:eastAsia="zh-CN" w:bidi="ar-SA"/>
                      <w:highlight w:val="none"/>
                    </w:rPr>
                  </w:pPr>
                  <w:r>
                    <w:rPr>
                      <w:rFonts w:ascii="Times New Roman" w:eastAsia="宋体" w:cs="Times New Roman" w:hAnsi="Times New Roman" w:hint="eastAsia"/>
                      <w:bCs/>
                      <w:color w:val="auto"/>
                      <w:kern w:val="0"/>
                      <w:sz w:val="21"/>
                      <w:szCs w:val="21"/>
                      <w:lang w:val="en-US" w:eastAsia="zh-CN" w:bidi="ar-SA"/>
                      <w:highlight w:val="none"/>
                    </w:rPr>
                    <w:t>3</w:t>
                  </w:r>
                </w:p>
              </w:tc>
              <w:tc>
                <w:tcPr>
                  <w:tcW w:w="857" w:type="dxa"/>
                  <w:vMerge/>
                  <w:tcBorders>
                    <w:tl2br w:val="nil"/>
                    <w:tr2bl w:val="nil"/>
                  </w:tcBorders>
                  <w:tcMar>
                    <w:left w:w="6" w:type="dxa"/>
                    <w:right w:w="6" w:type="dxa"/>
                  </w:tcMar>
                  <w:vAlign w:val="center"/>
                </w:tcPr>
                <w:p/>
              </w:tc>
              <w:tc>
                <w:tcPr>
                  <w:tcW w:w="1183" w:type="dxa"/>
                  <w:tcBorders>
                    <w:tl2br w:val="nil"/>
                    <w:tr2bl w:val="nil"/>
                  </w:tcBorders>
                  <w:tcMar>
                    <w:left w:w="6" w:type="dxa"/>
                    <w:right w:w="6"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en-US" w:eastAsia="zh-CN" w:bidi="ar-SA"/>
                      <w:highlight w:val="none"/>
                    </w:rPr>
                  </w:pPr>
                  <w:r>
                    <w:rPr>
                      <w:rFonts w:ascii="Times New Roman" w:eastAsia="宋体" w:cs="Times New Roman" w:hAnsi="Times New Roman" w:hint="eastAsia"/>
                      <w:bCs/>
                      <w:color w:val="auto"/>
                      <w:kern w:val="0"/>
                      <w:sz w:val="21"/>
                      <w:szCs w:val="21"/>
                      <w:lang w:val="zh-CN" w:eastAsia="zh-CN" w:bidi="ar-SA"/>
                      <w:highlight w:val="none"/>
                    </w:rPr>
                    <w:t>废防护用具</w:t>
                  </w:r>
                </w:p>
              </w:tc>
              <w:tc>
                <w:tcPr>
                  <w:tcW w:w="816" w:type="dxa"/>
                  <w:tcBorders>
                    <w:tl2br w:val="nil"/>
                    <w:tr2bl w:val="nil"/>
                  </w:tcBorders>
                  <w:tcMar>
                    <w:left w:w="6" w:type="dxa"/>
                    <w:right w:w="6"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en-US" w:eastAsia="zh-CN" w:bidi="ar-SA"/>
                      <w:highlight w:val="none"/>
                    </w:rPr>
                  </w:pPr>
                  <w:r>
                    <w:rPr>
                      <w:rFonts w:ascii="Times New Roman" w:eastAsia="宋体" w:cs="Times New Roman" w:hAnsi="Times New Roman" w:hint="eastAsia"/>
                      <w:bCs/>
                      <w:color w:val="auto"/>
                      <w:kern w:val="0"/>
                      <w:sz w:val="21"/>
                      <w:szCs w:val="21"/>
                      <w:lang w:val="zh-CN" w:eastAsia="zh-CN" w:bidi="ar-SA"/>
                      <w:highlight w:val="none"/>
                    </w:rPr>
                    <w:t>HW49</w:t>
                  </w:r>
                </w:p>
              </w:tc>
              <w:tc>
                <w:tcPr>
                  <w:tcW w:w="1200" w:type="dxa"/>
                  <w:tcBorders>
                    <w:tl2br w:val="nil"/>
                    <w:tr2bl w:val="nil"/>
                  </w:tcBorders>
                  <w:tcMar>
                    <w:left w:w="6" w:type="dxa"/>
                    <w:right w:w="6"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en-US" w:eastAsia="zh-CN" w:bidi="ar-SA"/>
                      <w:highlight w:val="none"/>
                    </w:rPr>
                  </w:pPr>
                  <w:r>
                    <w:rPr>
                      <w:rFonts w:ascii="Times New Roman" w:eastAsia="宋体" w:cs="Times New Roman" w:hAnsi="Times New Roman" w:hint="eastAsia"/>
                      <w:bCs/>
                      <w:color w:val="auto"/>
                      <w:kern w:val="0"/>
                      <w:sz w:val="21"/>
                      <w:szCs w:val="21"/>
                      <w:lang w:val="zh-CN" w:eastAsia="zh-CN" w:bidi="ar-SA"/>
                      <w:highlight w:val="none"/>
                    </w:rPr>
                    <w:t>900-041-49</w:t>
                  </w:r>
                </w:p>
              </w:tc>
              <w:tc>
                <w:tcPr>
                  <w:tcW w:w="852" w:type="dxa"/>
                  <w:vMerge/>
                  <w:tcBorders>
                    <w:tl2br w:val="nil"/>
                    <w:tr2bl w:val="nil"/>
                  </w:tcBorders>
                  <w:tcMar>
                    <w:left w:w="6" w:type="dxa"/>
                    <w:right w:w="6" w:type="dxa"/>
                  </w:tcMar>
                  <w:vAlign w:val="center"/>
                </w:tcPr>
                <w:p/>
              </w:tc>
              <w:tc>
                <w:tcPr>
                  <w:tcW w:w="840" w:type="dxa"/>
                  <w:vMerge/>
                  <w:tcBorders>
                    <w:tl2br w:val="nil"/>
                    <w:tr2bl w:val="nil"/>
                  </w:tcBorders>
                  <w:tcMar>
                    <w:left w:w="6" w:type="dxa"/>
                    <w:right w:w="6" w:type="dxa"/>
                  </w:tcMar>
                  <w:vAlign w:val="center"/>
                </w:tcPr>
                <w:p/>
              </w:tc>
              <w:tc>
                <w:tcPr>
                  <w:tcW w:w="1284" w:type="dxa"/>
                  <w:vMerge/>
                  <w:tcBorders>
                    <w:tl2br w:val="nil"/>
                    <w:tr2bl w:val="nil"/>
                  </w:tcBorders>
                  <w:tcMar>
                    <w:left w:w="6" w:type="dxa"/>
                    <w:right w:w="6" w:type="dxa"/>
                  </w:tcMar>
                  <w:vAlign w:val="center"/>
                </w:tcPr>
                <w:p/>
              </w:tc>
              <w:tc>
                <w:tcPr>
                  <w:tcW w:w="732" w:type="dxa"/>
                  <w:tcBorders>
                    <w:tl2br w:val="nil"/>
                    <w:tr2bl w:val="nil"/>
                  </w:tcBorders>
                  <w:tcMar>
                    <w:left w:w="6" w:type="dxa"/>
                    <w:right w:w="6"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zh-CN" w:eastAsia="zh-CN" w:bidi="ar-SA"/>
                      <w:highlight w:val="none"/>
                    </w:rPr>
                  </w:pPr>
                  <w:r>
                    <w:rPr>
                      <w:rFonts w:ascii="Times New Roman" w:eastAsia="宋体" w:cs="Times New Roman" w:hAnsi="Times New Roman" w:hint="eastAsia"/>
                      <w:bCs/>
                      <w:color w:val="auto"/>
                      <w:kern w:val="0"/>
                      <w:sz w:val="21"/>
                      <w:szCs w:val="21"/>
                      <w:lang w:val="zh-CN" w:eastAsia="zh-CN" w:bidi="ar-SA"/>
                      <w:highlight w:val="none"/>
                    </w:rPr>
                    <w:t>0.</w:t>
                  </w:r>
                  <w:r>
                    <w:rPr>
                      <w:rFonts w:cs="Times New Roman" w:hint="eastAsia"/>
                      <w:bCs/>
                      <w:color w:val="auto"/>
                      <w:kern w:val="0"/>
                      <w:sz w:val="21"/>
                      <w:szCs w:val="21"/>
                      <w:lang w:val="en-US" w:eastAsia="zh-CN" w:bidi="ar-SA"/>
                      <w:highlight w:val="none"/>
                    </w:rPr>
                    <w:t>4</w:t>
                  </w:r>
                  <w:r>
                    <w:rPr>
                      <w:rFonts w:ascii="Times New Roman" w:eastAsia="宋体" w:cs="Times New Roman" w:hAnsi="Times New Roman" w:hint="eastAsia"/>
                      <w:bCs/>
                      <w:color w:val="auto"/>
                      <w:kern w:val="0"/>
                      <w:sz w:val="21"/>
                      <w:szCs w:val="21"/>
                      <w:lang w:val="zh-CN" w:eastAsia="zh-CN" w:bidi="ar-SA"/>
                      <w:highlight w:val="none"/>
                    </w:rPr>
                    <w:t>5</w:t>
                  </w:r>
                </w:p>
              </w:tc>
              <w:tc>
                <w:tcPr>
                  <w:tcW w:w="870" w:type="dxa"/>
                  <w:tcBorders>
                    <w:tl2br w:val="nil"/>
                    <w:tr2bl w:val="nil"/>
                  </w:tcBorders>
                  <w:tcMar>
                    <w:left w:w="6" w:type="dxa"/>
                    <w:right w:w="6"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zh-CN" w:eastAsia="zh-CN" w:bidi="ar-SA"/>
                      <w:highlight w:val="none"/>
                    </w:rPr>
                  </w:pPr>
                  <w:r>
                    <w:rPr>
                      <w:rFonts w:ascii="Times New Roman" w:eastAsia="宋体" w:cs="Times New Roman" w:hAnsi="Times New Roman" w:hint="eastAsia"/>
                      <w:bCs/>
                      <w:color w:val="auto"/>
                      <w:kern w:val="0"/>
                      <w:sz w:val="21"/>
                      <w:szCs w:val="21"/>
                      <w:lang w:val="zh-CN" w:eastAsia="zh-CN" w:bidi="ar-SA"/>
                      <w:highlight w:val="none"/>
                    </w:rPr>
                    <w:t>1次/</w:t>
                  </w:r>
                  <w:r>
                    <w:rPr>
                      <w:rFonts w:cs="Times New Roman" w:hint="eastAsia"/>
                      <w:bCs/>
                      <w:color w:val="auto"/>
                      <w:kern w:val="0"/>
                      <w:sz w:val="21"/>
                      <w:szCs w:val="21"/>
                      <w:lang w:val="zh-CN" w:eastAsia="zh-CN" w:bidi="ar-SA"/>
                      <w:highlight w:val="none"/>
                    </w:rPr>
                    <w:t>半年</w:t>
                  </w:r>
                </w:p>
              </w:tc>
            </w:tr>
            <w:tr>
              <w:trPr>
                <w:trHeight w:val="406"/>
              </w:trPr>
              <w:tc>
                <w:tcPr>
                  <w:tcW w:w="281" w:type="dxa"/>
                  <w:tcBorders>
                    <w:tl2br w:val="nil"/>
                    <w:tr2bl w:val="nil"/>
                  </w:tcBorders>
                  <w:tcMar>
                    <w:left w:w="6" w:type="dxa"/>
                    <w:right w:w="6"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en-US" w:eastAsia="zh-CN" w:bidi="ar-SA"/>
                      <w:highlight w:val="none"/>
                    </w:rPr>
                  </w:pPr>
                  <w:r>
                    <w:rPr>
                      <w:rFonts w:ascii="Times New Roman" w:eastAsia="宋体" w:cs="Times New Roman" w:hAnsi="Times New Roman" w:hint="eastAsia"/>
                      <w:bCs/>
                      <w:color w:val="auto"/>
                      <w:kern w:val="0"/>
                      <w:sz w:val="21"/>
                      <w:szCs w:val="21"/>
                      <w:lang w:val="en-US" w:eastAsia="zh-CN" w:bidi="ar-SA"/>
                      <w:highlight w:val="none"/>
                    </w:rPr>
                    <w:t>4</w:t>
                  </w:r>
                </w:p>
              </w:tc>
              <w:tc>
                <w:tcPr>
                  <w:tcW w:w="857" w:type="dxa"/>
                  <w:vMerge/>
                  <w:tcBorders>
                    <w:tl2br w:val="nil"/>
                    <w:tr2bl w:val="nil"/>
                  </w:tcBorders>
                  <w:tcMar>
                    <w:left w:w="6" w:type="dxa"/>
                    <w:right w:w="6" w:type="dxa"/>
                  </w:tcMar>
                  <w:vAlign w:val="center"/>
                </w:tcPr>
                <w:p/>
              </w:tc>
              <w:tc>
                <w:tcPr>
                  <w:tcW w:w="1183" w:type="dxa"/>
                  <w:tcBorders>
                    <w:tl2br w:val="nil"/>
                    <w:tr2bl w:val="nil"/>
                  </w:tcBorders>
                  <w:tcMar>
                    <w:left w:w="6" w:type="dxa"/>
                    <w:right w:w="6"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en-US" w:eastAsia="zh-CN" w:bidi="ar-SA"/>
                      <w:highlight w:val="none"/>
                    </w:rPr>
                  </w:pPr>
                  <w:r>
                    <w:rPr>
                      <w:rFonts w:ascii="Times New Roman" w:eastAsia="宋体" w:cs="Times New Roman" w:hAnsi="Times New Roman" w:hint="eastAsia"/>
                      <w:bCs/>
                      <w:color w:val="auto"/>
                      <w:kern w:val="0"/>
                      <w:sz w:val="21"/>
                      <w:szCs w:val="21"/>
                      <w:lang w:val="zh-CN" w:eastAsia="zh-CN" w:bidi="ar-SA"/>
                      <w:highlight w:val="none"/>
                    </w:rPr>
                    <w:t>废抹布</w:t>
                  </w:r>
                </w:p>
              </w:tc>
              <w:tc>
                <w:tcPr>
                  <w:tcW w:w="816" w:type="dxa"/>
                  <w:tcBorders>
                    <w:tl2br w:val="nil"/>
                    <w:tr2bl w:val="nil"/>
                  </w:tcBorders>
                  <w:tcMar>
                    <w:left w:w="6" w:type="dxa"/>
                    <w:right w:w="6"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en-US" w:eastAsia="zh-CN" w:bidi="ar-SA"/>
                      <w:highlight w:val="none"/>
                    </w:rPr>
                  </w:pPr>
                  <w:r>
                    <w:rPr>
                      <w:rFonts w:ascii="Times New Roman" w:eastAsia="宋体" w:cs="Times New Roman" w:hAnsi="Times New Roman" w:hint="eastAsia"/>
                      <w:bCs/>
                      <w:color w:val="auto"/>
                      <w:kern w:val="0"/>
                      <w:sz w:val="21"/>
                      <w:szCs w:val="21"/>
                      <w:lang w:val="zh-CN" w:eastAsia="zh-CN" w:bidi="ar-SA"/>
                      <w:highlight w:val="none"/>
                    </w:rPr>
                    <w:t>HW49</w:t>
                  </w:r>
                </w:p>
              </w:tc>
              <w:tc>
                <w:tcPr>
                  <w:tcW w:w="1200" w:type="dxa"/>
                  <w:tcBorders>
                    <w:tl2br w:val="nil"/>
                    <w:tr2bl w:val="nil"/>
                  </w:tcBorders>
                  <w:tcMar>
                    <w:left w:w="6" w:type="dxa"/>
                    <w:right w:w="6"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en-US" w:eastAsia="zh-CN" w:bidi="ar-SA"/>
                      <w:highlight w:val="none"/>
                    </w:rPr>
                  </w:pPr>
                  <w:r>
                    <w:rPr>
                      <w:rFonts w:ascii="Times New Roman" w:eastAsia="宋体" w:cs="Times New Roman" w:hAnsi="Times New Roman" w:hint="eastAsia"/>
                      <w:bCs/>
                      <w:color w:val="auto"/>
                      <w:kern w:val="0"/>
                      <w:sz w:val="21"/>
                      <w:szCs w:val="21"/>
                      <w:lang w:val="zh-CN" w:eastAsia="zh-CN" w:bidi="ar-SA"/>
                      <w:highlight w:val="none"/>
                    </w:rPr>
                    <w:t>900-041-49</w:t>
                  </w:r>
                </w:p>
              </w:tc>
              <w:tc>
                <w:tcPr>
                  <w:tcW w:w="852" w:type="dxa"/>
                  <w:vMerge/>
                  <w:tcBorders>
                    <w:tl2br w:val="nil"/>
                    <w:tr2bl w:val="nil"/>
                  </w:tcBorders>
                  <w:tcMar>
                    <w:left w:w="6" w:type="dxa"/>
                    <w:right w:w="6" w:type="dxa"/>
                  </w:tcMar>
                  <w:vAlign w:val="center"/>
                </w:tcPr>
                <w:p/>
              </w:tc>
              <w:tc>
                <w:tcPr>
                  <w:tcW w:w="840" w:type="dxa"/>
                  <w:vMerge/>
                  <w:tcBorders>
                    <w:tl2br w:val="nil"/>
                    <w:tr2bl w:val="nil"/>
                  </w:tcBorders>
                  <w:tcMar>
                    <w:left w:w="6" w:type="dxa"/>
                    <w:right w:w="6" w:type="dxa"/>
                  </w:tcMar>
                  <w:vAlign w:val="center"/>
                </w:tcPr>
                <w:p/>
              </w:tc>
              <w:tc>
                <w:tcPr>
                  <w:tcW w:w="1284" w:type="dxa"/>
                  <w:vMerge/>
                  <w:tcBorders>
                    <w:tl2br w:val="nil"/>
                    <w:tr2bl w:val="nil"/>
                  </w:tcBorders>
                  <w:tcMar>
                    <w:left w:w="6" w:type="dxa"/>
                    <w:right w:w="6" w:type="dxa"/>
                  </w:tcMar>
                  <w:vAlign w:val="center"/>
                </w:tcPr>
                <w:p/>
              </w:tc>
              <w:tc>
                <w:tcPr>
                  <w:tcW w:w="732" w:type="dxa"/>
                  <w:tcBorders>
                    <w:tl2br w:val="nil"/>
                    <w:tr2bl w:val="nil"/>
                  </w:tcBorders>
                  <w:tcMar>
                    <w:left w:w="6" w:type="dxa"/>
                    <w:right w:w="6"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zh-CN" w:eastAsia="zh-CN" w:bidi="ar-SA"/>
                      <w:highlight w:val="none"/>
                    </w:rPr>
                  </w:pPr>
                  <w:r>
                    <w:rPr>
                      <w:rFonts w:ascii="Times New Roman" w:eastAsia="宋体" w:cs="Times New Roman" w:hAnsi="Times New Roman" w:hint="eastAsia"/>
                      <w:bCs/>
                      <w:color w:val="auto"/>
                      <w:kern w:val="0"/>
                      <w:sz w:val="21"/>
                      <w:szCs w:val="21"/>
                      <w:lang w:val="zh-CN" w:eastAsia="zh-CN" w:bidi="ar-SA"/>
                      <w:highlight w:val="none"/>
                    </w:rPr>
                    <w:t>0.0</w:t>
                  </w:r>
                  <w:r>
                    <w:rPr>
                      <w:rFonts w:cs="Times New Roman" w:hint="eastAsia"/>
                      <w:bCs/>
                      <w:color w:val="auto"/>
                      <w:kern w:val="0"/>
                      <w:sz w:val="21"/>
                      <w:szCs w:val="21"/>
                      <w:lang w:val="en-US" w:eastAsia="zh-CN" w:bidi="ar-SA"/>
                      <w:highlight w:val="none"/>
                    </w:rPr>
                    <w:t>1</w:t>
                  </w:r>
                </w:p>
              </w:tc>
              <w:tc>
                <w:tcPr>
                  <w:tcW w:w="870" w:type="dxa"/>
                  <w:tcBorders>
                    <w:tl2br w:val="nil"/>
                    <w:tr2bl w:val="nil"/>
                  </w:tcBorders>
                  <w:tcMar>
                    <w:left w:w="6" w:type="dxa"/>
                    <w:right w:w="6"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zh-CN" w:eastAsia="zh-CN" w:bidi="ar-SA"/>
                      <w:highlight w:val="none"/>
                    </w:rPr>
                  </w:pPr>
                  <w:r>
                    <w:rPr>
                      <w:rFonts w:ascii="Times New Roman" w:eastAsia="宋体" w:cs="Times New Roman" w:hAnsi="Times New Roman" w:hint="eastAsia"/>
                      <w:bCs/>
                      <w:color w:val="auto"/>
                      <w:kern w:val="0"/>
                      <w:sz w:val="21"/>
                      <w:szCs w:val="21"/>
                      <w:lang w:val="zh-CN" w:eastAsia="zh-CN" w:bidi="ar-SA"/>
                      <w:highlight w:val="none"/>
                    </w:rPr>
                    <w:t>1次/</w:t>
                  </w:r>
                  <w:r>
                    <w:rPr>
                      <w:rFonts w:cs="Times New Roman" w:hint="eastAsia"/>
                      <w:bCs/>
                      <w:color w:val="auto"/>
                      <w:kern w:val="0"/>
                      <w:sz w:val="21"/>
                      <w:szCs w:val="21"/>
                      <w:lang w:val="zh-CN" w:eastAsia="zh-CN" w:bidi="ar-SA"/>
                      <w:highlight w:val="none"/>
                    </w:rPr>
                    <w:t>半年</w:t>
                  </w:r>
                </w:p>
              </w:tc>
            </w:tr>
          </w:tbl>
          <w:p>
            <w:pPr>
              <w:keepNext w:val="0"/>
              <w:keepLines w:val="0"/>
              <w:pageBreakBefore w:val="0"/>
              <w:widowControl w:val="0"/>
              <w:kinsoku/>
              <w:wordWrap/>
              <w:overflowPunct/>
              <w:topLinePunct w:val="0"/>
              <w:autoSpaceDE/>
              <w:autoSpaceDN/>
              <w:bidi w:val="0"/>
              <w:adjustRightInd/>
              <w:snapToGrid/>
              <w:spacing w:line="500" w:lineRule="exact"/>
              <w:ind w:firstLineChars="200" w:firstLine="480"/>
              <w:textAlignment w:val="auto"/>
              <w:rPr>
                <w:rFonts w:hint="eastAsia"/>
                <w:color w:val="auto"/>
                <w:sz w:val="24"/>
                <w:highlight w:val="none"/>
              </w:rPr>
            </w:pPr>
            <w:r>
              <w:rPr>
                <w:rFonts w:hint="eastAsia"/>
                <w:color w:val="auto"/>
                <w:sz w:val="24"/>
                <w:highlight w:val="none"/>
              </w:rPr>
              <w:t>综上，从项目采用的固废利用及处置方式来分析，对产生的各类固废按其性质分类分区收集和暂存，并均能得到有效利用或妥善处置。</w:t>
            </w:r>
          </w:p>
          <w:p>
            <w:pPr>
              <w:keepNext w:val="0"/>
              <w:keepLines w:val="0"/>
              <w:pageBreakBefore w:val="0"/>
              <w:widowControl w:val="0"/>
              <w:kinsoku/>
              <w:wordWrap/>
              <w:overflowPunct/>
              <w:topLinePunct w:val="0"/>
              <w:autoSpaceDE/>
              <w:autoSpaceDN/>
              <w:bidi w:val="0"/>
              <w:adjustRightInd/>
              <w:snapToGrid/>
              <w:spacing w:line="460" w:lineRule="exact"/>
              <w:ind w:firstLineChars="200" w:firstLine="480"/>
              <w:textAlignment w:val="auto"/>
              <w:rPr>
                <w:rFonts w:hint="eastAsia"/>
                <w:color w:val="auto"/>
                <w:sz w:val="24"/>
                <w:highlight w:val="none"/>
              </w:rPr>
            </w:pPr>
            <w:r>
              <w:rPr>
                <w:rFonts w:hint="eastAsia"/>
                <w:color w:val="auto"/>
                <w:sz w:val="24"/>
                <w:highlight w:val="none"/>
              </w:rPr>
              <w:t>（2）</w:t>
            </w:r>
            <w:r>
              <w:rPr>
                <w:rFonts w:ascii="Times New Roman" w:eastAsia="宋体" w:cs="Times New Roman" w:hAnsi="Times New Roman" w:hint="eastAsia"/>
                <w:color w:val="auto"/>
                <w:spacing w:val="-1"/>
                <w:kern w:val="2"/>
                <w:sz w:val="24"/>
                <w:szCs w:val="24"/>
                <w:lang w:val="en-US" w:eastAsia="zh-CN" w:bidi="ar-SA"/>
                <w:highlight w:val="none"/>
              </w:rPr>
              <w:t>危险废物贮存场所要求</w:t>
            </w:r>
            <w:r>
              <w:rPr>
                <w:rFonts w:hint="eastAsia"/>
                <w:color w:val="auto"/>
                <w:sz w:val="24"/>
                <w:highlight w:val="none"/>
              </w:rPr>
              <w:t xml:space="preserve"> </w:t>
            </w:r>
          </w:p>
          <w:p>
            <w:pPr>
              <w:pStyle w:val="33"/>
              <w:rPr>
                <w:rFonts w:ascii="Times New Roman" w:eastAsia="宋体" w:cs="Times New Roman" w:hAnsi="Times New Roman" w:hint="eastAsia"/>
                <w:color w:val="auto"/>
                <w:spacing w:val="-1"/>
                <w:kern w:val="2"/>
                <w:sz w:val="24"/>
                <w:szCs w:val="24"/>
                <w:lang w:val="en-US" w:eastAsia="zh-CN" w:bidi="ar-SA"/>
                <w:highlight w:val="none"/>
              </w:rPr>
            </w:pPr>
            <w:r>
              <w:rPr>
                <w:rFonts w:ascii="Times New Roman" w:eastAsia="宋体" w:cs="Times New Roman" w:hAnsi="Times New Roman" w:hint="eastAsia"/>
                <w:color w:val="auto"/>
                <w:spacing w:val="-1"/>
                <w:kern w:val="2"/>
                <w:sz w:val="24"/>
                <w:szCs w:val="24"/>
                <w:lang w:val="en-US" w:eastAsia="zh-CN" w:bidi="ar-SA"/>
                <w:highlight w:val="none"/>
              </w:rPr>
              <w:t>废铅蓄电池贮存区</w:t>
            </w:r>
            <w:r>
              <w:rPr>
                <w:rFonts w:cs="Times New Roman" w:hint="eastAsia"/>
                <w:color w:val="auto"/>
                <w:spacing w:val="-1"/>
                <w:kern w:val="2"/>
                <w:sz w:val="24"/>
                <w:szCs w:val="24"/>
                <w:lang w:val="en-US" w:eastAsia="zh-CN" w:bidi="ar-SA"/>
                <w:highlight w:val="none"/>
              </w:rPr>
              <w:t>及破损电池贮存区的</w:t>
            </w:r>
            <w:r>
              <w:rPr>
                <w:rFonts w:ascii="Times New Roman" w:eastAsia="宋体" w:cs="Times New Roman" w:hAnsi="Times New Roman" w:hint="eastAsia"/>
                <w:color w:val="auto"/>
                <w:spacing w:val="-1"/>
                <w:kern w:val="2"/>
                <w:sz w:val="24"/>
                <w:szCs w:val="24"/>
                <w:lang w:val="en-US" w:eastAsia="zh-CN" w:bidi="ar-SA"/>
                <w:highlight w:val="none"/>
              </w:rPr>
              <w:t>地面</w:t>
            </w:r>
            <w:r>
              <w:rPr>
                <w:rFonts w:cs="Times New Roman" w:hint="eastAsia"/>
                <w:color w:val="auto"/>
                <w:spacing w:val="-1"/>
                <w:kern w:val="2"/>
                <w:sz w:val="24"/>
                <w:szCs w:val="24"/>
                <w:lang w:val="en-US" w:eastAsia="zh-CN" w:bidi="ar-SA"/>
                <w:highlight w:val="none"/>
              </w:rPr>
              <w:t>和</w:t>
            </w:r>
            <w:r>
              <w:rPr>
                <w:rFonts w:ascii="Times New Roman" w:eastAsia="宋体" w:cs="Times New Roman" w:hAnsi="Times New Roman" w:hint="eastAsia"/>
                <w:color w:val="auto"/>
                <w:spacing w:val="-1"/>
                <w:kern w:val="2"/>
                <w:sz w:val="24"/>
                <w:szCs w:val="24"/>
                <w:lang w:val="en-US" w:eastAsia="zh-CN" w:bidi="ar-SA"/>
                <w:highlight w:val="none"/>
              </w:rPr>
              <w:t>墙裙</w:t>
            </w:r>
            <w:r>
              <w:rPr>
                <w:rFonts w:cs="Times New Roman" w:hint="eastAsia"/>
                <w:color w:val="auto"/>
                <w:spacing w:val="-1"/>
                <w:kern w:val="2"/>
                <w:sz w:val="24"/>
                <w:szCs w:val="24"/>
                <w:lang w:val="en-US" w:eastAsia="zh-CN" w:bidi="ar-SA"/>
                <w:highlight w:val="none"/>
              </w:rPr>
              <w:t>、废电解液导流槽和收集池、危废间等采</w:t>
            </w:r>
            <w:r>
              <w:rPr>
                <w:rFonts w:ascii="Times New Roman" w:eastAsia="宋体" w:cs="Times New Roman" w:hAnsi="Times New Roman" w:hint="eastAsia"/>
                <w:color w:val="auto"/>
                <w:spacing w:val="-1"/>
                <w:kern w:val="2"/>
                <w:sz w:val="24"/>
                <w:szCs w:val="24"/>
                <w:lang w:val="en-US" w:eastAsia="zh-CN" w:bidi="ar-SA"/>
                <w:highlight w:val="none"/>
              </w:rPr>
              <w:t>用环氧树脂防腐，</w:t>
            </w:r>
            <w:r>
              <w:rPr>
                <w:rFonts w:cs="Times New Roman" w:hint="eastAsia"/>
                <w:color w:val="auto"/>
                <w:spacing w:val="-1"/>
                <w:kern w:val="2"/>
                <w:sz w:val="24"/>
                <w:szCs w:val="24"/>
                <w:lang w:val="en-US" w:eastAsia="zh-CN" w:bidi="ar-SA"/>
                <w:highlight w:val="none"/>
              </w:rPr>
              <w:t>废液</w:t>
            </w:r>
            <w:r>
              <w:rPr>
                <w:rFonts w:ascii="Times New Roman" w:eastAsia="宋体" w:cs="Times New Roman" w:hAnsi="Times New Roman" w:hint="eastAsia"/>
                <w:color w:val="auto"/>
                <w:spacing w:val="-1"/>
                <w:kern w:val="2"/>
                <w:sz w:val="24"/>
                <w:szCs w:val="24"/>
                <w:lang w:val="en-US" w:eastAsia="zh-CN" w:bidi="ar-SA"/>
                <w:highlight w:val="none"/>
              </w:rPr>
              <w:t>收集后集中处理。要求企业后续建设过程中按照 《危险废物贮存污染控制标准》（GB18597-2023）相关要求进行设计、建设密闭式危废堆场，做到防渗、防风、防雨、防晒要求。</w:t>
            </w:r>
          </w:p>
          <w:p>
            <w:pPr>
              <w:pStyle w:val="21"/>
              <w:keepNext w:val="0"/>
              <w:keepLines w:val="0"/>
              <w:pageBreakBefore w:val="0"/>
              <w:widowControl/>
              <w:kinsoku/>
              <w:wordWrap/>
              <w:overflowPunct/>
              <w:topLinePunct w:val="0"/>
              <w:autoSpaceDE/>
              <w:autoSpaceDN/>
              <w:bidi w:val="0"/>
              <w:adjustRightInd/>
              <w:snapToGrid w:val="0"/>
              <w:spacing w:before="0" w:after="0" w:line="460" w:lineRule="exact"/>
              <w:ind w:left="0" w:right="0" w:firstLineChars="200" w:firstLine="476"/>
              <w:textAlignment w:val="auto"/>
              <w:rPr>
                <w:rFonts w:ascii="Times New Roman" w:eastAsia="宋体" w:cs="Times New Roman" w:hAnsi="Times New Roman"/>
                <w:color w:val="auto"/>
                <w:spacing w:val="-1"/>
                <w:kern w:val="2"/>
                <w:sz w:val="24"/>
                <w:szCs w:val="24"/>
                <w:lang w:val="en-US" w:eastAsia="zh-CN" w:bidi="ar-SA"/>
                <w:highlight w:val="none"/>
              </w:rPr>
            </w:pPr>
            <w:r>
              <w:rPr>
                <w:rFonts w:ascii="Times New Roman" w:eastAsia="宋体" w:cs="Times New Roman" w:hAnsi="Times New Roman"/>
                <w:color w:val="auto"/>
                <w:spacing w:val="-1"/>
                <w:kern w:val="2"/>
                <w:sz w:val="24"/>
                <w:szCs w:val="24"/>
                <w:lang w:val="en-US" w:eastAsia="zh-CN" w:bidi="ar-SA"/>
                <w:highlight w:val="none"/>
              </w:rPr>
              <w:t>本项目喷淋废液等液态危险废物产生后须立即采用包装容器盛装，另外本项目废铅蓄电池泄露</w:t>
            </w:r>
            <w:r>
              <w:rPr>
                <w:rFonts w:cs="Times New Roman" w:hint="eastAsia"/>
                <w:color w:val="auto"/>
                <w:spacing w:val="-1"/>
                <w:kern w:val="2"/>
                <w:sz w:val="24"/>
                <w:szCs w:val="24"/>
                <w:lang w:val="en-US" w:eastAsia="zh-CN" w:bidi="ar-SA"/>
                <w:highlight w:val="none"/>
              </w:rPr>
              <w:t>的废电解液</w:t>
            </w:r>
            <w:r>
              <w:rPr>
                <w:rFonts w:ascii="Times New Roman" w:eastAsia="宋体" w:cs="Times New Roman" w:hAnsi="Times New Roman"/>
                <w:color w:val="auto"/>
                <w:spacing w:val="-1"/>
                <w:kern w:val="2"/>
                <w:sz w:val="24"/>
                <w:szCs w:val="24"/>
                <w:lang w:val="en-US" w:eastAsia="zh-CN" w:bidi="ar-SA"/>
                <w:highlight w:val="none"/>
              </w:rPr>
              <w:t>应采用包装容器密封转运、贮存，以避免废气挥发造成大气环境污染。各包装容器必须完好无损，且材质和衬里要与危险废物相容（不相互反应）；包装容器必须及时贴上危险废物标签，必须包含以下说明（危险废物产生单位名称、联系人、联系电话、主要化学成分、危险类别、安全措施、入库时间等）。废铅酸蓄电池运输、储存过程还应符合《废铅蓄电池处理污染控制技术规范》（HJ519-2020）中的相应标准。</w:t>
            </w:r>
          </w:p>
          <w:p>
            <w:pPr>
              <w:pStyle w:val="21"/>
              <w:keepNext w:val="0"/>
              <w:keepLines w:val="0"/>
              <w:pageBreakBefore w:val="0"/>
              <w:widowControl/>
              <w:kinsoku/>
              <w:wordWrap/>
              <w:overflowPunct/>
              <w:topLinePunct w:val="0"/>
              <w:autoSpaceDE/>
              <w:autoSpaceDN/>
              <w:bidi w:val="0"/>
              <w:adjustRightInd/>
              <w:snapToGrid w:val="0"/>
              <w:spacing w:before="0" w:after="0" w:line="460" w:lineRule="exact"/>
              <w:ind w:left="0" w:right="0" w:firstLineChars="200" w:firstLine="476"/>
              <w:textAlignment w:val="auto"/>
              <w:rPr>
                <w:rFonts w:ascii="Times New Roman" w:eastAsia="宋体" w:cs="Times New Roman" w:hAnsi="Times New Roman"/>
                <w:color w:val="auto"/>
                <w:spacing w:val="-1"/>
                <w:kern w:val="2"/>
                <w:sz w:val="24"/>
                <w:szCs w:val="24"/>
                <w:lang w:val="en-US" w:eastAsia="zh-CN" w:bidi="ar-SA"/>
                <w:highlight w:val="none"/>
              </w:rPr>
            </w:pPr>
            <w:r>
              <w:rPr>
                <w:rFonts w:ascii="Times New Roman" w:eastAsia="宋体" w:cs="Times New Roman" w:hAnsi="Times New Roman"/>
                <w:color w:val="auto"/>
                <w:spacing w:val="-1"/>
                <w:kern w:val="2"/>
                <w:sz w:val="24"/>
                <w:szCs w:val="24"/>
                <w:lang w:val="en-US" w:eastAsia="zh-CN" w:bidi="ar-SA"/>
                <w:highlight w:val="none"/>
              </w:rPr>
              <w:t>①暂存：若产生的危险废物不能立即运往处置，则必须暂存于厂区内专用危险废物贮存设施内。本项目各危废产生点至破损电池间之间的转运均在厂区内完成，转运路线上不涉及环境敏感点。贮存</w:t>
            </w:r>
            <w:r>
              <w:rPr>
                <w:rFonts w:cs="Times New Roman" w:hint="eastAsia"/>
                <w:color w:val="auto"/>
                <w:spacing w:val="-1"/>
                <w:kern w:val="2"/>
                <w:sz w:val="24"/>
                <w:szCs w:val="24"/>
                <w:lang w:val="en-US" w:eastAsia="zh-CN" w:bidi="ar-SA"/>
                <w:highlight w:val="none"/>
              </w:rPr>
              <w:t>区</w:t>
            </w:r>
            <w:r>
              <w:rPr>
                <w:rFonts w:ascii="Times New Roman" w:eastAsia="宋体" w:cs="Times New Roman" w:hAnsi="Times New Roman"/>
                <w:color w:val="auto"/>
                <w:spacing w:val="-1"/>
                <w:kern w:val="2"/>
                <w:sz w:val="24"/>
                <w:szCs w:val="24"/>
                <w:lang w:val="en-US" w:eastAsia="zh-CN" w:bidi="ar-SA"/>
                <w:highlight w:val="none"/>
              </w:rPr>
              <w:t>地面四周设有防溢漏的裙脚，同时建有</w:t>
            </w:r>
            <w:r>
              <w:rPr>
                <w:rFonts w:cs="Times New Roman" w:hint="eastAsia"/>
                <w:color w:val="auto"/>
                <w:spacing w:val="-1"/>
                <w:kern w:val="2"/>
                <w:sz w:val="24"/>
                <w:szCs w:val="24"/>
                <w:lang w:val="en-US" w:eastAsia="zh-CN" w:bidi="ar-SA"/>
                <w:highlight w:val="none"/>
              </w:rPr>
              <w:t>废电解液导流槽和收集池</w:t>
            </w:r>
            <w:r>
              <w:rPr>
                <w:rFonts w:ascii="Times New Roman" w:eastAsia="宋体" w:cs="Times New Roman" w:hAnsi="Times New Roman"/>
                <w:color w:val="auto"/>
                <w:spacing w:val="-1"/>
                <w:kern w:val="2"/>
                <w:sz w:val="24"/>
                <w:szCs w:val="24"/>
                <w:lang w:val="en-US" w:eastAsia="zh-CN" w:bidi="ar-SA"/>
                <w:highlight w:val="none"/>
              </w:rPr>
              <w:t>。贮存设施内应留有足够工作人员和搬运工具的通行过道。贮存设施只可供危险废物存放，不可混入一般非危险固废。化学性质不相容的危险废物必须分隔堆放，其间隔须为完整的不渗透墙体。危险废物分类堆放区域的醒目位置须设置该类废物的标志牌，含危险废物名称、危废代码等信息。危险废物厂区内暂存时应加强管理，按照《危险废物贮存污染控制标准》（GB18597-2023）、《危险废物收集 贮存 运输技术规范》（HJ 2025-2012）进行控制，日常管理中要履行申报的登记制度、建立台帐制度。</w:t>
            </w:r>
          </w:p>
          <w:p>
            <w:pPr>
              <w:pStyle w:val="33"/>
              <w:rPr>
                <w:rFonts w:ascii="Times New Roman" w:eastAsia="宋体" w:cs="Times New Roman" w:hAnsi="Times New Roman" w:hint="eastAsia"/>
                <w:color w:val="auto"/>
                <w:spacing w:val="-1"/>
                <w:kern w:val="2"/>
                <w:sz w:val="24"/>
                <w:szCs w:val="24"/>
                <w:lang w:val="en-US" w:eastAsia="zh-CN" w:bidi="ar-SA"/>
                <w:highlight w:val="none"/>
              </w:rPr>
            </w:pPr>
            <w:r>
              <w:rPr>
                <w:rFonts w:cs="Times New Roman" w:hint="eastAsia"/>
                <w:color w:val="auto"/>
                <w:spacing w:val="-1"/>
                <w:kern w:val="2"/>
                <w:sz w:val="24"/>
                <w:szCs w:val="24"/>
                <w:lang w:val="en-US" w:eastAsia="zh-CN" w:bidi="ar-SA"/>
                <w:highlight w:val="none"/>
              </w:rPr>
              <w:t>②</w:t>
            </w:r>
            <w:r>
              <w:rPr>
                <w:rFonts w:ascii="Times New Roman" w:eastAsia="宋体" w:cs="Times New Roman" w:hAnsi="Times New Roman" w:hint="eastAsia"/>
                <w:color w:val="auto"/>
                <w:spacing w:val="-1"/>
                <w:kern w:val="2"/>
                <w:sz w:val="24"/>
                <w:szCs w:val="24"/>
                <w:lang w:val="en-US" w:eastAsia="zh-CN" w:bidi="ar-SA"/>
                <w:highlight w:val="none"/>
              </w:rPr>
              <w:t>转移、处置：企业须与具有危险废物处理资质的单位签定接收处理协议，各类危险废物须委托有资质单位处置，转移时严格履行国家与地方政府关于危险废物转移的有关规定，并报生态环境主管部门备案，落实追踪制度，严防二次污染，杜绝随意交易和私自随意处置，危废厂外运输企业委托有资质的运输机构负责，采用封闭车辆运输，降低对运输沿线环境影响。</w:t>
            </w:r>
          </w:p>
          <w:p>
            <w:pPr>
              <w:pStyle w:val="21"/>
              <w:keepNext w:val="0"/>
              <w:keepLines w:val="0"/>
              <w:pageBreakBefore w:val="0"/>
              <w:widowControl/>
              <w:kinsoku/>
              <w:wordWrap/>
              <w:overflowPunct/>
              <w:topLinePunct w:val="0"/>
              <w:autoSpaceDE/>
              <w:autoSpaceDN/>
              <w:bidi w:val="0"/>
              <w:adjustRightInd/>
              <w:snapToGrid w:val="0"/>
              <w:spacing w:before="0" w:after="0" w:line="460" w:lineRule="exact"/>
              <w:ind w:left="0" w:right="0" w:firstLineChars="200" w:firstLine="476"/>
              <w:textAlignment w:val="auto"/>
              <w:rPr>
                <w:rFonts w:ascii="Times New Roman" w:eastAsia="宋体" w:cs="Times New Roman" w:hAnsi="Times New Roman"/>
                <w:color w:val="auto"/>
                <w:spacing w:val="-1"/>
                <w:kern w:val="2"/>
                <w:sz w:val="24"/>
                <w:szCs w:val="24"/>
                <w:lang w:val="en-US" w:eastAsia="zh-CN" w:bidi="ar-SA"/>
                <w:highlight w:val="none"/>
              </w:rPr>
            </w:pPr>
            <w:r>
              <w:rPr>
                <w:rFonts w:ascii="Times New Roman" w:eastAsia="宋体" w:cs="Times New Roman" w:hAnsi="Times New Roman" w:hint="eastAsia"/>
                <w:color w:val="auto"/>
                <w:spacing w:val="-1"/>
                <w:kern w:val="2"/>
                <w:sz w:val="24"/>
                <w:szCs w:val="24"/>
                <w:lang w:val="en-US" w:eastAsia="zh-CN" w:bidi="ar-SA"/>
                <w:highlight w:val="none"/>
              </w:rPr>
              <w:t>（</w:t>
            </w:r>
            <w:r>
              <w:rPr>
                <w:rFonts w:cs="Times New Roman" w:hint="eastAsia"/>
                <w:color w:val="auto"/>
                <w:spacing w:val="-1"/>
                <w:kern w:val="2"/>
                <w:sz w:val="24"/>
                <w:szCs w:val="24"/>
                <w:lang w:val="en-US" w:eastAsia="zh-CN" w:bidi="ar-SA"/>
                <w:highlight w:val="none"/>
              </w:rPr>
              <w:t>3</w:t>
            </w:r>
            <w:r>
              <w:rPr>
                <w:rFonts w:ascii="Times New Roman" w:eastAsia="宋体" w:cs="Times New Roman" w:hAnsi="Times New Roman"/>
                <w:color w:val="auto"/>
                <w:spacing w:val="-1"/>
                <w:kern w:val="2"/>
                <w:sz w:val="24"/>
                <w:szCs w:val="24"/>
                <w:lang w:val="en-US" w:eastAsia="zh-CN" w:bidi="ar-SA"/>
                <w:highlight w:val="none"/>
              </w:rPr>
              <w:t>）危废间标识要求</w:t>
            </w:r>
          </w:p>
          <w:p>
            <w:pPr>
              <w:pStyle w:val="21"/>
              <w:keepNext w:val="0"/>
              <w:keepLines w:val="0"/>
              <w:pageBreakBefore w:val="0"/>
              <w:widowControl/>
              <w:kinsoku/>
              <w:wordWrap/>
              <w:overflowPunct/>
              <w:topLinePunct w:val="0"/>
              <w:autoSpaceDE/>
              <w:autoSpaceDN/>
              <w:bidi w:val="0"/>
              <w:adjustRightInd/>
              <w:snapToGrid w:val="0"/>
              <w:spacing w:before="0" w:after="0" w:line="460" w:lineRule="exact"/>
              <w:ind w:left="0" w:right="0" w:firstLineChars="200" w:firstLine="476"/>
              <w:textAlignment w:val="auto"/>
              <w:rPr>
                <w:rFonts w:ascii="Times New Roman" w:eastAsia="宋体" w:cs="Times New Roman" w:hAnsi="Times New Roman"/>
                <w:color w:val="auto"/>
                <w:spacing w:val="-1"/>
                <w:kern w:val="2"/>
                <w:sz w:val="24"/>
                <w:szCs w:val="24"/>
                <w:lang w:val="en-US" w:eastAsia="zh-CN" w:bidi="ar-SA"/>
                <w:highlight w:val="none"/>
              </w:rPr>
            </w:pPr>
            <w:r>
              <w:rPr>
                <w:rFonts w:ascii="Times New Roman" w:eastAsia="宋体" w:cs="Times New Roman" w:hAnsi="Times New Roman"/>
                <w:color w:val="auto"/>
                <w:spacing w:val="-1"/>
                <w:kern w:val="2"/>
                <w:sz w:val="24"/>
                <w:szCs w:val="24"/>
                <w:lang w:val="en-US" w:eastAsia="zh-CN" w:bidi="ar-SA"/>
                <w:highlight w:val="none"/>
              </w:rPr>
              <w:t>项目</w:t>
            </w:r>
            <w:r>
              <w:rPr>
                <w:rFonts w:cs="Times New Roman" w:hint="eastAsia"/>
                <w:color w:val="auto"/>
                <w:spacing w:val="-1"/>
                <w:kern w:val="2"/>
                <w:sz w:val="24"/>
                <w:szCs w:val="24"/>
                <w:lang w:val="en-US" w:eastAsia="zh-CN" w:bidi="ar-SA"/>
                <w:highlight w:val="none"/>
              </w:rPr>
              <w:t>贮存的废铅蓄电池属于</w:t>
            </w:r>
            <w:r>
              <w:rPr>
                <w:rFonts w:ascii="Times New Roman" w:eastAsia="宋体" w:cs="Times New Roman" w:hAnsi="Times New Roman"/>
                <w:color w:val="auto"/>
                <w:spacing w:val="-1"/>
                <w:kern w:val="2"/>
                <w:sz w:val="24"/>
                <w:szCs w:val="24"/>
                <w:lang w:val="en-US" w:eastAsia="zh-CN" w:bidi="ar-SA"/>
                <w:highlight w:val="none"/>
              </w:rPr>
              <w:t>危险废物，按照《危险废物贮存污染控制标准》 （GB18597-2023</w:t>
            </w:r>
            <w:r>
              <w:rPr>
                <w:rFonts w:ascii="Times New Roman" w:eastAsia="宋体" w:cs="Times New Roman" w:hAnsi="Times New Roman" w:hint="eastAsia"/>
                <w:color w:val="auto"/>
                <w:spacing w:val="-1"/>
                <w:kern w:val="2"/>
                <w:sz w:val="24"/>
                <w:szCs w:val="24"/>
                <w:lang w:val="en-US" w:eastAsia="zh-CN" w:bidi="ar-SA"/>
                <w:highlight w:val="none"/>
              </w:rPr>
              <w:t>）</w:t>
            </w:r>
            <w:r>
              <w:rPr>
                <w:rFonts w:ascii="Times New Roman" w:eastAsia="宋体" w:cs="Times New Roman" w:hAnsi="Times New Roman"/>
                <w:color w:val="auto"/>
                <w:spacing w:val="-1"/>
                <w:kern w:val="2"/>
                <w:sz w:val="24"/>
                <w:szCs w:val="24"/>
                <w:lang w:val="en-US" w:eastAsia="zh-CN" w:bidi="ar-SA"/>
                <w:highlight w:val="none"/>
              </w:rPr>
              <w:t>相关规定要求，</w:t>
            </w:r>
            <w:r>
              <w:rPr>
                <w:rFonts w:cs="Times New Roman" w:hint="eastAsia"/>
                <w:color w:val="auto"/>
                <w:spacing w:val="-1"/>
                <w:kern w:val="2"/>
                <w:sz w:val="24"/>
                <w:szCs w:val="24"/>
                <w:lang w:val="en-US" w:eastAsia="zh-CN" w:bidi="ar-SA"/>
                <w:highlight w:val="none"/>
              </w:rPr>
              <w:t>贮存区、</w:t>
            </w:r>
            <w:r>
              <w:rPr>
                <w:rFonts w:ascii="Times New Roman" w:eastAsia="宋体" w:cs="Times New Roman" w:hAnsi="Times New Roman"/>
                <w:color w:val="auto"/>
                <w:spacing w:val="-1"/>
                <w:kern w:val="2"/>
                <w:sz w:val="24"/>
                <w:szCs w:val="24"/>
                <w:lang w:val="en-US" w:eastAsia="zh-CN" w:bidi="ar-SA"/>
                <w:highlight w:val="none"/>
              </w:rPr>
              <w:t>危废间及危险废物储存容器上需要张贴标签，具体要求如下：</w:t>
            </w:r>
          </w:p>
          <w:p>
            <w:pPr>
              <w:jc w:val="center"/>
              <w:rPr>
                <w:rFonts w:hint="eastAsia"/>
                <w:b/>
                <w:bCs/>
                <w:snapToGrid w:val="0"/>
                <w:color w:val="auto"/>
                <w:kern w:val="0"/>
                <w:sz w:val="24"/>
                <w:lang w:val="en-US" w:eastAsia="zh-CN"/>
                <w:highlight w:val="none"/>
              </w:rPr>
            </w:pPr>
            <w:r>
              <w:rPr>
                <w:rFonts w:hint="eastAsia"/>
                <w:b/>
                <w:bCs/>
                <w:snapToGrid w:val="0"/>
                <w:color w:val="auto"/>
                <w:kern w:val="0"/>
                <w:sz w:val="24"/>
                <w:lang w:val="en-US" w:eastAsia="zh-CN"/>
                <w:highlight w:val="none"/>
              </w:rPr>
              <w:t>表4-10  危废间及储存容器标签示例</w:t>
            </w:r>
          </w:p>
          <w:tbl>
            <w:tblPr>
              <w:jc w:val="center"/>
              <w:tblW w:w="4992" w:type="pct"/>
              <w:tblBorders>
                <w:top w:val="single" w:sz="12" w:space="0" w:color="000000"/>
                <w:left w:val="none" w:sz="0" w:space="0" w:color="auto"/>
                <w:bottom w:val="single" w:sz="12" w:space="0" w:color="000000"/>
                <w:right w:val="none" w:sz="0" w:space="0" w:color="auto"/>
                <w:insideH w:val="single" w:sz="4" w:space="0" w:color="000000"/>
                <w:insideV w:val="single" w:sz="4" w:space="0" w:color="000000"/>
              </w:tblBorders>
              <w:tblLayout w:type="fixed"/>
              <w:tblCellMar>
                <w:top w:w="0" w:type="dxa"/>
                <w:left w:w="0" w:type="dxa"/>
                <w:bottom w:w="0" w:type="dxa"/>
                <w:right w:w="0" w:type="dxa"/>
              </w:tblCellMar>
              <w:tblLook w:val="0600" w:firstRow="0" w:lastRow="0" w:firstColumn="0" w:lastColumn="0" w:noHBand="1" w:noVBand="1"/>
            </w:tblPr>
            <w:tblGrid>
              <w:gridCol w:w="1505"/>
              <w:gridCol w:w="3067"/>
              <w:gridCol w:w="4342"/>
            </w:tblGrid>
            <w:tr>
              <w:trPr>
                <w:trHeight w:val="340"/>
              </w:trPr>
              <w:tc>
                <w:tcPr>
                  <w:tcW w:w="844" w:type="pct"/>
                  <w:tcBorders>
                    <w:tl2br w:val="nil"/>
                    <w:tr2bl w:val="nil"/>
                  </w:tcBorders>
                  <w:vAlign w:val="center"/>
                </w:tcPr>
                <w:p>
                  <w:pPr>
                    <w:pStyle w:val="69"/>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eastAsia="宋体" w:cs="Times New Roman" w:hAnsi="Times New Roman"/>
                      <w:color w:val="auto"/>
                      <w:w w:val="100"/>
                      <w:kern w:val="2"/>
                      <w:sz w:val="21"/>
                      <w:szCs w:val="21"/>
                      <w:lang w:val="en-US" w:eastAsia="zh-CN" w:bidi="ar-SA"/>
                      <w:highlight w:val="none"/>
                    </w:rPr>
                  </w:pPr>
                  <w:r>
                    <w:rPr>
                      <w:rFonts w:ascii="Times New Roman" w:cs="Times New Roman" w:hAnsi="Times New Roman" w:hint="eastAsia"/>
                      <w:color w:val="auto"/>
                      <w:w w:val="100"/>
                      <w:kern w:val="2"/>
                      <w:sz w:val="21"/>
                      <w:szCs w:val="21"/>
                      <w:lang w:val="en-US" w:eastAsia="zh-CN" w:bidi="ar-SA"/>
                      <w:highlight w:val="none"/>
                    </w:rPr>
                    <w:t>场合</w:t>
                  </w:r>
                </w:p>
              </w:tc>
              <w:tc>
                <w:tcPr>
                  <w:tcW w:w="1720" w:type="pct"/>
                  <w:tcBorders>
                    <w:tl2br w:val="nil"/>
                    <w:tr2bl w:val="nil"/>
                  </w:tcBorders>
                  <w:vAlign w:val="center"/>
                </w:tcPr>
                <w:p>
                  <w:pPr>
                    <w:pStyle w:val="69"/>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eastAsia="宋体" w:cs="Times New Roman" w:hAnsi="Times New Roman"/>
                      <w:color w:val="auto"/>
                      <w:w w:val="100"/>
                      <w:kern w:val="2"/>
                      <w:sz w:val="21"/>
                      <w:szCs w:val="21"/>
                      <w:lang w:val="en-US" w:eastAsia="zh-CN" w:bidi="ar-SA"/>
                      <w:highlight w:val="none"/>
                    </w:rPr>
                  </w:pPr>
                  <w:r>
                    <w:rPr>
                      <w:rFonts w:ascii="Times New Roman" w:cs="Times New Roman" w:hAnsi="Times New Roman" w:hint="eastAsia"/>
                      <w:color w:val="auto"/>
                      <w:w w:val="100"/>
                      <w:kern w:val="2"/>
                      <w:sz w:val="21"/>
                      <w:szCs w:val="21"/>
                      <w:lang w:val="en-US" w:eastAsia="zh-CN" w:bidi="ar-SA"/>
                      <w:highlight w:val="none"/>
                    </w:rPr>
                    <w:t>样式</w:t>
                  </w:r>
                </w:p>
              </w:tc>
              <w:tc>
                <w:tcPr>
                  <w:tcW w:w="2435" w:type="pct"/>
                  <w:tcBorders>
                    <w:tl2br w:val="nil"/>
                    <w:tr2bl w:val="nil"/>
                  </w:tcBorders>
                  <w:vAlign w:val="center"/>
                </w:tcPr>
                <w:p>
                  <w:pPr>
                    <w:pStyle w:val="69"/>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cs="Times New Roman" w:hAnsi="Times New Roman" w:hint="eastAsia"/>
                      <w:color w:val="auto"/>
                      <w:w w:val="100"/>
                      <w:kern w:val="2"/>
                      <w:sz w:val="21"/>
                      <w:szCs w:val="21"/>
                      <w:lang w:val="en-US" w:eastAsia="zh-CN" w:bidi="ar-SA"/>
                      <w:highlight w:val="none"/>
                    </w:rPr>
                  </w:pPr>
                  <w:r>
                    <w:rPr>
                      <w:rFonts w:ascii="Times New Roman" w:cs="Times New Roman" w:hAnsi="Times New Roman" w:hint="eastAsia"/>
                      <w:color w:val="auto"/>
                      <w:w w:val="100"/>
                      <w:kern w:val="2"/>
                      <w:sz w:val="21"/>
                      <w:szCs w:val="21"/>
                      <w:lang w:val="en-US" w:eastAsia="zh-CN" w:bidi="ar-SA"/>
                      <w:highlight w:val="none"/>
                    </w:rPr>
                    <w:t>要求</w:t>
                  </w:r>
                </w:p>
              </w:tc>
            </w:tr>
            <w:tr>
              <w:trPr>
                <w:trHeight w:val="340"/>
              </w:trPr>
              <w:tc>
                <w:tcPr>
                  <w:tcW w:w="844" w:type="pct"/>
                  <w:tcBorders>
                    <w:tl2br w:val="nil"/>
                    <w:tr2bl w:val="nil"/>
                  </w:tcBorders>
                  <w:vAlign w:val="center"/>
                </w:tcPr>
                <w:p>
                  <w:pPr>
                    <w:pStyle w:val="69"/>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cs="Times New Roman" w:hAnsi="Times New Roman" w:hint="eastAsia"/>
                      <w:color w:val="auto"/>
                      <w:w w:val="100"/>
                      <w:kern w:val="2"/>
                      <w:sz w:val="21"/>
                      <w:szCs w:val="21"/>
                      <w:lang w:val="en-US" w:eastAsia="zh-CN" w:bidi="ar-SA"/>
                      <w:highlight w:val="none"/>
                    </w:rPr>
                  </w:pPr>
                  <w:r>
                    <w:rPr>
                      <w:rFonts w:ascii="Times New Roman" w:cs="Times New Roman" w:hAnsi="Times New Roman" w:hint="eastAsia"/>
                      <w:color w:val="auto"/>
                      <w:w w:val="100"/>
                      <w:kern w:val="2"/>
                      <w:sz w:val="21"/>
                      <w:szCs w:val="21"/>
                      <w:lang w:val="en-US" w:eastAsia="zh-CN" w:bidi="ar-SA"/>
                      <w:highlight w:val="none"/>
                    </w:rPr>
                    <w:t>危险废物标签</w:t>
                  </w:r>
                </w:p>
              </w:tc>
              <w:tc>
                <w:tcPr>
                  <w:tcW w:w="1720" w:type="pct"/>
                  <w:tcBorders>
                    <w:tl2br w:val="nil"/>
                    <w:tr2bl w:val="nil"/>
                  </w:tcBorders>
                  <w:vAlign w:val="center"/>
                </w:tcPr>
                <w:p>
                  <w:pPr>
                    <w:pStyle w:val="69"/>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cs="Times New Roman" w:hAnsi="Times New Roman" w:hint="eastAsia"/>
                      <w:color w:val="auto"/>
                      <w:w w:val="100"/>
                      <w:kern w:val="2"/>
                      <w:sz w:val="21"/>
                      <w:szCs w:val="21"/>
                      <w:lang w:val="en-US" w:eastAsia="zh-CN" w:bidi="ar-SA"/>
                      <w:highlight w:val="none"/>
                    </w:rPr>
                  </w:pPr>
                  <w:r>
                    <w:rPr>
                      <w:color w:val="auto"/>
                      <w:highlight w:val="none"/>
                    </w:rPr>
                    <w:drawing>
                      <wp:inline distT="0" distB="0" distL="114300" distR="114300">
                        <wp:extent cx="1873250" cy="1397000"/>
                        <wp:effectExtent l="0" t="0" r="0" b="0"/>
                        <wp:docPr id="153" name="图片 4"/>
                        <wp:cNvGraphicFramePr>
                          <a:graphicFrameLocks noChangeAspect="1"/>
                        </wp:cNvGraphicFramePr>
                        <a:graphic>
                          <a:graphicData uri="http://schemas.openxmlformats.org/drawingml/2006/picture">
                            <pic:pic>
                              <pic:nvPicPr>
                                <pic:cNvPr id="226" name="图片 4 226"/>
                                <pic:cNvPicPr/>
                              </pic:nvPicPr>
                              <pic:blipFill>
                                <a:blip r:embed="rId60"/>
                                <a:stretch>
                                  <a:fillRect/>
                                </a:stretch>
                              </pic:blipFill>
                              <pic:spPr>
                                <a:xfrm rot="0">
                                  <a:off x="0" y="0"/>
                                  <a:ext cx="1873250" cy="1397000"/>
                                </a:xfrm>
                                <a:prstGeom prst="rect"/>
                                <a:noFill/>
                                <a:ln cmpd="sng" cap="flat">
                                  <a:noFill/>
                                  <a:prstDash val="solid"/>
                                  <a:round/>
                                </a:ln>
                              </pic:spPr>
                            </pic:pic>
                          </a:graphicData>
                        </a:graphic>
                      </wp:inline>
                    </w:drawing>
                  </w:r>
                </w:p>
              </w:tc>
              <w:tc>
                <w:tcPr>
                  <w:tcW w:w="2435" w:type="pct"/>
                  <w:tcBorders>
                    <w:tl2br w:val="nil"/>
                    <w:tr2bl w:val="nil"/>
                  </w:tcBorders>
                  <w:vAlign w:val="center"/>
                </w:tcPr>
                <w:p>
                  <w:pPr>
                    <w:pStyle w:val="69"/>
                    <w:keepNext w:val="0"/>
                    <w:keepLines w:val="0"/>
                    <w:pageBreakBefore w:val="0"/>
                    <w:widowControl w:val="0"/>
                    <w:kinsoku/>
                    <w:wordWrap/>
                    <w:overflowPunct/>
                    <w:topLinePunct w:val="0"/>
                    <w:autoSpaceDE/>
                    <w:autoSpaceDN/>
                    <w:bidi w:val="0"/>
                    <w:adjustRightInd/>
                    <w:snapToGrid/>
                    <w:spacing w:line="240" w:lineRule="auto"/>
                    <w:ind w:left="0"/>
                    <w:jc w:val="both"/>
                    <w:textAlignment w:val="auto"/>
                    <w:rPr>
                      <w:rFonts w:ascii="Times New Roman" w:cs="Times New Roman" w:hAnsi="Times New Roman" w:hint="eastAsia"/>
                      <w:color w:val="auto"/>
                      <w:w w:val="100"/>
                      <w:kern w:val="2"/>
                      <w:sz w:val="21"/>
                      <w:szCs w:val="21"/>
                      <w:lang w:val="en-US" w:eastAsia="zh-CN" w:bidi="ar-SA"/>
                      <w:highlight w:val="none"/>
                    </w:rPr>
                  </w:pPr>
                  <w:r>
                    <w:rPr>
                      <w:rFonts w:ascii="Times New Roman" w:cs="Times New Roman" w:hAnsi="Times New Roman" w:hint="eastAsia"/>
                      <w:color w:val="auto"/>
                      <w:w w:val="100"/>
                      <w:kern w:val="2"/>
                      <w:sz w:val="21"/>
                      <w:szCs w:val="21"/>
                      <w:lang w:val="en-US" w:eastAsia="zh-CN" w:bidi="ar-SA"/>
                      <w:highlight w:val="none"/>
                    </w:rPr>
                    <w:t>a.危险废物标签所选用的材质宜具有一定的耐用性和防水性。标签可采用不干胶印刷品，或印刷品外加防水塑料袋或塑封等。</w:t>
                  </w:r>
                </w:p>
                <w:p>
                  <w:pPr>
                    <w:pStyle w:val="69"/>
                    <w:keepNext w:val="0"/>
                    <w:keepLines w:val="0"/>
                    <w:pageBreakBefore w:val="0"/>
                    <w:widowControl w:val="0"/>
                    <w:kinsoku/>
                    <w:wordWrap/>
                    <w:overflowPunct/>
                    <w:topLinePunct w:val="0"/>
                    <w:autoSpaceDE/>
                    <w:autoSpaceDN/>
                    <w:bidi w:val="0"/>
                    <w:adjustRightInd/>
                    <w:snapToGrid/>
                    <w:spacing w:line="240" w:lineRule="auto"/>
                    <w:ind w:left="0"/>
                    <w:jc w:val="both"/>
                    <w:textAlignment w:val="auto"/>
                    <w:rPr>
                      <w:rFonts w:ascii="Times New Roman" w:cs="Times New Roman" w:hAnsi="Times New Roman" w:hint="eastAsia"/>
                      <w:color w:val="auto"/>
                      <w:w w:val="100"/>
                      <w:kern w:val="2"/>
                      <w:sz w:val="21"/>
                      <w:szCs w:val="21"/>
                      <w:lang w:val="en-US" w:eastAsia="zh-CN" w:bidi="ar-SA"/>
                      <w:highlight w:val="none"/>
                    </w:rPr>
                  </w:pPr>
                  <w:r>
                    <w:rPr>
                      <w:rFonts w:ascii="Times New Roman" w:cs="Times New Roman" w:hAnsi="Times New Roman" w:hint="eastAsia"/>
                      <w:color w:val="auto"/>
                      <w:w w:val="100"/>
                      <w:kern w:val="2"/>
                      <w:sz w:val="21"/>
                      <w:szCs w:val="21"/>
                      <w:lang w:val="en-US" w:eastAsia="zh-CN" w:bidi="ar-SA"/>
                      <w:highlight w:val="none"/>
                    </w:rPr>
                    <w:t>b.危险废物标签背景色应采用醒目的橘黄色。</w:t>
                  </w:r>
                </w:p>
                <w:p>
                  <w:pPr>
                    <w:pStyle w:val="69"/>
                    <w:keepNext w:val="0"/>
                    <w:keepLines w:val="0"/>
                    <w:pageBreakBefore w:val="0"/>
                    <w:widowControl w:val="0"/>
                    <w:kinsoku/>
                    <w:wordWrap/>
                    <w:overflowPunct/>
                    <w:topLinePunct w:val="0"/>
                    <w:autoSpaceDE/>
                    <w:autoSpaceDN/>
                    <w:bidi w:val="0"/>
                    <w:adjustRightInd/>
                    <w:snapToGrid/>
                    <w:spacing w:line="240" w:lineRule="auto"/>
                    <w:ind w:left="0"/>
                    <w:jc w:val="both"/>
                    <w:textAlignment w:val="auto"/>
                    <w:rPr>
                      <w:rFonts w:ascii="Times New Roman" w:cs="Times New Roman" w:hAnsi="Times New Roman" w:hint="eastAsia"/>
                      <w:color w:val="auto"/>
                      <w:w w:val="100"/>
                      <w:kern w:val="2"/>
                      <w:sz w:val="21"/>
                      <w:szCs w:val="21"/>
                      <w:lang w:val="en-US" w:eastAsia="zh-CN" w:bidi="ar-SA"/>
                      <w:highlight w:val="none"/>
                    </w:rPr>
                  </w:pPr>
                  <w:r>
                    <w:rPr>
                      <w:rFonts w:ascii="Times New Roman" w:cs="Times New Roman" w:hAnsi="Times New Roman" w:hint="eastAsia"/>
                      <w:color w:val="auto"/>
                      <w:w w:val="100"/>
                      <w:kern w:val="2"/>
                      <w:sz w:val="21"/>
                      <w:szCs w:val="21"/>
                      <w:lang w:val="en-US" w:eastAsia="zh-CN" w:bidi="ar-SA"/>
                      <w:highlight w:val="none"/>
                    </w:rPr>
                    <w:t>c.危险废物标签字体宜采用黑体字，其中“危险废物”字样应加粗放大。</w:t>
                  </w:r>
                </w:p>
              </w:tc>
            </w:tr>
            <w:tr>
              <w:trPr>
                <w:trHeight w:val="524"/>
              </w:trPr>
              <w:tc>
                <w:tcPr>
                  <w:tcW w:w="844" w:type="pct"/>
                  <w:tcBorders>
                    <w:tl2br w:val="nil"/>
                    <w:tr2bl w:val="nil"/>
                  </w:tcBorders>
                  <w:vAlign w:val="center"/>
                </w:tcPr>
                <w:p>
                  <w:pPr>
                    <w:pStyle w:val="69"/>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cs="Times New Roman" w:hAnsi="Times New Roman" w:hint="eastAsia"/>
                      <w:color w:val="auto"/>
                      <w:w w:val="100"/>
                      <w:kern w:val="2"/>
                      <w:sz w:val="21"/>
                      <w:szCs w:val="21"/>
                      <w:lang w:val="en-US" w:eastAsia="zh-CN" w:bidi="ar-SA"/>
                      <w:highlight w:val="none"/>
                    </w:rPr>
                  </w:pPr>
                  <w:r>
                    <w:rPr>
                      <w:rFonts w:ascii="Times New Roman" w:cs="Times New Roman" w:hAnsi="Times New Roman" w:hint="eastAsia"/>
                      <w:color w:val="auto"/>
                      <w:w w:val="100"/>
                      <w:kern w:val="2"/>
                      <w:sz w:val="21"/>
                      <w:szCs w:val="21"/>
                      <w:lang w:val="en-US" w:eastAsia="zh-CN" w:bidi="ar-SA"/>
                      <w:highlight w:val="none"/>
                    </w:rPr>
                    <w:t>危险废物贮存分区标志</w:t>
                  </w:r>
                </w:p>
              </w:tc>
              <w:tc>
                <w:tcPr>
                  <w:tcW w:w="1720" w:type="pct"/>
                  <w:tcBorders>
                    <w:tl2br w:val="nil"/>
                    <w:tr2bl w:val="nil"/>
                  </w:tcBorders>
                  <w:vAlign w:val="center"/>
                </w:tcPr>
                <w:p>
                  <w:pPr>
                    <w:pStyle w:val="69"/>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cs="Times New Roman" w:hAnsi="Times New Roman" w:hint="eastAsia"/>
                      <w:color w:val="auto"/>
                      <w:w w:val="100"/>
                      <w:kern w:val="2"/>
                      <w:sz w:val="21"/>
                      <w:szCs w:val="21"/>
                      <w:lang w:val="en-US" w:eastAsia="zh-CN" w:bidi="ar-SA"/>
                      <w:highlight w:val="none"/>
                    </w:rPr>
                  </w:pPr>
                  <w:r>
                    <w:rPr>
                      <w:color w:val="auto"/>
                      <w:highlight w:val="none"/>
                    </w:rPr>
                    <w:drawing>
                      <wp:inline distT="0" distB="0" distL="114300" distR="114300">
                        <wp:extent cx="1818639" cy="1525905"/>
                        <wp:effectExtent l="0" t="0" r="1" b="0"/>
                        <wp:docPr id="154" name="图片 5"/>
                        <wp:cNvGraphicFramePr>
                          <a:graphicFrameLocks noChangeAspect="1"/>
                        </wp:cNvGraphicFramePr>
                        <a:graphic>
                          <a:graphicData uri="http://schemas.openxmlformats.org/drawingml/2006/picture">
                            <pic:pic>
                              <pic:nvPicPr>
                                <pic:cNvPr id="228" name="图片 5 228"/>
                                <pic:cNvPicPr/>
                              </pic:nvPicPr>
                              <pic:blipFill>
                                <a:blip r:embed="rId61"/>
                                <a:stretch>
                                  <a:fillRect/>
                                </a:stretch>
                              </pic:blipFill>
                              <pic:spPr>
                                <a:xfrm rot="0">
                                  <a:off x="0" y="0"/>
                                  <a:ext cx="1818639" cy="1525905"/>
                                </a:xfrm>
                                <a:prstGeom prst="rect"/>
                                <a:noFill/>
                                <a:ln cmpd="sng" cap="flat">
                                  <a:noFill/>
                                  <a:prstDash val="solid"/>
                                  <a:round/>
                                </a:ln>
                              </pic:spPr>
                            </pic:pic>
                          </a:graphicData>
                        </a:graphic>
                      </wp:inline>
                    </w:drawing>
                  </w:r>
                </w:p>
              </w:tc>
              <w:tc>
                <w:tcPr>
                  <w:tcW w:w="2435" w:type="pct"/>
                  <w:tcBorders>
                    <w:tl2br w:val="nil"/>
                    <w:tr2bl w:val="nil"/>
                  </w:tcBorders>
                  <w:vAlign w:val="center"/>
                </w:tcPr>
                <w:p>
                  <w:pPr>
                    <w:pStyle w:val="69"/>
                    <w:keepNext w:val="0"/>
                    <w:keepLines w:val="0"/>
                    <w:pageBreakBefore w:val="0"/>
                    <w:widowControl w:val="0"/>
                    <w:kinsoku/>
                    <w:wordWrap/>
                    <w:overflowPunct/>
                    <w:topLinePunct w:val="0"/>
                    <w:autoSpaceDE/>
                    <w:autoSpaceDN/>
                    <w:bidi w:val="0"/>
                    <w:adjustRightInd/>
                    <w:snapToGrid/>
                    <w:spacing w:line="240" w:lineRule="auto"/>
                    <w:ind w:left="0"/>
                    <w:jc w:val="both"/>
                    <w:textAlignment w:val="auto"/>
                    <w:rPr>
                      <w:rFonts w:ascii="Times New Roman" w:cs="Times New Roman" w:hAnsi="Times New Roman" w:hint="eastAsia"/>
                      <w:color w:val="auto"/>
                      <w:w w:val="100"/>
                      <w:kern w:val="2"/>
                      <w:sz w:val="21"/>
                      <w:szCs w:val="21"/>
                      <w:lang w:val="en-US" w:eastAsia="zh-CN" w:bidi="ar-SA"/>
                      <w:highlight w:val="none"/>
                    </w:rPr>
                  </w:pPr>
                  <w:r>
                    <w:rPr>
                      <w:rFonts w:ascii="Times New Roman" w:cs="Times New Roman" w:hAnsi="Times New Roman" w:hint="eastAsia"/>
                      <w:color w:val="auto"/>
                      <w:w w:val="100"/>
                      <w:kern w:val="2"/>
                      <w:sz w:val="21"/>
                      <w:szCs w:val="21"/>
                      <w:lang w:val="en-US" w:eastAsia="zh-CN" w:bidi="ar-SA"/>
                      <w:highlight w:val="none"/>
                    </w:rPr>
                    <w:t>a危险废物分区标志的字体宜采用黑体字,其中“危险废物贮存分区标志”字样应加粗放大并居中显示。</w:t>
                  </w:r>
                </w:p>
                <w:p>
                  <w:pPr>
                    <w:pStyle w:val="69"/>
                    <w:keepNext w:val="0"/>
                    <w:keepLines w:val="0"/>
                    <w:pageBreakBefore w:val="0"/>
                    <w:widowControl w:val="0"/>
                    <w:kinsoku/>
                    <w:wordWrap/>
                    <w:overflowPunct/>
                    <w:topLinePunct w:val="0"/>
                    <w:autoSpaceDE/>
                    <w:autoSpaceDN/>
                    <w:bidi w:val="0"/>
                    <w:adjustRightInd/>
                    <w:snapToGrid/>
                    <w:spacing w:line="240" w:lineRule="auto"/>
                    <w:ind w:left="0"/>
                    <w:jc w:val="both"/>
                    <w:textAlignment w:val="auto"/>
                    <w:rPr>
                      <w:rFonts w:ascii="Times New Roman" w:cs="Times New Roman" w:hAnsi="Times New Roman" w:hint="eastAsia"/>
                      <w:color w:val="auto"/>
                      <w:w w:val="100"/>
                      <w:kern w:val="2"/>
                      <w:sz w:val="21"/>
                      <w:szCs w:val="21"/>
                      <w:lang w:val="en-US" w:eastAsia="zh-CN" w:bidi="ar-SA"/>
                      <w:highlight w:val="none"/>
                    </w:rPr>
                  </w:pPr>
                  <w:r>
                    <w:rPr>
                      <w:rFonts w:ascii="Times New Roman" w:cs="Times New Roman" w:hAnsi="Times New Roman" w:hint="eastAsia"/>
                      <w:color w:val="auto"/>
                      <w:w w:val="100"/>
                      <w:kern w:val="2"/>
                      <w:sz w:val="21"/>
                      <w:szCs w:val="21"/>
                      <w:lang w:val="en-US" w:eastAsia="zh-CN" w:bidi="ar-SA"/>
                      <w:highlight w:val="none"/>
                    </w:rPr>
                    <w:t>b.危险废物分区标志背景色应采用黄色， RGB颜色值为（255，55，0）。废物种类信息应采用醒目的橘黄色 ，RGB颜色值为（255, 150, 0）。字体颜色为黑色，RGB颜色值为（0，0，0）。</w:t>
                  </w:r>
                </w:p>
                <w:p>
                  <w:pPr>
                    <w:pStyle w:val="69"/>
                    <w:keepNext w:val="0"/>
                    <w:keepLines w:val="0"/>
                    <w:pageBreakBefore w:val="0"/>
                    <w:widowControl w:val="0"/>
                    <w:kinsoku/>
                    <w:wordWrap/>
                    <w:overflowPunct/>
                    <w:topLinePunct w:val="0"/>
                    <w:autoSpaceDE/>
                    <w:autoSpaceDN/>
                    <w:bidi w:val="0"/>
                    <w:adjustRightInd/>
                    <w:snapToGrid/>
                    <w:spacing w:line="240" w:lineRule="auto"/>
                    <w:ind w:left="0"/>
                    <w:jc w:val="both"/>
                    <w:textAlignment w:val="auto"/>
                    <w:rPr>
                      <w:rFonts w:ascii="Times New Roman" w:cs="Times New Roman" w:hAnsi="Times New Roman" w:hint="eastAsia"/>
                      <w:color w:val="auto"/>
                      <w:w w:val="100"/>
                      <w:kern w:val="2"/>
                      <w:sz w:val="21"/>
                      <w:szCs w:val="21"/>
                      <w:lang w:val="en-US" w:eastAsia="zh-CN" w:bidi="ar-SA"/>
                      <w:highlight w:val="none"/>
                    </w:rPr>
                  </w:pPr>
                  <w:r>
                    <w:rPr>
                      <w:rFonts w:ascii="Times New Roman" w:cs="Times New Roman" w:hAnsi="Times New Roman" w:hint="eastAsia"/>
                      <w:color w:val="auto"/>
                      <w:w w:val="100"/>
                      <w:kern w:val="2"/>
                      <w:sz w:val="21"/>
                      <w:szCs w:val="21"/>
                      <w:lang w:val="en-US" w:eastAsia="zh-CN" w:bidi="ar-SA"/>
                      <w:highlight w:val="none"/>
                    </w:rPr>
                    <w:t>c、危险废物贮存分区标志的图形和文字应清晰、完整，保证在足够的观察距离条件下不影响阅读。“危险废物贮存分区标志”字样与其他信息宜加黑色分界线区分，分界线的宽度不小于2 mm。</w:t>
                  </w:r>
                </w:p>
              </w:tc>
            </w:tr>
            <w:tr>
              <w:trPr>
                <w:trHeight w:val="340"/>
              </w:trPr>
              <w:tc>
                <w:tcPr>
                  <w:tcW w:w="844" w:type="pct"/>
                  <w:tcBorders>
                    <w:tl2br w:val="nil"/>
                    <w:tr2bl w:val="nil"/>
                  </w:tcBorders>
                  <w:vAlign w:val="center"/>
                </w:tcPr>
                <w:p>
                  <w:pPr>
                    <w:pStyle w:val="69"/>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eastAsia="宋体" w:cs="Times New Roman" w:hAnsi="Times New Roman" w:hint="eastAsia"/>
                      <w:color w:val="auto"/>
                      <w:w w:val="100"/>
                      <w:kern w:val="2"/>
                      <w:sz w:val="21"/>
                      <w:szCs w:val="21"/>
                      <w:lang w:val="en-US" w:eastAsia="zh-CN" w:bidi="ar-SA"/>
                      <w:highlight w:val="none"/>
                    </w:rPr>
                  </w:pPr>
                  <w:r>
                    <w:rPr>
                      <w:rFonts w:ascii="Times New Roman" w:eastAsia="宋体" w:cs="Times New Roman" w:hAnsi="Times New Roman" w:hint="eastAsia"/>
                      <w:color w:val="auto"/>
                      <w:w w:val="100"/>
                      <w:kern w:val="2"/>
                      <w:sz w:val="21"/>
                      <w:szCs w:val="21"/>
                      <w:lang w:val="en-US" w:eastAsia="zh-CN" w:bidi="ar-SA"/>
                      <w:highlight w:val="none"/>
                    </w:rPr>
                    <w:t>危险废物贮存设施标志</w:t>
                  </w:r>
                </w:p>
              </w:tc>
              <w:tc>
                <w:tcPr>
                  <w:tcW w:w="1720" w:type="pct"/>
                  <w:tcBorders>
                    <w:tl2br w:val="nil"/>
                    <w:tr2bl w:val="nil"/>
                  </w:tcBorders>
                  <w:vAlign w:val="center"/>
                </w:tcPr>
                <w:p>
                  <w:pPr>
                    <w:pStyle w:val="69"/>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eastAsia="宋体" w:cs="Times New Roman" w:hAnsi="Times New Roman" w:hint="eastAsia"/>
                      <w:color w:val="auto"/>
                      <w:w w:val="100"/>
                      <w:kern w:val="2"/>
                      <w:sz w:val="21"/>
                      <w:szCs w:val="21"/>
                      <w:lang w:val="en-US" w:eastAsia="zh-CN" w:bidi="ar-SA"/>
                      <w:highlight w:val="none"/>
                    </w:rPr>
                  </w:pPr>
                  <w:r>
                    <w:rPr>
                      <w:color w:val="auto"/>
                      <w:highlight w:val="none"/>
                    </w:rPr>
                    <w:drawing>
                      <wp:inline distT="0" distB="0" distL="114300" distR="114300">
                        <wp:extent cx="1822450" cy="1155064"/>
                        <wp:effectExtent l="0" t="0" r="1" b="1"/>
                        <wp:docPr id="155" name="图片 6"/>
                        <wp:cNvGraphicFramePr>
                          <a:graphicFrameLocks noChangeAspect="1"/>
                        </wp:cNvGraphicFramePr>
                        <a:graphic>
                          <a:graphicData uri="http://schemas.openxmlformats.org/drawingml/2006/picture">
                            <pic:pic>
                              <pic:nvPicPr>
                                <pic:cNvPr id="230" name="图片 6 230"/>
                                <pic:cNvPicPr/>
                              </pic:nvPicPr>
                              <pic:blipFill>
                                <a:blip r:embed="rId62"/>
                                <a:stretch>
                                  <a:fillRect/>
                                </a:stretch>
                              </pic:blipFill>
                              <pic:spPr>
                                <a:xfrm rot="0">
                                  <a:off x="0" y="0"/>
                                  <a:ext cx="1822450" cy="1155064"/>
                                </a:xfrm>
                                <a:prstGeom prst="rect"/>
                                <a:noFill/>
                                <a:ln cmpd="sng" cap="flat">
                                  <a:noFill/>
                                  <a:prstDash val="solid"/>
                                  <a:round/>
                                </a:ln>
                              </pic:spPr>
                            </pic:pic>
                          </a:graphicData>
                        </a:graphic>
                      </wp:inline>
                    </w:drawing>
                  </w:r>
                </w:p>
              </w:tc>
              <w:tc>
                <w:tcPr>
                  <w:tcW w:w="2435" w:type="pct"/>
                  <w:tcBorders>
                    <w:tl2br w:val="nil"/>
                    <w:tr2bl w:val="nil"/>
                  </w:tcBorders>
                  <w:vAlign w:val="center"/>
                </w:tcPr>
                <w:p>
                  <w:pPr>
                    <w:pStyle w:val="69"/>
                    <w:keepNext w:val="0"/>
                    <w:keepLines w:val="0"/>
                    <w:pageBreakBefore w:val="0"/>
                    <w:widowControl w:val="0"/>
                    <w:kinsoku/>
                    <w:wordWrap/>
                    <w:overflowPunct/>
                    <w:topLinePunct w:val="0"/>
                    <w:autoSpaceDE/>
                    <w:autoSpaceDN/>
                    <w:bidi w:val="0"/>
                    <w:adjustRightInd/>
                    <w:snapToGrid/>
                    <w:spacing w:line="240" w:lineRule="auto"/>
                    <w:ind w:left="0"/>
                    <w:jc w:val="both"/>
                    <w:textAlignment w:val="auto"/>
                    <w:rPr>
                      <w:rFonts w:ascii="Times New Roman" w:eastAsia="宋体" w:cs="Times New Roman" w:hAnsi="Times New Roman" w:hint="eastAsia"/>
                      <w:color w:val="auto"/>
                      <w:w w:val="100"/>
                      <w:kern w:val="2"/>
                      <w:sz w:val="21"/>
                      <w:szCs w:val="21"/>
                      <w:lang w:val="en-US" w:eastAsia="zh-CN" w:bidi="ar-SA"/>
                      <w:highlight w:val="none"/>
                    </w:rPr>
                  </w:pPr>
                  <w:r>
                    <w:rPr>
                      <w:rFonts w:ascii="Times New Roman" w:cs="Times New Roman" w:hAnsi="Times New Roman" w:hint="eastAsia"/>
                      <w:color w:val="auto"/>
                      <w:w w:val="100"/>
                      <w:kern w:val="2"/>
                      <w:sz w:val="21"/>
                      <w:szCs w:val="21"/>
                      <w:lang w:val="en-US" w:eastAsia="zh-CN" w:bidi="ar-SA"/>
                      <w:highlight w:val="none"/>
                    </w:rPr>
                    <w:t>a.</w:t>
                  </w:r>
                  <w:r>
                    <w:rPr>
                      <w:rFonts w:ascii="Times New Roman" w:eastAsia="宋体" w:cs="Times New Roman" w:hAnsi="Times New Roman" w:hint="eastAsia"/>
                      <w:color w:val="auto"/>
                      <w:w w:val="100"/>
                      <w:kern w:val="2"/>
                      <w:sz w:val="21"/>
                      <w:szCs w:val="21"/>
                      <w:lang w:val="en-US" w:eastAsia="zh-CN" w:bidi="ar-SA"/>
                      <w:highlight w:val="none"/>
                    </w:rPr>
                    <w:t>危险废物设施标志背景颜色为黄色，RGB 颜色值为（255</w:t>
                  </w:r>
                  <w:r>
                    <w:rPr>
                      <w:rFonts w:ascii="Times New Roman" w:cs="Times New Roman" w:hAnsi="Times New Roman" w:hint="eastAsia"/>
                      <w:color w:val="auto"/>
                      <w:w w:val="100"/>
                      <w:kern w:val="2"/>
                      <w:sz w:val="21"/>
                      <w:szCs w:val="21"/>
                      <w:lang w:val="en-US" w:eastAsia="zh-CN" w:bidi="ar-SA"/>
                      <w:highlight w:val="none"/>
                    </w:rPr>
                    <w:t>，</w:t>
                  </w:r>
                  <w:r>
                    <w:rPr>
                      <w:rFonts w:ascii="Times New Roman" w:eastAsia="宋体" w:cs="Times New Roman" w:hAnsi="Times New Roman" w:hint="eastAsia"/>
                      <w:color w:val="auto"/>
                      <w:w w:val="100"/>
                      <w:kern w:val="2"/>
                      <w:sz w:val="21"/>
                      <w:szCs w:val="21"/>
                      <w:lang w:val="en-US" w:eastAsia="zh-CN" w:bidi="ar-SA"/>
                      <w:highlight w:val="none"/>
                    </w:rPr>
                    <w:t>25</w:t>
                  </w:r>
                  <w:r>
                    <w:rPr>
                      <w:rFonts w:ascii="Times New Roman" w:cs="Times New Roman" w:hAnsi="Times New Roman" w:hint="eastAsia"/>
                      <w:color w:val="auto"/>
                      <w:w w:val="100"/>
                      <w:kern w:val="2"/>
                      <w:sz w:val="21"/>
                      <w:szCs w:val="21"/>
                      <w:lang w:val="en-US" w:eastAsia="zh-CN" w:bidi="ar-SA"/>
                      <w:highlight w:val="none"/>
                    </w:rPr>
                    <w:t>5，</w:t>
                  </w:r>
                  <w:r>
                    <w:rPr>
                      <w:rFonts w:ascii="Times New Roman" w:eastAsia="宋体" w:cs="Times New Roman" w:hAnsi="Times New Roman" w:hint="eastAsia"/>
                      <w:color w:val="auto"/>
                      <w:w w:val="100"/>
                      <w:kern w:val="2"/>
                      <w:sz w:val="21"/>
                      <w:szCs w:val="21"/>
                      <w:lang w:val="en-US" w:eastAsia="zh-CN" w:bidi="ar-SA"/>
                      <w:highlight w:val="none"/>
                    </w:rPr>
                    <w:t xml:space="preserve"> 0）。字体和边框颜色为 黑色，RGB颜色值为（0</w:t>
                  </w:r>
                  <w:r>
                    <w:rPr>
                      <w:rFonts w:ascii="Times New Roman" w:cs="Times New Roman" w:hAnsi="Times New Roman" w:hint="eastAsia"/>
                      <w:color w:val="auto"/>
                      <w:w w:val="100"/>
                      <w:kern w:val="2"/>
                      <w:sz w:val="21"/>
                      <w:szCs w:val="21"/>
                      <w:lang w:val="en-US" w:eastAsia="zh-CN" w:bidi="ar-SA"/>
                      <w:highlight w:val="none"/>
                    </w:rPr>
                    <w:t>,</w:t>
                  </w:r>
                  <w:r>
                    <w:rPr>
                      <w:rFonts w:ascii="Times New Roman" w:eastAsia="宋体" w:cs="Times New Roman" w:hAnsi="Times New Roman" w:hint="eastAsia"/>
                      <w:color w:val="auto"/>
                      <w:w w:val="100"/>
                      <w:kern w:val="2"/>
                      <w:sz w:val="21"/>
                      <w:szCs w:val="21"/>
                      <w:lang w:val="en-US" w:eastAsia="zh-CN" w:bidi="ar-SA"/>
                      <w:highlight w:val="none"/>
                    </w:rPr>
                    <w:t>0, 0）。</w:t>
                  </w:r>
                </w:p>
                <w:p>
                  <w:pPr>
                    <w:pStyle w:val="69"/>
                    <w:keepNext w:val="0"/>
                    <w:keepLines w:val="0"/>
                    <w:pageBreakBefore w:val="0"/>
                    <w:widowControl w:val="0"/>
                    <w:kinsoku/>
                    <w:wordWrap/>
                    <w:overflowPunct/>
                    <w:topLinePunct w:val="0"/>
                    <w:autoSpaceDE/>
                    <w:autoSpaceDN/>
                    <w:bidi w:val="0"/>
                    <w:adjustRightInd/>
                    <w:snapToGrid/>
                    <w:spacing w:line="240" w:lineRule="auto"/>
                    <w:ind w:left="0"/>
                    <w:jc w:val="both"/>
                    <w:textAlignment w:val="auto"/>
                    <w:rPr>
                      <w:rFonts w:ascii="Times New Roman" w:eastAsia="宋体" w:cs="Times New Roman" w:hAnsi="Times New Roman" w:hint="eastAsia"/>
                      <w:color w:val="auto"/>
                      <w:w w:val="100"/>
                      <w:kern w:val="2"/>
                      <w:sz w:val="21"/>
                      <w:szCs w:val="21"/>
                      <w:lang w:val="en-US" w:eastAsia="zh-CN" w:bidi="ar-SA"/>
                      <w:highlight w:val="none"/>
                    </w:rPr>
                  </w:pPr>
                  <w:r>
                    <w:rPr>
                      <w:rFonts w:ascii="Times New Roman" w:cs="Times New Roman" w:hAnsi="Times New Roman" w:hint="eastAsia"/>
                      <w:color w:val="auto"/>
                      <w:w w:val="100"/>
                      <w:kern w:val="2"/>
                      <w:sz w:val="21"/>
                      <w:szCs w:val="21"/>
                      <w:lang w:val="en-US" w:eastAsia="zh-CN" w:bidi="ar-SA"/>
                      <w:highlight w:val="none"/>
                    </w:rPr>
                    <w:t>b.</w:t>
                  </w:r>
                  <w:r>
                    <w:rPr>
                      <w:rFonts w:ascii="Times New Roman" w:eastAsia="宋体" w:cs="Times New Roman" w:hAnsi="Times New Roman" w:hint="eastAsia"/>
                      <w:color w:val="auto"/>
                      <w:w w:val="100"/>
                      <w:kern w:val="2"/>
                      <w:sz w:val="21"/>
                      <w:szCs w:val="21"/>
                      <w:lang w:val="en-US" w:eastAsia="zh-CN" w:bidi="ar-SA"/>
                      <w:highlight w:val="none"/>
                    </w:rPr>
                    <w:t>危险废物设施标志字体应采用黑体字，其中危险废物设施类型的字样应加粗放大并居中显示。</w:t>
                  </w:r>
                </w:p>
                <w:p>
                  <w:pPr>
                    <w:pStyle w:val="69"/>
                    <w:keepNext w:val="0"/>
                    <w:keepLines w:val="0"/>
                    <w:pageBreakBefore w:val="0"/>
                    <w:widowControl w:val="0"/>
                    <w:kinsoku/>
                    <w:wordWrap/>
                    <w:overflowPunct/>
                    <w:topLinePunct w:val="0"/>
                    <w:autoSpaceDE/>
                    <w:autoSpaceDN/>
                    <w:bidi w:val="0"/>
                    <w:adjustRightInd/>
                    <w:snapToGrid/>
                    <w:spacing w:line="240" w:lineRule="auto"/>
                    <w:ind w:left="0"/>
                    <w:jc w:val="both"/>
                    <w:textAlignment w:val="auto"/>
                    <w:rPr>
                      <w:rFonts w:ascii="Times New Roman" w:eastAsia="宋体" w:cs="Times New Roman" w:hAnsi="Times New Roman" w:hint="eastAsia"/>
                      <w:color w:val="auto"/>
                      <w:w w:val="100"/>
                      <w:kern w:val="2"/>
                      <w:sz w:val="21"/>
                      <w:szCs w:val="21"/>
                      <w:lang w:val="en-US" w:eastAsia="zh-CN" w:bidi="ar-SA"/>
                      <w:highlight w:val="none"/>
                    </w:rPr>
                  </w:pPr>
                  <w:r>
                    <w:rPr>
                      <w:rFonts w:ascii="Times New Roman" w:cs="Times New Roman" w:hAnsi="Times New Roman" w:hint="eastAsia"/>
                      <w:color w:val="auto"/>
                      <w:w w:val="100"/>
                      <w:kern w:val="2"/>
                      <w:sz w:val="21"/>
                      <w:szCs w:val="21"/>
                      <w:lang w:val="en-US" w:eastAsia="zh-CN" w:bidi="ar-SA"/>
                      <w:highlight w:val="none"/>
                    </w:rPr>
                    <w:t>c.</w:t>
                  </w:r>
                  <w:r>
                    <w:rPr>
                      <w:rFonts w:ascii="Times New Roman" w:eastAsia="宋体" w:cs="Times New Roman" w:hAnsi="Times New Roman" w:hint="eastAsia"/>
                      <w:color w:val="auto"/>
                      <w:w w:val="100"/>
                      <w:kern w:val="2"/>
                      <w:sz w:val="21"/>
                      <w:szCs w:val="21"/>
                      <w:lang w:val="en-US" w:eastAsia="zh-CN" w:bidi="ar-SA"/>
                      <w:highlight w:val="none"/>
                    </w:rPr>
                    <w:t>危险废物贮存、利用、处置设施标志宜采 用坚固耐用的材料（</w:t>
                  </w:r>
                  <w:r>
                    <w:rPr>
                      <w:rFonts w:ascii="Times New Roman" w:cs="Times New Roman" w:hAnsi="Times New Roman" w:hint="eastAsia"/>
                      <w:color w:val="auto"/>
                      <w:w w:val="100"/>
                      <w:kern w:val="2"/>
                      <w:sz w:val="21"/>
                      <w:szCs w:val="21"/>
                      <w:lang w:val="en-US" w:eastAsia="zh-CN" w:bidi="ar-SA"/>
                      <w:highlight w:val="none"/>
                    </w:rPr>
                    <w:t>如</w:t>
                  </w:r>
                  <w:r>
                    <w:rPr>
                      <w:rFonts w:ascii="Times New Roman" w:eastAsia="宋体" w:cs="Times New Roman" w:hAnsi="Times New Roman" w:hint="eastAsia"/>
                      <w:color w:val="auto"/>
                      <w:w w:val="100"/>
                      <w:kern w:val="2"/>
                      <w:sz w:val="21"/>
                      <w:szCs w:val="21"/>
                      <w:lang w:val="en-US" w:eastAsia="zh-CN" w:bidi="ar-SA"/>
                      <w:highlight w:val="none"/>
                    </w:rPr>
                    <w:t>1.5 mm～2 mm冷轧钢板），并做搪瓷处理或贴膜处理。一般不宜使用遇水变形、变质或易燃的材料。柱式 标志牌的立柱可采用38×4无缝钢管或其他坚固耐用的材料，并经过防腐处理。</w:t>
                  </w:r>
                </w:p>
                <w:p>
                  <w:pPr>
                    <w:pStyle w:val="69"/>
                    <w:keepNext w:val="0"/>
                    <w:keepLines w:val="0"/>
                    <w:pageBreakBefore w:val="0"/>
                    <w:widowControl w:val="0"/>
                    <w:kinsoku/>
                    <w:wordWrap/>
                    <w:overflowPunct/>
                    <w:topLinePunct w:val="0"/>
                    <w:autoSpaceDE/>
                    <w:autoSpaceDN/>
                    <w:bidi w:val="0"/>
                    <w:adjustRightInd/>
                    <w:snapToGrid/>
                    <w:spacing w:line="240" w:lineRule="auto"/>
                    <w:ind w:left="0"/>
                    <w:jc w:val="both"/>
                    <w:textAlignment w:val="auto"/>
                    <w:rPr>
                      <w:rFonts w:ascii="Times New Roman" w:eastAsia="宋体" w:cs="Times New Roman" w:hAnsi="Times New Roman" w:hint="eastAsia"/>
                      <w:color w:val="auto"/>
                      <w:w w:val="100"/>
                      <w:kern w:val="2"/>
                      <w:sz w:val="21"/>
                      <w:szCs w:val="21"/>
                      <w:lang w:val="en-US" w:eastAsia="zh-CN" w:bidi="ar-SA"/>
                      <w:highlight w:val="none"/>
                    </w:rPr>
                  </w:pPr>
                  <w:r>
                    <w:rPr>
                      <w:rFonts w:ascii="Times New Roman" w:cs="Times New Roman" w:hAnsi="Times New Roman" w:hint="eastAsia"/>
                      <w:color w:val="auto"/>
                      <w:w w:val="100"/>
                      <w:kern w:val="2"/>
                      <w:sz w:val="21"/>
                      <w:szCs w:val="21"/>
                      <w:lang w:val="en-US" w:eastAsia="zh-CN" w:bidi="ar-SA"/>
                      <w:highlight w:val="none"/>
                    </w:rPr>
                    <w:t>d.</w:t>
                  </w:r>
                  <w:r>
                    <w:rPr>
                      <w:rFonts w:ascii="Times New Roman" w:eastAsia="宋体" w:cs="Times New Roman" w:hAnsi="Times New Roman" w:hint="eastAsia"/>
                      <w:color w:val="auto"/>
                      <w:w w:val="100"/>
                      <w:kern w:val="2"/>
                      <w:sz w:val="21"/>
                      <w:szCs w:val="21"/>
                      <w:lang w:val="en-US" w:eastAsia="zh-CN" w:bidi="ar-SA"/>
                      <w:highlight w:val="none"/>
                    </w:rPr>
                    <w:t>危险废物贮存、利用、处置设施标志的图形和文字应清晰、完整，保证在足够的观察距离条件下也不影响阅读。三角形警告性图形与其他信息间宜加黑色分界线区分，分界线的宽度宜不小于</w:t>
                  </w:r>
                  <w:r>
                    <w:rPr>
                      <w:rFonts w:ascii="Times New Roman" w:cs="Times New Roman" w:hAnsi="Times New Roman" w:hint="eastAsia"/>
                      <w:color w:val="auto"/>
                      <w:w w:val="100"/>
                      <w:kern w:val="2"/>
                      <w:sz w:val="21"/>
                      <w:szCs w:val="21"/>
                      <w:lang w:val="en-US" w:eastAsia="zh-CN" w:bidi="ar-SA"/>
                      <w:highlight w:val="none"/>
                    </w:rPr>
                    <w:t>3</w:t>
                  </w:r>
                  <w:r>
                    <w:rPr>
                      <w:rFonts w:ascii="Times New Roman" w:eastAsia="宋体" w:cs="Times New Roman" w:hAnsi="Times New Roman" w:hint="eastAsia"/>
                      <w:color w:val="auto"/>
                      <w:w w:val="100"/>
                      <w:kern w:val="2"/>
                      <w:sz w:val="21"/>
                      <w:szCs w:val="21"/>
                      <w:lang w:val="en-US" w:eastAsia="zh-CN" w:bidi="ar-SA"/>
                      <w:highlight w:val="none"/>
                    </w:rPr>
                    <w:t>mm。</w:t>
                  </w:r>
                </w:p>
              </w:tc>
            </w:tr>
          </w:tbl>
          <w:p>
            <w:pPr>
              <w:spacing w:line="460" w:lineRule="exact"/>
              <w:ind w:firstLineChars="200" w:firstLine="480"/>
              <w:rPr>
                <w:b/>
                <w:color w:val="auto"/>
                <w:sz w:val="24"/>
                <w:highlight w:val="none"/>
              </w:rPr>
            </w:pPr>
            <w:r>
              <w:rPr>
                <w:rFonts w:hint="eastAsia"/>
                <w:b/>
                <w:color w:val="auto"/>
                <w:sz w:val="24"/>
                <w:highlight w:val="none"/>
              </w:rPr>
              <w:t>5、地下水、土壤</w:t>
            </w:r>
          </w:p>
          <w:p>
            <w:pPr>
              <w:pStyle w:val="33"/>
              <w:keepNext w:val="0"/>
              <w:keepLines w:val="0"/>
              <w:pageBreakBefore w:val="0"/>
              <w:widowControl w:val="0"/>
              <w:kinsoku/>
              <w:wordWrap/>
              <w:overflowPunct/>
              <w:topLinePunct w:val="0"/>
              <w:autoSpaceDE/>
              <w:autoSpaceDN/>
              <w:bidi w:val="0"/>
              <w:adjustRightInd/>
              <w:snapToGrid/>
              <w:spacing w:line="460" w:lineRule="exact"/>
              <w:textAlignment w:val="auto"/>
              <w:rPr>
                <w:bCs/>
                <w:color w:val="auto"/>
                <w:sz w:val="24"/>
                <w:highlight w:val="none"/>
              </w:rPr>
            </w:pPr>
            <w:r>
              <w:rPr>
                <w:rFonts w:hint="eastAsia"/>
                <w:bCs/>
                <w:color w:val="auto"/>
                <w:sz w:val="24"/>
                <w:highlight w:val="none"/>
              </w:rPr>
              <w:t>正常情况下，项目物料全部在生产车间内暂存，不存在地表漫流和垂直入渗的污染途径</w:t>
            </w:r>
            <w:r>
              <w:rPr>
                <w:bCs/>
                <w:color w:val="auto"/>
                <w:sz w:val="24"/>
                <w:highlight w:val="none"/>
              </w:rPr>
              <w:t>。</w:t>
            </w:r>
            <w:r>
              <w:rPr>
                <w:rFonts w:hint="eastAsia"/>
                <w:bCs/>
                <w:color w:val="auto"/>
                <w:sz w:val="24"/>
                <w:highlight w:val="none"/>
              </w:rPr>
              <w:t>因此正常工况下不具备地下水和土壤污染途径，污染物不会对该区域土壤和地下水产生影响。对地下水可能造成污染的途径或方式主要有：非正常情况下，地面的防渗措施破损可能导致污染</w:t>
            </w:r>
            <w:r>
              <w:rPr>
                <w:rFonts w:ascii="Times New Roman" w:eastAsia="宋体" w:cs="Times New Roman" w:hAnsi="Times New Roman" w:hint="eastAsia"/>
                <w:color w:val="auto"/>
                <w:kern w:val="2"/>
                <w:sz w:val="24"/>
                <w:szCs w:val="24"/>
                <w:lang w:val="en-US" w:eastAsia="zh-CN" w:bidi="ar-SA"/>
                <w:highlight w:val="none"/>
              </w:rPr>
              <w:t>物下渗，从而污染地下水和土壤。</w:t>
            </w:r>
            <w:r>
              <w:rPr>
                <w:bCs/>
                <w:color w:val="auto"/>
                <w:sz w:val="24"/>
                <w:highlight w:val="none"/>
              </w:rPr>
              <w:t>为防止项目对地下水污染，采取以下防渗措施：</w:t>
            </w:r>
          </w:p>
          <w:p>
            <w:pPr>
              <w:keepNext w:val="0"/>
              <w:keepLines w:val="0"/>
              <w:pageBreakBefore w:val="0"/>
              <w:widowControl w:val="0"/>
              <w:kinsoku/>
              <w:wordWrap/>
              <w:overflowPunct/>
              <w:topLinePunct w:val="0"/>
              <w:autoSpaceDE/>
              <w:autoSpaceDN/>
              <w:bidi w:val="0"/>
              <w:adjustRightInd/>
              <w:snapToGrid/>
              <w:spacing w:line="460" w:lineRule="exact"/>
              <w:ind w:firstLineChars="200" w:firstLine="480"/>
              <w:textAlignment w:val="auto"/>
              <w:rPr>
                <w:bCs/>
                <w:color w:val="auto"/>
                <w:sz w:val="24"/>
                <w:highlight w:val="none"/>
              </w:rPr>
            </w:pPr>
            <w:r>
              <w:rPr>
                <w:rFonts w:ascii="Times New Roman" w:eastAsia="宋体" w:cs="Times New Roman" w:hAnsi="Times New Roman" w:hint="eastAsia"/>
                <w:color w:val="auto"/>
                <w:sz w:val="24"/>
                <w:lang w:val="en-US" w:eastAsia="zh-CN"/>
                <w:highlight w:val="none"/>
              </w:rPr>
              <w:t>项目租赁闲置</w:t>
            </w:r>
            <w:r>
              <w:rPr>
                <w:rFonts w:cs="Times New Roman" w:hint="eastAsia"/>
                <w:color w:val="auto"/>
                <w:sz w:val="24"/>
                <w:lang w:val="en-US" w:eastAsia="zh-CN"/>
                <w:highlight w:val="none"/>
              </w:rPr>
              <w:t>库房改造后用于废电池贮存</w:t>
            </w:r>
            <w:r>
              <w:rPr>
                <w:rFonts w:ascii="Times New Roman" w:eastAsia="宋体" w:cs="Times New Roman" w:hAnsi="Times New Roman" w:hint="eastAsia"/>
                <w:color w:val="auto"/>
                <w:sz w:val="24"/>
                <w:lang w:val="en-US" w:eastAsia="zh-CN"/>
                <w:highlight w:val="none"/>
              </w:rPr>
              <w:t>，</w:t>
            </w:r>
            <w:r>
              <w:rPr>
                <w:rFonts w:hint="eastAsia"/>
                <w:bCs/>
                <w:color w:val="auto"/>
                <w:sz w:val="24"/>
                <w:lang w:val="en-US" w:eastAsia="zh-CN"/>
                <w:highlight w:val="none"/>
              </w:rPr>
              <w:t>库房整体均</w:t>
            </w:r>
            <w:r>
              <w:rPr>
                <w:bCs/>
                <w:color w:val="auto"/>
                <w:sz w:val="24"/>
                <w:highlight w:val="none"/>
              </w:rPr>
              <w:t>采取重点防渗</w:t>
            </w:r>
            <w:r>
              <w:rPr>
                <w:rFonts w:hint="eastAsia"/>
                <w:bCs/>
                <w:color w:val="auto"/>
                <w:sz w:val="24"/>
                <w:lang w:eastAsia="zh-CN"/>
                <w:highlight w:val="none"/>
              </w:rPr>
              <w:t>（</w:t>
            </w:r>
            <w:r>
              <w:rPr>
                <w:rFonts w:ascii="Times New Roman" w:eastAsia="宋体" w:cs="Times New Roman" w:hAnsi="Times New Roman" w:hint="eastAsia"/>
                <w:color w:val="auto"/>
                <w:spacing w:val="-1"/>
                <w:kern w:val="2"/>
                <w:sz w:val="24"/>
                <w:szCs w:val="24"/>
                <w:lang w:val="en-US" w:eastAsia="zh-CN" w:bidi="ar-SA"/>
                <w:highlight w:val="none"/>
              </w:rPr>
              <w:t>废铅蓄电池贮存区</w:t>
            </w:r>
            <w:r>
              <w:rPr>
                <w:rFonts w:cs="Times New Roman" w:hint="eastAsia"/>
                <w:color w:val="auto"/>
                <w:spacing w:val="-1"/>
                <w:kern w:val="2"/>
                <w:sz w:val="24"/>
                <w:szCs w:val="24"/>
                <w:lang w:val="en-US" w:eastAsia="zh-CN" w:bidi="ar-SA"/>
                <w:highlight w:val="none"/>
              </w:rPr>
              <w:t>及破损电池贮存区的</w:t>
            </w:r>
            <w:r>
              <w:rPr>
                <w:rFonts w:ascii="Times New Roman" w:eastAsia="宋体" w:cs="Times New Roman" w:hAnsi="Times New Roman" w:hint="eastAsia"/>
                <w:color w:val="auto"/>
                <w:spacing w:val="-1"/>
                <w:kern w:val="2"/>
                <w:sz w:val="24"/>
                <w:szCs w:val="24"/>
                <w:lang w:val="en-US" w:eastAsia="zh-CN" w:bidi="ar-SA"/>
                <w:highlight w:val="none"/>
              </w:rPr>
              <w:t>地面</w:t>
            </w:r>
            <w:r>
              <w:rPr>
                <w:rFonts w:cs="Times New Roman" w:hint="eastAsia"/>
                <w:color w:val="auto"/>
                <w:spacing w:val="-1"/>
                <w:kern w:val="2"/>
                <w:sz w:val="24"/>
                <w:szCs w:val="24"/>
                <w:lang w:val="en-US" w:eastAsia="zh-CN" w:bidi="ar-SA"/>
                <w:highlight w:val="none"/>
              </w:rPr>
              <w:t>和</w:t>
            </w:r>
            <w:r>
              <w:rPr>
                <w:rFonts w:ascii="Times New Roman" w:eastAsia="宋体" w:cs="Times New Roman" w:hAnsi="Times New Roman" w:hint="eastAsia"/>
                <w:color w:val="auto"/>
                <w:spacing w:val="-1"/>
                <w:kern w:val="2"/>
                <w:sz w:val="24"/>
                <w:szCs w:val="24"/>
                <w:lang w:val="en-US" w:eastAsia="zh-CN" w:bidi="ar-SA"/>
                <w:highlight w:val="none"/>
              </w:rPr>
              <w:t>墙裙</w:t>
            </w:r>
            <w:r>
              <w:rPr>
                <w:rFonts w:cs="Times New Roman" w:hint="eastAsia"/>
                <w:color w:val="auto"/>
                <w:spacing w:val="-1"/>
                <w:kern w:val="2"/>
                <w:sz w:val="24"/>
                <w:szCs w:val="24"/>
                <w:lang w:val="en-US" w:eastAsia="zh-CN" w:bidi="ar-SA"/>
                <w:highlight w:val="none"/>
              </w:rPr>
              <w:t>、废电解液导流槽和收集池、危废间等</w:t>
            </w:r>
            <w:r>
              <w:rPr>
                <w:rFonts w:hint="eastAsia"/>
                <w:bCs/>
                <w:color w:val="auto"/>
                <w:sz w:val="24"/>
                <w:lang w:eastAsia="zh-CN"/>
                <w:highlight w:val="none"/>
              </w:rPr>
              <w:t>）</w:t>
            </w:r>
            <w:r>
              <w:rPr>
                <w:bCs/>
                <w:color w:val="auto"/>
                <w:sz w:val="24"/>
                <w:highlight w:val="none"/>
              </w:rPr>
              <w:t>。重点防渗区按</w:t>
            </w:r>
            <w:r>
              <w:rPr>
                <w:rFonts w:hint="eastAsia"/>
                <w:color w:val="auto"/>
                <w:sz w:val="24"/>
                <w:lang w:val="zh-CN"/>
                <w:highlight w:val="none"/>
              </w:rPr>
              <w:t>《</w:t>
            </w:r>
            <w:r>
              <w:rPr>
                <w:color w:val="auto"/>
                <w:sz w:val="24"/>
                <w:lang w:val="zh-CN"/>
                <w:highlight w:val="none"/>
              </w:rPr>
              <w:t>危险废物贮存污染控制标准</w:t>
            </w:r>
            <w:r>
              <w:rPr>
                <w:rFonts w:hint="eastAsia"/>
                <w:color w:val="auto"/>
                <w:sz w:val="24"/>
                <w:lang w:val="zh-CN"/>
                <w:highlight w:val="none"/>
              </w:rPr>
              <w:t>》（</w:t>
            </w:r>
            <w:r>
              <w:rPr>
                <w:color w:val="auto"/>
                <w:sz w:val="24"/>
                <w:lang w:val="zh-CN"/>
                <w:highlight w:val="none"/>
              </w:rPr>
              <w:t>GB 18597-2023</w:t>
            </w:r>
            <w:r>
              <w:rPr>
                <w:rFonts w:hint="eastAsia"/>
                <w:color w:val="auto"/>
                <w:sz w:val="24"/>
                <w:lang w:val="zh-CN"/>
                <w:highlight w:val="none"/>
              </w:rPr>
              <w:t>）</w:t>
            </w:r>
            <w:r>
              <w:rPr>
                <w:bCs/>
                <w:color w:val="auto"/>
                <w:sz w:val="24"/>
                <w:highlight w:val="none"/>
              </w:rPr>
              <w:t>中相关标准进行防渗处理</w:t>
            </w:r>
            <w:r>
              <w:rPr>
                <w:rFonts w:hint="eastAsia"/>
                <w:bCs/>
                <w:color w:val="auto"/>
                <w:sz w:val="24"/>
                <w:lang w:eastAsia="zh-CN"/>
                <w:highlight w:val="none"/>
              </w:rPr>
              <w:t>，</w:t>
            </w:r>
            <w:r>
              <w:rPr>
                <w:rFonts w:hint="eastAsia"/>
                <w:bCs/>
                <w:color w:val="auto"/>
                <w:sz w:val="24"/>
                <w:highlight w:val="none"/>
              </w:rPr>
              <w:t>地面防渗层为环氧防腐自流平，地面处理后基层采用环氧树脂涂装，检查后铺设砂浆层和腻子层，地面平整后进行环氧面层施工，渗透系数不大于10</w:t>
            </w:r>
            <w:r>
              <w:rPr>
                <w:rFonts w:hint="eastAsia"/>
                <w:bCs/>
                <w:color w:val="auto"/>
                <w:sz w:val="24"/>
                <w:vertAlign w:val="superscript"/>
                <w:highlight w:val="none"/>
              </w:rPr>
              <w:t>-10</w:t>
            </w:r>
            <w:r>
              <w:rPr>
                <w:rFonts w:hint="eastAsia"/>
                <w:bCs/>
                <w:color w:val="auto"/>
                <w:sz w:val="24"/>
                <w:highlight w:val="none"/>
              </w:rPr>
              <w:t>cm/s。</w:t>
            </w:r>
          </w:p>
          <w:p>
            <w:pPr>
              <w:keepNext w:val="0"/>
              <w:keepLines w:val="0"/>
              <w:pageBreakBefore w:val="0"/>
              <w:widowControl w:val="0"/>
              <w:kinsoku/>
              <w:wordWrap/>
              <w:overflowPunct/>
              <w:topLinePunct w:val="0"/>
              <w:autoSpaceDE/>
              <w:autoSpaceDN/>
              <w:bidi w:val="0"/>
              <w:adjustRightInd/>
              <w:snapToGrid/>
              <w:spacing w:line="460" w:lineRule="exact"/>
              <w:ind w:firstLineChars="200" w:firstLine="480"/>
              <w:textAlignment w:val="auto"/>
              <w:rPr>
                <w:bCs/>
                <w:color w:val="auto"/>
                <w:sz w:val="24"/>
                <w:highlight w:val="none"/>
              </w:rPr>
            </w:pPr>
            <w:r>
              <w:rPr>
                <w:bCs/>
                <w:color w:val="auto"/>
                <w:sz w:val="24"/>
                <w:highlight w:val="none"/>
              </w:rPr>
              <w:t>采取以上措施后，正常生产情况下，项目对厂区及附近地下水</w:t>
            </w:r>
            <w:r>
              <w:rPr>
                <w:rFonts w:hint="eastAsia"/>
                <w:bCs/>
                <w:color w:val="auto"/>
                <w:sz w:val="24"/>
                <w:highlight w:val="none"/>
              </w:rPr>
              <w:t>、土壤</w:t>
            </w:r>
            <w:r>
              <w:rPr>
                <w:rFonts w:hint="eastAsia"/>
                <w:bCs/>
                <w:color w:val="auto"/>
                <w:sz w:val="24"/>
                <w:lang w:eastAsia="zh-CN"/>
                <w:highlight w:val="none"/>
              </w:rPr>
              <w:t>不会产生</w:t>
            </w:r>
            <w:r>
              <w:rPr>
                <w:bCs/>
                <w:color w:val="auto"/>
                <w:sz w:val="24"/>
                <w:highlight w:val="none"/>
              </w:rPr>
              <w:t>环境</w:t>
            </w:r>
            <w:r>
              <w:rPr>
                <w:rFonts w:hint="eastAsia"/>
                <w:bCs/>
                <w:color w:val="auto"/>
                <w:sz w:val="24"/>
                <w:lang w:eastAsia="zh-CN"/>
                <w:highlight w:val="none"/>
              </w:rPr>
              <w:t>影响</w:t>
            </w:r>
            <w:r>
              <w:rPr>
                <w:bCs/>
                <w:color w:val="auto"/>
                <w:sz w:val="24"/>
                <w:highlight w:val="none"/>
              </w:rPr>
              <w:t>。</w:t>
            </w:r>
          </w:p>
          <w:p>
            <w:pPr>
              <w:spacing w:line="460" w:lineRule="exact"/>
              <w:ind w:firstLineChars="200" w:firstLine="480"/>
              <w:rPr>
                <w:b/>
                <w:bCs/>
                <w:color w:val="auto"/>
                <w:kern w:val="0"/>
                <w:sz w:val="24"/>
                <w:highlight w:val="none"/>
              </w:rPr>
            </w:pPr>
            <w:r>
              <w:rPr>
                <w:rFonts w:hint="eastAsia"/>
                <w:b/>
                <w:color w:val="auto"/>
                <w:sz w:val="24"/>
                <w:highlight w:val="none"/>
              </w:rPr>
              <w:t>6、生态</w:t>
            </w:r>
          </w:p>
          <w:p>
            <w:pPr>
              <w:pStyle w:val="33"/>
              <w:keepNext w:val="0"/>
              <w:keepLines w:val="0"/>
              <w:pageBreakBefore w:val="0"/>
              <w:widowControl w:val="0"/>
              <w:kinsoku/>
              <w:wordWrap/>
              <w:overflowPunct/>
              <w:topLinePunct w:val="0"/>
              <w:autoSpaceDE/>
              <w:autoSpaceDN/>
              <w:bidi w:val="0"/>
              <w:spacing w:line="460" w:lineRule="exact"/>
              <w:textAlignment w:val="auto"/>
              <w:rPr>
                <w:bCs/>
                <w:color w:val="auto"/>
                <w:sz w:val="24"/>
                <w:highlight w:val="none"/>
              </w:rPr>
            </w:pPr>
            <w:r>
              <w:rPr>
                <w:rFonts w:hint="eastAsia"/>
                <w:bCs/>
                <w:color w:val="auto"/>
                <w:sz w:val="24"/>
                <w:highlight w:val="none"/>
              </w:rPr>
              <w:t>本项目位于</w:t>
            </w:r>
            <w:r>
              <w:rPr>
                <w:rFonts w:ascii="Times New Roman" w:cs="Times New Roman" w:hAnsi="Times New Roman"/>
                <w:color w:val="auto"/>
                <w:sz w:val="24"/>
                <w:highlight w:val="none"/>
              </w:rPr>
              <w:t>河北省石家庄市栾城区装备制造</w:t>
            </w:r>
            <w:r>
              <w:rPr>
                <w:rFonts w:ascii="Times New Roman" w:cs="Times New Roman" w:hAnsi="Times New Roman" w:hint="eastAsia"/>
                <w:color w:val="auto"/>
                <w:sz w:val="24"/>
                <w:lang w:eastAsia="zh-CN"/>
                <w:highlight w:val="none"/>
              </w:rPr>
              <w:t>园</w:t>
            </w:r>
            <w:r>
              <w:rPr>
                <w:rFonts w:cs="Times New Roman" w:hint="eastAsia"/>
                <w:color w:val="auto"/>
                <w:sz w:val="24"/>
                <w:lang w:eastAsia="zh-CN"/>
                <w:highlight w:val="none"/>
              </w:rPr>
              <w:t>内，租用闲置库房改造后用于废电池的贮存</w:t>
            </w:r>
            <w:r>
              <w:rPr>
                <w:rFonts w:hint="eastAsia"/>
                <w:bCs/>
                <w:color w:val="auto"/>
                <w:sz w:val="24"/>
                <w:highlight w:val="none"/>
              </w:rPr>
              <w:t>。</w:t>
            </w:r>
            <w:r>
              <w:rPr>
                <w:rFonts w:hint="eastAsia"/>
                <w:bCs/>
                <w:color w:val="auto"/>
                <w:sz w:val="24"/>
                <w:lang w:eastAsia="zh-CN"/>
                <w:highlight w:val="none"/>
              </w:rPr>
              <w:t>项目用地为工业用地，不新增用地面积。厂区占地范围内不涉及</w:t>
            </w:r>
            <w:r>
              <w:rPr>
                <w:rFonts w:hint="eastAsia"/>
                <w:bCs/>
                <w:color w:val="auto"/>
                <w:sz w:val="24"/>
                <w:highlight w:val="none"/>
              </w:rPr>
              <w:t>珍稀物种</w:t>
            </w:r>
            <w:r>
              <w:rPr>
                <w:rFonts w:hint="eastAsia"/>
                <w:bCs/>
                <w:color w:val="auto"/>
                <w:sz w:val="24"/>
                <w:lang w:eastAsia="zh-CN"/>
                <w:highlight w:val="none"/>
              </w:rPr>
              <w:t>、</w:t>
            </w:r>
            <w:r>
              <w:rPr>
                <w:rFonts w:hint="eastAsia"/>
                <w:bCs/>
                <w:color w:val="auto"/>
                <w:sz w:val="24"/>
                <w:highlight w:val="none"/>
              </w:rPr>
              <w:t>自然保护区等环境敏感区</w:t>
            </w:r>
            <w:r>
              <w:rPr>
                <w:rFonts w:hint="eastAsia"/>
                <w:bCs/>
                <w:color w:val="auto"/>
                <w:sz w:val="24"/>
                <w:lang w:eastAsia="zh-CN"/>
                <w:highlight w:val="none"/>
              </w:rPr>
              <w:t>，</w:t>
            </w:r>
            <w:r>
              <w:rPr>
                <w:rFonts w:hint="eastAsia"/>
                <w:bCs/>
                <w:color w:val="auto"/>
                <w:sz w:val="24"/>
                <w:highlight w:val="none"/>
              </w:rPr>
              <w:t>无生态环境保护目标，不会影响生物多样性。因此本项目不会对周边生态环境产生影响。</w:t>
            </w:r>
          </w:p>
          <w:p>
            <w:pPr>
              <w:keepNext w:val="0"/>
              <w:keepLines w:val="0"/>
              <w:pageBreakBefore w:val="0"/>
              <w:widowControl w:val="0"/>
              <w:kinsoku/>
              <w:wordWrap/>
              <w:overflowPunct/>
              <w:topLinePunct w:val="0"/>
              <w:autoSpaceDE/>
              <w:autoSpaceDN/>
              <w:bidi w:val="0"/>
              <w:adjustRightInd w:val="0"/>
              <w:snapToGrid w:val="0"/>
              <w:spacing w:line="460" w:lineRule="exact"/>
              <w:ind w:firstLineChars="200" w:firstLine="480"/>
              <w:textAlignment w:val="auto"/>
              <w:rPr>
                <w:rFonts w:eastAsia="宋体" w:hint="eastAsia"/>
                <w:bCs/>
                <w:color w:val="auto"/>
                <w:sz w:val="24"/>
                <w:lang w:eastAsia="zh-CN"/>
                <w:highlight w:val="none"/>
              </w:rPr>
            </w:pPr>
            <w:r>
              <w:rPr>
                <w:rFonts w:hint="eastAsia"/>
                <w:b/>
                <w:color w:val="auto"/>
                <w:sz w:val="24"/>
                <w:highlight w:val="none"/>
              </w:rPr>
              <w:t>7、环境风险</w:t>
            </w:r>
            <w:r>
              <w:rPr>
                <w:rFonts w:hint="eastAsia"/>
                <w:b/>
                <w:color w:val="auto"/>
                <w:sz w:val="24"/>
                <w:lang w:eastAsia="zh-CN"/>
                <w:highlight w:val="none"/>
              </w:rPr>
              <w:t>（具体分析详见专题评价）</w:t>
            </w:r>
          </w:p>
          <w:p>
            <w:pPr>
              <w:pStyle w:val="33"/>
              <w:keepNext w:val="0"/>
              <w:keepLines w:val="0"/>
              <w:pageBreakBefore w:val="0"/>
              <w:widowControl w:val="0"/>
              <w:kinsoku/>
              <w:wordWrap/>
              <w:overflowPunct/>
              <w:topLinePunct w:val="0"/>
              <w:autoSpaceDE/>
              <w:autoSpaceDN/>
              <w:bidi w:val="0"/>
              <w:spacing w:line="460" w:lineRule="exact"/>
              <w:textAlignment w:val="auto"/>
              <w:rPr>
                <w:rFonts w:cs="Times New Roman" w:hint="eastAsia"/>
                <w:bCs/>
                <w:color w:val="auto"/>
                <w:sz w:val="24"/>
                <w:lang w:val="en-US" w:eastAsia="zh-CN"/>
                <w:highlight w:val="none"/>
              </w:rPr>
            </w:pPr>
            <w:r>
              <w:rPr>
                <w:rFonts w:cs="Times New Roman" w:hint="eastAsia"/>
                <w:bCs/>
                <w:color w:val="auto"/>
                <w:sz w:val="24"/>
                <w:lang w:eastAsia="zh-CN"/>
                <w:highlight w:val="none"/>
              </w:rPr>
              <w:t>根据专题评价可知，本项目</w:t>
            </w:r>
            <w:r>
              <w:rPr>
                <w:rFonts w:cs="Times New Roman" w:hint="eastAsia"/>
                <w:bCs/>
                <w:color w:val="auto"/>
                <w:sz w:val="24"/>
                <w:lang w:val="en-US" w:eastAsia="zh-CN"/>
                <w:highlight w:val="none"/>
              </w:rPr>
              <w:t>Q值计算情况如下：</w:t>
            </w:r>
          </w:p>
          <w:p>
            <w:pPr>
              <w:pStyle w:val="108"/>
              <w:numPr>
                <w:ilvl w:val="0"/>
                <w:numId w:val="0"/>
              </w:numPr>
              <w:tabs>
                <w:tab w:val="clear" w:pos="0"/>
                <w:tab w:val="left" w:pos="420"/>
                <w:tab w:val="left" w:pos="460"/>
                <w:tab w:val="left" w:pos="583"/>
                <w:tab w:val="left" w:pos="2003"/>
              </w:tabs>
              <w:bidi w:val="0"/>
              <w:ind w:left="0" w:firstLine="0"/>
              <w:rPr>
                <w:rFonts w:ascii="Times New Roman" w:cs="Times New Roman" w:hAnsi="Times New Roman"/>
                <w:color w:val="auto"/>
                <w:lang w:val="en-US"/>
              </w:rPr>
            </w:pPr>
            <w:r>
              <w:rPr>
                <w:rFonts w:ascii="Times New Roman" w:eastAsia="宋体" w:cs="Times New Roman" w:hAnsi="Times New Roman"/>
                <w:b/>
                <w:color w:val="auto"/>
                <w:sz w:val="24"/>
                <w:szCs w:val="24"/>
                <w:lang w:val="en-US" w:eastAsia="zh-CN" w:bidi="ar-SA"/>
              </w:rPr>
              <w:t>表</w:t>
            </w:r>
            <w:r>
              <w:rPr>
                <w:rFonts w:cs="Times New Roman" w:hint="eastAsia"/>
                <w:b/>
                <w:color w:val="auto"/>
                <w:sz w:val="24"/>
                <w:szCs w:val="24"/>
                <w:lang w:val="en-US" w:eastAsia="zh-CN" w:bidi="ar-SA"/>
              </w:rPr>
              <w:t>4-11  本项目</w:t>
            </w:r>
            <w:r>
              <w:rPr>
                <w:rFonts w:ascii="Times New Roman" w:cs="Times New Roman" w:hAnsi="Times New Roman"/>
                <w:color w:val="auto"/>
                <w:lang w:val="en-US" w:eastAsia="zh-CN"/>
              </w:rPr>
              <w:t>危险物质数量与临界值比值表</w:t>
            </w:r>
            <w:r>
              <w:rPr>
                <w:rFonts w:cs="Times New Roman" w:hint="eastAsia"/>
                <w:color w:val="auto"/>
                <w:lang w:val="en-US" w:eastAsia="zh-CN"/>
              </w:rPr>
              <w:t>一览表</w:t>
            </w:r>
          </w:p>
          <w:tbl>
            <w:tblPr>
              <w:jc w:val="center"/>
              <w:tblW w:w="4973" w:type="pct"/>
              <w:tblBorders>
                <w:top w:val="single" w:sz="12" w:space="0" w:color="auto"/>
                <w:left w:val="none" w:sz="0" w:space="0" w:color="auto"/>
                <w:bottom w:val="single" w:sz="12" w:space="0" w:color="auto"/>
                <w:right w:val="none" w:sz="0" w:space="0" w:color="auto"/>
                <w:insideH w:val="single" w:sz="4" w:space="0" w:color="auto"/>
                <w:insideV w:val="single" w:sz="4" w:space="0" w:color="auto"/>
              </w:tblBorders>
              <w:tblLayout w:type="fixed"/>
              <w:tblCellMar>
                <w:top w:w="0" w:type="dxa"/>
                <w:left w:w="28" w:type="dxa"/>
                <w:bottom w:w="0" w:type="dxa"/>
                <w:right w:w="28" w:type="dxa"/>
              </w:tblCellMar>
              <w:tblLook w:val="0600" w:firstRow="0" w:lastRow="0" w:firstColumn="0" w:lastColumn="0" w:noHBand="1" w:noVBand="1"/>
            </w:tblPr>
            <w:tblGrid>
              <w:gridCol w:w="184"/>
              <w:gridCol w:w="1926"/>
              <w:gridCol w:w="1891"/>
              <w:gridCol w:w="1908"/>
              <w:gridCol w:w="1489"/>
              <w:gridCol w:w="1484"/>
            </w:tblGrid>
            <w:tr>
              <w:trPr>
                <w:trHeight w:val="23"/>
                <w:tblHeader/>
              </w:trPr>
              <w:tc>
                <w:tcPr>
                  <w:tcW w:w="404" w:type="pct"/>
                  <w:tcBorders>
                    <w:tl2br w:val="nil"/>
                    <w:tr2bl w:val="nil"/>
                  </w:tcBorders>
                  <w:vAlign w:val="center"/>
                </w:tcPr>
                <w:p>
                  <w:pPr>
                    <w:spacing w:line="0" w:lineRule="atLeast"/>
                    <w:jc w:val="center"/>
                    <w:rPr>
                      <w:rFonts w:ascii="Times New Roman" w:eastAsia="宋体" w:cs="Times New Roman" w:hAnsi="Times New Roman"/>
                      <w:b w:val="0"/>
                      <w:bCs w:val="0"/>
                      <w:color w:val="auto"/>
                      <w:kern w:val="2"/>
                      <w:sz w:val="21"/>
                      <w:szCs w:val="21"/>
                      <w:lang w:val="en-US" w:eastAsia="zh-CN" w:bidi="ar-SA"/>
                      <w:highlight w:val="none"/>
                    </w:rPr>
                  </w:pPr>
                  <w:r>
                    <w:rPr>
                      <w:rFonts w:ascii="Times New Roman" w:eastAsia="宋体" w:cs="Times New Roman" w:hAnsi="Times New Roman"/>
                      <w:b w:val="0"/>
                      <w:bCs w:val="0"/>
                      <w:color w:val="auto"/>
                      <w:sz w:val="21"/>
                      <w:szCs w:val="21"/>
                      <w:highlight w:val="none"/>
                    </w:rPr>
                    <w:t>序号</w:t>
                  </w:r>
                </w:p>
              </w:tc>
              <w:tc>
                <w:tcPr>
                  <w:tcW w:w="1017"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eastAsia="宋体" w:cs="Times New Roman" w:hAnsi="Times New Roman"/>
                      <w:b w:val="0"/>
                      <w:bCs w:val="0"/>
                      <w:color w:val="auto"/>
                      <w:sz w:val="21"/>
                      <w:szCs w:val="21"/>
                      <w:highlight w:val="none"/>
                    </w:rPr>
                  </w:pPr>
                  <w:r>
                    <w:rPr>
                      <w:rFonts w:ascii="Times New Roman" w:cs="Times New Roman" w:hAnsi="Times New Roman"/>
                      <w:b w:val="0"/>
                      <w:bCs w:val="0"/>
                      <w:color w:val="auto"/>
                      <w:w w:val="100"/>
                      <w:kern w:val="2"/>
                      <w:sz w:val="21"/>
                      <w:szCs w:val="21"/>
                      <w:lang w:val="en-US" w:eastAsia="zh-CN" w:bidi="ar-SA"/>
                      <w:highlight w:val="none"/>
                    </w:rPr>
                    <w:t>危险物质</w:t>
                  </w:r>
                </w:p>
              </w:tc>
              <w:tc>
                <w:tcPr>
                  <w:tcW w:w="999"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eastAsia="宋体" w:cs="Times New Roman" w:hAnsi="Times New Roman"/>
                      <w:b w:val="0"/>
                      <w:bCs w:val="0"/>
                      <w:color w:val="auto"/>
                      <w:sz w:val="21"/>
                      <w:szCs w:val="21"/>
                      <w:highlight w:val="none"/>
                    </w:rPr>
                  </w:pPr>
                  <w:r>
                    <w:rPr>
                      <w:rFonts w:ascii="Times New Roman" w:eastAsia="宋体" w:cs="Times New Roman" w:hAnsi="Times New Roman"/>
                      <w:b w:val="0"/>
                      <w:bCs w:val="0"/>
                      <w:color w:val="auto"/>
                      <w:w w:val="100"/>
                      <w:kern w:val="2"/>
                      <w:sz w:val="21"/>
                      <w:szCs w:val="21"/>
                      <w:lang w:val="en-US" w:eastAsia="zh-CN" w:bidi="ar-SA"/>
                      <w:highlight w:val="none"/>
                    </w:rPr>
                    <w:t>CAS号</w:t>
                  </w:r>
                </w:p>
              </w:tc>
              <w:tc>
                <w:tcPr>
                  <w:tcW w:w="1008"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eastAsia="宋体" w:cs="Times New Roman" w:hAnsi="Times New Roman"/>
                      <w:b w:val="0"/>
                      <w:bCs w:val="0"/>
                      <w:color w:val="auto"/>
                      <w:sz w:val="21"/>
                      <w:szCs w:val="21"/>
                      <w:highlight w:val="none"/>
                    </w:rPr>
                  </w:pPr>
                  <w:r>
                    <w:rPr>
                      <w:rFonts w:ascii="Times New Roman" w:eastAsia="宋体" w:cs="Times New Roman" w:hAnsi="Times New Roman"/>
                      <w:b w:val="0"/>
                      <w:bCs w:val="0"/>
                      <w:color w:val="auto"/>
                      <w:w w:val="100"/>
                      <w:kern w:val="2"/>
                      <w:sz w:val="21"/>
                      <w:szCs w:val="21"/>
                      <w:lang w:val="en-US" w:eastAsia="zh-CN" w:bidi="ar-SA"/>
                      <w:highlight w:val="none"/>
                    </w:rPr>
                    <w:t>最大存储量t</w:t>
                  </w:r>
                </w:p>
              </w:tc>
              <w:tc>
                <w:tcPr>
                  <w:tcW w:w="786"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eastAsia="宋体" w:cs="Times New Roman" w:hAnsi="Times New Roman"/>
                      <w:b w:val="0"/>
                      <w:bCs w:val="0"/>
                      <w:color w:val="auto"/>
                      <w:sz w:val="21"/>
                      <w:szCs w:val="21"/>
                      <w:highlight w:val="none"/>
                    </w:rPr>
                  </w:pPr>
                  <w:r>
                    <w:rPr>
                      <w:rFonts w:ascii="Times New Roman" w:eastAsia="宋体" w:cs="Times New Roman" w:hAnsi="Times New Roman"/>
                      <w:b w:val="0"/>
                      <w:bCs w:val="0"/>
                      <w:color w:val="auto"/>
                      <w:w w:val="100"/>
                      <w:kern w:val="2"/>
                      <w:sz w:val="21"/>
                      <w:szCs w:val="21"/>
                      <w:lang w:val="en-US" w:eastAsia="zh-CN" w:bidi="ar-SA"/>
                      <w:highlight w:val="none"/>
                    </w:rPr>
                    <w:t>临界量t</w:t>
                  </w:r>
                </w:p>
              </w:tc>
              <w:tc>
                <w:tcPr>
                  <w:tcW w:w="783"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eastAsia="宋体" w:cs="Times New Roman" w:hAnsi="Times New Roman"/>
                      <w:b w:val="0"/>
                      <w:bCs w:val="0"/>
                      <w:color w:val="auto"/>
                      <w:sz w:val="21"/>
                      <w:szCs w:val="21"/>
                      <w:highlight w:val="none"/>
                    </w:rPr>
                  </w:pPr>
                  <w:r>
                    <w:rPr>
                      <w:rFonts w:ascii="Times New Roman" w:eastAsia="宋体" w:cs="Times New Roman" w:hAnsi="Times New Roman"/>
                      <w:b w:val="0"/>
                      <w:bCs w:val="0"/>
                      <w:color w:val="auto"/>
                      <w:w w:val="100"/>
                      <w:kern w:val="2"/>
                      <w:sz w:val="21"/>
                      <w:szCs w:val="21"/>
                      <w:lang w:val="en-US" w:eastAsia="zh-CN" w:bidi="ar-SA"/>
                      <w:highlight w:val="none"/>
                    </w:rPr>
                    <w:t>Q</w:t>
                  </w:r>
                </w:p>
              </w:tc>
            </w:tr>
            <w:tr>
              <w:trPr>
                <w:trHeight w:val="23"/>
              </w:trPr>
              <w:tc>
                <w:tcPr>
                  <w:tcW w:w="404" w:type="pct"/>
                  <w:tcBorders>
                    <w:tl2br w:val="nil"/>
                    <w:tr2bl w:val="nil"/>
                  </w:tcBorders>
                  <w:vAlign w:val="center"/>
                </w:tcPr>
                <w:p>
                  <w:pPr>
                    <w:spacing w:line="0" w:lineRule="atLeast"/>
                    <w:jc w:val="center"/>
                    <w:rPr>
                      <w:rFonts w:ascii="Times New Roman" w:eastAsia="宋体" w:cs="Times New Roman" w:hAnsi="Times New Roman"/>
                      <w:color w:val="auto"/>
                      <w:kern w:val="2"/>
                      <w:sz w:val="21"/>
                      <w:szCs w:val="21"/>
                      <w:lang w:val="en-US" w:eastAsia="zh-CN" w:bidi="ar-SA"/>
                      <w:highlight w:val="none"/>
                    </w:rPr>
                  </w:pPr>
                  <w:r>
                    <w:rPr>
                      <w:rFonts w:ascii="Times New Roman" w:eastAsia="宋体" w:cs="Times New Roman" w:hAnsi="Times New Roman"/>
                      <w:color w:val="auto"/>
                      <w:sz w:val="21"/>
                      <w:szCs w:val="21"/>
                      <w:highlight w:val="none"/>
                    </w:rPr>
                    <w:t>1</w:t>
                  </w:r>
                </w:p>
              </w:tc>
              <w:tc>
                <w:tcPr>
                  <w:tcW w:w="1017"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eastAsia="宋体" w:cs="Times New Roman" w:hAnsi="Times New Roman"/>
                      <w:color w:val="auto"/>
                      <w:w w:val="100"/>
                      <w:kern w:val="2"/>
                      <w:sz w:val="21"/>
                      <w:szCs w:val="21"/>
                      <w:lang w:val="en-US" w:eastAsia="zh-CN" w:bidi="ar-SA"/>
                      <w:highlight w:val="none"/>
                    </w:rPr>
                  </w:pPr>
                  <w:r>
                    <w:rPr>
                      <w:rFonts w:ascii="Times New Roman" w:eastAsia="宋体" w:cs="Times New Roman" w:hAnsi="Times New Roman" w:hint="eastAsia"/>
                      <w:color w:val="auto"/>
                      <w:w w:val="100"/>
                      <w:kern w:val="2"/>
                      <w:sz w:val="21"/>
                      <w:szCs w:val="21"/>
                      <w:lang w:val="en-US" w:eastAsia="zh-CN" w:bidi="ar-SA"/>
                      <w:highlight w:val="none"/>
                    </w:rPr>
                    <w:t>第I类废铅蓄电池</w:t>
                  </w:r>
                </w:p>
              </w:tc>
              <w:tc>
                <w:tcPr>
                  <w:tcW w:w="999"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eastAsia="宋体" w:cs="Times New Roman" w:hAnsi="Times New Roman"/>
                      <w:color w:val="auto"/>
                      <w:w w:val="100"/>
                      <w:kern w:val="2"/>
                      <w:sz w:val="21"/>
                      <w:szCs w:val="21"/>
                      <w:lang w:val="en-US" w:eastAsia="zh-CN" w:bidi="ar-SA"/>
                      <w:highlight w:val="none"/>
                    </w:rPr>
                  </w:pPr>
                  <w:r>
                    <w:rPr>
                      <w:rFonts w:ascii="Times New Roman" w:eastAsia="宋体" w:cs="Times New Roman" w:hAnsi="Times New Roman"/>
                      <w:color w:val="auto"/>
                      <w:w w:val="100"/>
                      <w:kern w:val="2"/>
                      <w:sz w:val="21"/>
                      <w:szCs w:val="21"/>
                      <w:lang w:val="en-US" w:eastAsia="zh-CN" w:bidi="ar-SA"/>
                      <w:highlight w:val="none"/>
                    </w:rPr>
                    <w:t>/</w:t>
                  </w:r>
                </w:p>
              </w:tc>
              <w:tc>
                <w:tcPr>
                  <w:tcW w:w="1008"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cs="Times New Roman" w:hAnsi="Times New Roman"/>
                      <w:color w:val="auto"/>
                      <w:w w:val="100"/>
                      <w:kern w:val="2"/>
                      <w:sz w:val="21"/>
                      <w:szCs w:val="21"/>
                      <w:lang w:val="en-US" w:eastAsia="zh-CN" w:bidi="ar-SA"/>
                      <w:highlight w:val="none"/>
                    </w:rPr>
                  </w:pPr>
                  <w:r>
                    <w:rPr>
                      <w:rFonts w:ascii="Times New Roman" w:cs="Times New Roman" w:hAnsi="Times New Roman" w:hint="eastAsia"/>
                      <w:color w:val="auto"/>
                      <w:w w:val="100"/>
                      <w:kern w:val="2"/>
                      <w:sz w:val="21"/>
                      <w:szCs w:val="21"/>
                      <w:lang w:val="en-US" w:eastAsia="zh-CN" w:bidi="ar-SA"/>
                      <w:highlight w:val="none"/>
                    </w:rPr>
                    <w:t>99.5</w:t>
                  </w:r>
                </w:p>
              </w:tc>
              <w:tc>
                <w:tcPr>
                  <w:tcW w:w="786"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eastAsia="宋体" w:cs="Times New Roman" w:hAnsi="Times New Roman"/>
                      <w:color w:val="auto"/>
                      <w:w w:val="100"/>
                      <w:kern w:val="2"/>
                      <w:sz w:val="21"/>
                      <w:szCs w:val="21"/>
                      <w:lang w:val="en-US" w:eastAsia="zh-CN" w:bidi="ar-SA"/>
                      <w:highlight w:val="none"/>
                    </w:rPr>
                  </w:pPr>
                  <w:r>
                    <w:rPr>
                      <w:rFonts w:ascii="Times New Roman" w:eastAsia="宋体" w:cs="Times New Roman" w:hAnsi="Times New Roman"/>
                      <w:color w:val="auto"/>
                      <w:w w:val="100"/>
                      <w:kern w:val="2"/>
                      <w:sz w:val="21"/>
                      <w:szCs w:val="21"/>
                      <w:lang w:val="en-US" w:eastAsia="zh-CN" w:bidi="ar-SA"/>
                      <w:highlight w:val="none"/>
                    </w:rPr>
                    <w:t>50</w:t>
                  </w:r>
                </w:p>
              </w:tc>
              <w:tc>
                <w:tcPr>
                  <w:tcW w:w="783"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eastAsia="宋体" w:cs="Times New Roman" w:hAnsi="Times New Roman"/>
                      <w:color w:val="auto"/>
                      <w:w w:val="100"/>
                      <w:kern w:val="2"/>
                      <w:sz w:val="21"/>
                      <w:szCs w:val="21"/>
                      <w:lang w:val="en-US" w:eastAsia="zh-CN" w:bidi="ar-SA"/>
                      <w:highlight w:val="none"/>
                    </w:rPr>
                  </w:pPr>
                  <w:r>
                    <w:rPr>
                      <w:rFonts w:ascii="Times New Roman" w:eastAsia="宋体" w:cs="Times New Roman" w:hAnsi="Times New Roman" w:hint="eastAsia"/>
                      <w:color w:val="auto"/>
                      <w:w w:val="100"/>
                      <w:kern w:val="2"/>
                      <w:sz w:val="21"/>
                      <w:szCs w:val="21"/>
                      <w:lang w:val="en-US" w:eastAsia="zh-CN" w:bidi="ar-SA"/>
                      <w:highlight w:val="none"/>
                    </w:rPr>
                    <w:t>1.99</w:t>
                  </w:r>
                </w:p>
              </w:tc>
            </w:tr>
            <w:tr>
              <w:trPr>
                <w:trHeight w:val="23"/>
              </w:trPr>
              <w:tc>
                <w:tcPr>
                  <w:tcW w:w="404" w:type="pct"/>
                  <w:tcBorders>
                    <w:tl2br w:val="nil"/>
                    <w:tr2bl w:val="nil"/>
                  </w:tcBorders>
                  <w:vAlign w:val="center"/>
                </w:tcPr>
                <w:p>
                  <w:pPr>
                    <w:spacing w:line="0" w:lineRule="atLeast"/>
                    <w:jc w:val="center"/>
                    <w:rPr>
                      <w:rFonts w:ascii="Times New Roman" w:eastAsia="宋体" w:cs="Times New Roman" w:hAnsi="Times New Roman"/>
                      <w:color w:val="auto"/>
                      <w:kern w:val="2"/>
                      <w:sz w:val="21"/>
                      <w:szCs w:val="21"/>
                      <w:lang w:val="en-US" w:eastAsia="zh-CN" w:bidi="ar-SA"/>
                      <w:highlight w:val="none"/>
                    </w:rPr>
                  </w:pPr>
                  <w:r>
                    <w:rPr>
                      <w:rFonts w:ascii="Times New Roman" w:eastAsia="宋体" w:cs="Times New Roman" w:hAnsi="Times New Roman"/>
                      <w:color w:val="auto"/>
                      <w:sz w:val="21"/>
                      <w:szCs w:val="21"/>
                      <w:highlight w:val="none"/>
                    </w:rPr>
                    <w:t>2</w:t>
                  </w:r>
                </w:p>
              </w:tc>
              <w:tc>
                <w:tcPr>
                  <w:tcW w:w="4230"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eastAsia="宋体" w:cs="Times New Roman" w:hAnsi="Times New Roman"/>
                      <w:color w:val="auto"/>
                      <w:sz w:val="21"/>
                      <w:szCs w:val="21"/>
                      <w:lang w:val="en-US" w:eastAsia="zh-CN"/>
                      <w:highlight w:val="none"/>
                    </w:rPr>
                  </w:pPr>
                  <w:r>
                    <w:rPr>
                      <w:rFonts w:ascii="Times New Roman" w:cs="Times New Roman" w:hAnsi="Times New Roman"/>
                      <w:color w:val="auto"/>
                      <w:w w:val="100"/>
                      <w:kern w:val="2"/>
                      <w:sz w:val="21"/>
                      <w:szCs w:val="21"/>
                      <w:lang w:val="en-US" w:eastAsia="zh-CN" w:bidi="ar-SA"/>
                      <w:highlight w:val="none"/>
                    </w:rPr>
                    <w:t>铅及其化合物</w:t>
                  </w:r>
                </w:p>
              </w:tc>
              <w:tc>
                <w:tcPr>
                  <w:tcW w:w="4155"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eastAsia="宋体" w:cs="Times New Roman" w:hAnsi="Times New Roman"/>
                      <w:color w:val="auto"/>
                      <w:sz w:val="21"/>
                      <w:szCs w:val="21"/>
                      <w:lang w:val="en-US" w:eastAsia="zh-CN"/>
                      <w:highlight w:val="none"/>
                    </w:rPr>
                  </w:pPr>
                  <w:r>
                    <w:rPr>
                      <w:rFonts w:ascii="Times New Roman" w:eastAsia="宋体" w:cs="Times New Roman" w:hAnsi="Times New Roman"/>
                      <w:color w:val="auto"/>
                      <w:w w:val="100"/>
                      <w:kern w:val="2"/>
                      <w:sz w:val="21"/>
                      <w:szCs w:val="21"/>
                      <w:lang w:val="en-US" w:eastAsia="zh-CN" w:bidi="ar-SA"/>
                      <w:highlight w:val="none"/>
                    </w:rPr>
                    <w:t>/</w:t>
                  </w:r>
                </w:p>
              </w:tc>
              <w:tc>
                <w:tcPr>
                  <w:tcW w:w="4192"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eastAsia="宋体" w:cs="Times New Roman" w:hAnsi="Times New Roman"/>
                      <w:color w:val="auto"/>
                      <w:sz w:val="21"/>
                      <w:szCs w:val="21"/>
                      <w:lang w:val="en-US" w:eastAsia="zh-CN"/>
                      <w:highlight w:val="none"/>
                    </w:rPr>
                  </w:pPr>
                  <w:r>
                    <w:rPr>
                      <w:rFonts w:ascii="Times New Roman" w:cs="Times New Roman" w:hAnsi="Times New Roman" w:hint="eastAsia"/>
                      <w:color w:val="auto"/>
                      <w:w w:val="100"/>
                      <w:kern w:val="2"/>
                      <w:sz w:val="21"/>
                      <w:szCs w:val="21"/>
                      <w:lang w:val="en-US" w:eastAsia="zh-CN" w:bidi="ar-SA"/>
                      <w:highlight w:val="none"/>
                    </w:rPr>
                    <w:t>0.205</w:t>
                  </w:r>
                </w:p>
              </w:tc>
              <w:tc>
                <w:tcPr>
                  <w:tcW w:w="3272"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eastAsia="宋体" w:cs="Times New Roman" w:hAnsi="Times New Roman"/>
                      <w:color w:val="auto"/>
                      <w:sz w:val="21"/>
                      <w:szCs w:val="21"/>
                      <w:lang w:val="en-US"/>
                      <w:highlight w:val="none"/>
                    </w:rPr>
                  </w:pPr>
                  <w:r>
                    <w:rPr>
                      <w:rFonts w:ascii="Times New Roman" w:cs="Times New Roman" w:hAnsi="Times New Roman" w:hint="eastAsia"/>
                      <w:color w:val="auto"/>
                      <w:w w:val="100"/>
                      <w:kern w:val="2"/>
                      <w:sz w:val="21"/>
                      <w:szCs w:val="21"/>
                      <w:lang w:val="en-US" w:eastAsia="zh-CN" w:bidi="ar-SA"/>
                      <w:highlight w:val="none"/>
                    </w:rPr>
                    <w:t>50</w:t>
                  </w:r>
                </w:p>
              </w:tc>
              <w:tc>
                <w:tcPr>
                  <w:tcW w:w="3260"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eastAsia="宋体" w:cs="Times New Roman" w:hAnsi="Times New Roman"/>
                      <w:color w:val="auto"/>
                      <w:w w:val="100"/>
                      <w:kern w:val="2"/>
                      <w:sz w:val="21"/>
                      <w:szCs w:val="21"/>
                      <w:lang w:val="en-US" w:eastAsia="zh-CN" w:bidi="ar-SA"/>
                      <w:highlight w:val="none"/>
                    </w:rPr>
                  </w:pPr>
                  <w:r>
                    <w:rPr>
                      <w:rFonts w:ascii="Times New Roman" w:eastAsia="宋体" w:cs="Times New Roman" w:hAnsi="Times New Roman" w:hint="eastAsia"/>
                      <w:color w:val="auto"/>
                      <w:w w:val="100"/>
                      <w:kern w:val="2"/>
                      <w:sz w:val="21"/>
                      <w:szCs w:val="21"/>
                      <w:lang w:val="en-US" w:eastAsia="zh-CN" w:bidi="ar-SA"/>
                      <w:highlight w:val="none"/>
                    </w:rPr>
                    <w:t>0.0041</w:t>
                  </w:r>
                </w:p>
              </w:tc>
            </w:tr>
            <w:tr>
              <w:trPr>
                <w:trHeight w:val="23"/>
              </w:trPr>
              <w:tc>
                <w:tcPr>
                  <w:tcW w:w="404" w:type="pct"/>
                  <w:tcBorders>
                    <w:tl2br w:val="nil"/>
                    <w:tr2bl w:val="nil"/>
                  </w:tcBorders>
                  <w:vAlign w:val="center"/>
                </w:tcPr>
                <w:p>
                  <w:pPr>
                    <w:spacing w:line="0" w:lineRule="atLeast"/>
                    <w:jc w:val="center"/>
                    <w:rPr>
                      <w:rFonts w:ascii="Times New Roman" w:eastAsia="宋体" w:cs="Times New Roman" w:hAnsi="Times New Roman"/>
                      <w:color w:val="auto"/>
                      <w:kern w:val="2"/>
                      <w:sz w:val="21"/>
                      <w:szCs w:val="21"/>
                      <w:lang w:val="en-US" w:eastAsia="zh-CN" w:bidi="ar-SA"/>
                      <w:highlight w:val="none"/>
                    </w:rPr>
                  </w:pPr>
                  <w:r>
                    <w:rPr>
                      <w:rFonts w:ascii="Times New Roman" w:eastAsia="宋体" w:cs="Times New Roman" w:hAnsi="Times New Roman"/>
                      <w:color w:val="auto"/>
                      <w:sz w:val="21"/>
                      <w:szCs w:val="21"/>
                      <w:lang w:val="en-US" w:eastAsia="zh-CN"/>
                      <w:highlight w:val="none"/>
                    </w:rPr>
                    <w:t>3</w:t>
                  </w:r>
                </w:p>
              </w:tc>
              <w:tc>
                <w:tcPr>
                  <w:tcW w:w="1017"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eastAsia="宋体" w:cs="Times New Roman" w:hAnsi="Times New Roman"/>
                      <w:color w:val="auto"/>
                      <w:kern w:val="2"/>
                      <w:sz w:val="21"/>
                      <w:szCs w:val="21"/>
                      <w:lang w:val="en-US" w:eastAsia="zh-CN" w:bidi="ar-SA"/>
                      <w:highlight w:val="none"/>
                    </w:rPr>
                  </w:pPr>
                  <w:r>
                    <w:rPr>
                      <w:rFonts w:ascii="Times New Roman" w:eastAsia="宋体" w:cs="Times New Roman" w:hAnsi="Times New Roman"/>
                      <w:color w:val="auto"/>
                      <w:w w:val="100"/>
                      <w:kern w:val="2"/>
                      <w:sz w:val="21"/>
                      <w:szCs w:val="21"/>
                      <w:lang w:val="en-US" w:eastAsia="zh-CN" w:bidi="ar-SA"/>
                      <w:highlight w:val="none"/>
                    </w:rPr>
                    <w:t>硫酸</w:t>
                  </w:r>
                </w:p>
              </w:tc>
              <w:tc>
                <w:tcPr>
                  <w:tcW w:w="999"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eastAsia="宋体" w:cs="Times New Roman" w:hAnsi="Times New Roman"/>
                      <w:color w:val="auto"/>
                      <w:kern w:val="2"/>
                      <w:sz w:val="21"/>
                      <w:szCs w:val="21"/>
                      <w:lang w:val="en-US" w:eastAsia="zh-CN" w:bidi="ar-SA"/>
                      <w:highlight w:val="none"/>
                    </w:rPr>
                  </w:pPr>
                  <w:r>
                    <w:rPr>
                      <w:rFonts w:ascii="Times New Roman" w:eastAsia="宋体" w:cs="Times New Roman" w:hAnsi="Times New Roman"/>
                      <w:color w:val="auto"/>
                      <w:w w:val="100"/>
                      <w:kern w:val="2"/>
                      <w:sz w:val="21"/>
                      <w:szCs w:val="21"/>
                      <w:lang w:val="en-US" w:eastAsia="zh-CN" w:bidi="ar-SA"/>
                      <w:highlight w:val="none"/>
                    </w:rPr>
                    <w:t>7664-93-9</w:t>
                  </w:r>
                </w:p>
              </w:tc>
              <w:tc>
                <w:tcPr>
                  <w:tcW w:w="1008"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eastAsia="宋体" w:cs="Times New Roman" w:hAnsi="Times New Roman"/>
                      <w:color w:val="auto"/>
                      <w:kern w:val="2"/>
                      <w:sz w:val="21"/>
                      <w:szCs w:val="21"/>
                      <w:lang w:val="en-US" w:eastAsia="zh-CN" w:bidi="ar-SA"/>
                      <w:highlight w:val="none"/>
                    </w:rPr>
                  </w:pPr>
                  <w:r>
                    <w:rPr>
                      <w:rFonts w:ascii="Times New Roman" w:cs="Times New Roman" w:hAnsi="Times New Roman" w:hint="eastAsia"/>
                      <w:color w:val="auto"/>
                      <w:w w:val="100"/>
                      <w:kern w:val="2"/>
                      <w:sz w:val="21"/>
                      <w:szCs w:val="21"/>
                      <w:lang w:val="en-US" w:eastAsia="zh-CN" w:bidi="ar-SA"/>
                      <w:highlight w:val="none"/>
                    </w:rPr>
                    <w:t>0.03</w:t>
                  </w:r>
                </w:p>
              </w:tc>
              <w:tc>
                <w:tcPr>
                  <w:tcW w:w="786"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eastAsia="宋体" w:cs="Times New Roman" w:hAnsi="Times New Roman"/>
                      <w:color w:val="auto"/>
                      <w:kern w:val="2"/>
                      <w:sz w:val="21"/>
                      <w:szCs w:val="21"/>
                      <w:lang w:val="en-US" w:eastAsia="zh-CN" w:bidi="ar-SA"/>
                      <w:highlight w:val="none"/>
                    </w:rPr>
                  </w:pPr>
                  <w:r>
                    <w:rPr>
                      <w:rFonts w:ascii="Times New Roman" w:eastAsia="宋体" w:cs="Times New Roman" w:hAnsi="Times New Roman"/>
                      <w:color w:val="auto"/>
                      <w:w w:val="100"/>
                      <w:kern w:val="2"/>
                      <w:sz w:val="21"/>
                      <w:szCs w:val="21"/>
                      <w:lang w:val="en-US" w:eastAsia="zh-CN" w:bidi="ar-SA"/>
                      <w:highlight w:val="none"/>
                    </w:rPr>
                    <w:t>10</w:t>
                  </w:r>
                </w:p>
              </w:tc>
              <w:tc>
                <w:tcPr>
                  <w:tcW w:w="783"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eastAsia="宋体" w:cs="Times New Roman" w:hAnsi="Times New Roman"/>
                      <w:color w:val="auto"/>
                      <w:w w:val="100"/>
                      <w:kern w:val="2"/>
                      <w:sz w:val="21"/>
                      <w:szCs w:val="21"/>
                      <w:lang w:val="en-US" w:eastAsia="zh-CN" w:bidi="ar-SA"/>
                      <w:highlight w:val="none"/>
                    </w:rPr>
                  </w:pPr>
                  <w:r>
                    <w:rPr>
                      <w:rFonts w:ascii="Times New Roman" w:eastAsia="宋体" w:cs="Times New Roman" w:hAnsi="Times New Roman" w:hint="eastAsia"/>
                      <w:color w:val="auto"/>
                      <w:w w:val="100"/>
                      <w:kern w:val="2"/>
                      <w:sz w:val="21"/>
                      <w:szCs w:val="21"/>
                      <w:lang w:val="en-US" w:eastAsia="zh-CN" w:bidi="ar-SA"/>
                      <w:highlight w:val="none"/>
                    </w:rPr>
                    <w:t>0.003</w:t>
                  </w:r>
                </w:p>
              </w:tc>
            </w:tr>
            <w:tr>
              <w:trPr>
                <w:trHeight w:val="23"/>
              </w:trPr>
              <w:tc>
                <w:tcPr>
                  <w:tcW w:w="404" w:type="pct"/>
                  <w:tcBorders>
                    <w:tl2br w:val="nil"/>
                    <w:tr2bl w:val="nil"/>
                  </w:tcBorders>
                  <w:vAlign w:val="center"/>
                </w:tcPr>
                <w:p>
                  <w:pPr>
                    <w:spacing w:line="0" w:lineRule="atLeast"/>
                    <w:jc w:val="center"/>
                    <w:rPr>
                      <w:rFonts w:ascii="Times New Roman" w:eastAsia="宋体" w:cs="Times New Roman" w:hAnsi="Times New Roman"/>
                      <w:color w:val="auto"/>
                      <w:kern w:val="2"/>
                      <w:sz w:val="21"/>
                      <w:szCs w:val="21"/>
                      <w:lang w:val="en-US" w:eastAsia="zh-CN" w:bidi="ar-SA"/>
                      <w:highlight w:val="none"/>
                    </w:rPr>
                  </w:pPr>
                  <w:r>
                    <w:rPr>
                      <w:rFonts w:ascii="Times New Roman" w:eastAsia="宋体" w:cs="Times New Roman" w:hAnsi="Times New Roman" w:hint="eastAsia"/>
                      <w:color w:val="auto"/>
                      <w:sz w:val="21"/>
                      <w:szCs w:val="21"/>
                      <w:lang w:val="en-US" w:eastAsia="zh-CN"/>
                      <w:highlight w:val="none"/>
                    </w:rPr>
                    <w:t>4</w:t>
                  </w:r>
                </w:p>
              </w:tc>
              <w:tc>
                <w:tcPr>
                  <w:tcW w:w="1017"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cs="Times New Roman" w:hAnsi="Times New Roman"/>
                      <w:color w:val="auto"/>
                      <w:w w:val="100"/>
                      <w:kern w:val="2"/>
                      <w:sz w:val="21"/>
                      <w:szCs w:val="21"/>
                      <w:lang w:val="en-US" w:eastAsia="zh-CN" w:bidi="ar-SA"/>
                      <w:highlight w:val="none"/>
                    </w:rPr>
                  </w:pPr>
                  <w:r>
                    <w:rPr>
                      <w:rFonts w:ascii="Times New Roman" w:cs="Times New Roman" w:hAnsi="Times New Roman"/>
                      <w:color w:val="auto"/>
                      <w:w w:val="100"/>
                      <w:kern w:val="2"/>
                      <w:sz w:val="21"/>
                      <w:szCs w:val="21"/>
                      <w:lang w:val="en-US" w:eastAsia="zh-CN" w:bidi="ar-SA"/>
                      <w:highlight w:val="none"/>
                    </w:rPr>
                    <w:t>废碱液</w:t>
                  </w:r>
                </w:p>
              </w:tc>
              <w:tc>
                <w:tcPr>
                  <w:tcW w:w="999"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eastAsia="宋体" w:cs="Times New Roman" w:hAnsi="Times New Roman"/>
                      <w:color w:val="auto"/>
                      <w:w w:val="100"/>
                      <w:kern w:val="2"/>
                      <w:sz w:val="21"/>
                      <w:szCs w:val="21"/>
                      <w:lang w:val="en-US" w:eastAsia="zh-CN" w:bidi="ar-SA"/>
                      <w:highlight w:val="none"/>
                    </w:rPr>
                  </w:pPr>
                  <w:r>
                    <w:rPr>
                      <w:rFonts w:ascii="Times New Roman" w:eastAsia="宋体" w:cs="Times New Roman" w:hAnsi="Times New Roman"/>
                      <w:color w:val="auto"/>
                      <w:w w:val="100"/>
                      <w:kern w:val="2"/>
                      <w:sz w:val="21"/>
                      <w:szCs w:val="21"/>
                      <w:lang w:val="en-US" w:eastAsia="zh-CN" w:bidi="ar-SA"/>
                      <w:highlight w:val="none"/>
                    </w:rPr>
                    <w:t>/</w:t>
                  </w:r>
                </w:p>
              </w:tc>
              <w:tc>
                <w:tcPr>
                  <w:tcW w:w="1008"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eastAsia="宋体" w:cs="Times New Roman" w:hAnsi="Times New Roman"/>
                      <w:color w:val="auto"/>
                      <w:w w:val="100"/>
                      <w:kern w:val="2"/>
                      <w:sz w:val="21"/>
                      <w:szCs w:val="21"/>
                      <w:lang w:val="en-US" w:eastAsia="zh-CN" w:bidi="ar-SA"/>
                      <w:highlight w:val="none"/>
                    </w:rPr>
                  </w:pPr>
                  <w:r>
                    <w:rPr>
                      <w:rFonts w:ascii="Times New Roman" w:eastAsia="宋体" w:cs="Times New Roman" w:hAnsi="Times New Roman"/>
                      <w:color w:val="auto"/>
                      <w:w w:val="100"/>
                      <w:kern w:val="2"/>
                      <w:sz w:val="21"/>
                      <w:szCs w:val="21"/>
                      <w:lang w:val="zh-CN" w:eastAsia="zh-CN" w:bidi="ar-SA"/>
                      <w:highlight w:val="none"/>
                    </w:rPr>
                    <w:t>0.</w:t>
                  </w:r>
                  <w:r>
                    <w:rPr>
                      <w:rFonts w:ascii="Times New Roman" w:eastAsia="宋体" w:cs="Times New Roman" w:hAnsi="Times New Roman"/>
                      <w:color w:val="auto"/>
                      <w:w w:val="100"/>
                      <w:kern w:val="2"/>
                      <w:sz w:val="21"/>
                      <w:szCs w:val="21"/>
                      <w:lang w:val="en-US" w:eastAsia="zh-CN" w:bidi="ar-SA"/>
                      <w:highlight w:val="none"/>
                    </w:rPr>
                    <w:t>7</w:t>
                  </w:r>
                </w:p>
              </w:tc>
              <w:tc>
                <w:tcPr>
                  <w:tcW w:w="786"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cs="Times New Roman" w:hAnsi="Times New Roman"/>
                      <w:color w:val="auto"/>
                      <w:w w:val="100"/>
                      <w:kern w:val="2"/>
                      <w:sz w:val="21"/>
                      <w:szCs w:val="21"/>
                      <w:lang w:val="en-US" w:eastAsia="zh-CN" w:bidi="ar-SA"/>
                      <w:highlight w:val="none"/>
                    </w:rPr>
                  </w:pPr>
                  <w:r>
                    <w:rPr>
                      <w:rFonts w:ascii="Times New Roman" w:cs="Times New Roman" w:hAnsi="Times New Roman"/>
                      <w:color w:val="auto"/>
                      <w:w w:val="100"/>
                      <w:kern w:val="2"/>
                      <w:sz w:val="21"/>
                      <w:szCs w:val="21"/>
                      <w:lang w:val="en-US" w:eastAsia="zh-CN" w:bidi="ar-SA"/>
                      <w:highlight w:val="none"/>
                    </w:rPr>
                    <w:t>50</w:t>
                  </w:r>
                </w:p>
              </w:tc>
              <w:tc>
                <w:tcPr>
                  <w:tcW w:w="783"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eastAsia="宋体" w:cs="Times New Roman" w:hAnsi="Times New Roman"/>
                      <w:color w:val="auto"/>
                      <w:w w:val="100"/>
                      <w:kern w:val="2"/>
                      <w:sz w:val="21"/>
                      <w:szCs w:val="21"/>
                      <w:lang w:val="en-US" w:eastAsia="zh-CN" w:bidi="ar-SA"/>
                      <w:highlight w:val="none"/>
                    </w:rPr>
                  </w:pPr>
                  <w:r>
                    <w:rPr>
                      <w:rFonts w:ascii="Times New Roman" w:eastAsia="宋体" w:cs="Times New Roman" w:hAnsi="Times New Roman" w:hint="eastAsia"/>
                      <w:color w:val="auto"/>
                      <w:w w:val="100"/>
                      <w:kern w:val="2"/>
                      <w:sz w:val="21"/>
                      <w:szCs w:val="21"/>
                      <w:lang w:val="en-US" w:eastAsia="zh-CN" w:bidi="ar-SA"/>
                      <w:highlight w:val="none"/>
                    </w:rPr>
                    <w:t>0.014</w:t>
                  </w:r>
                </w:p>
              </w:tc>
            </w:tr>
            <w:tr>
              <w:trPr>
                <w:trHeight w:val="23"/>
              </w:trPr>
              <w:tc>
                <w:tcPr>
                  <w:tcW w:w="404" w:type="pct"/>
                  <w:tcBorders>
                    <w:tl2br w:val="nil"/>
                    <w:tr2bl w:val="nil"/>
                  </w:tcBorders>
                  <w:vAlign w:val="center"/>
                </w:tcPr>
                <w:p>
                  <w:pPr>
                    <w:spacing w:line="0" w:lineRule="atLeast"/>
                    <w:jc w:val="center"/>
                    <w:rPr>
                      <w:rFonts w:ascii="Times New Roman" w:eastAsia="宋体" w:cs="Times New Roman" w:hAnsi="Times New Roman"/>
                      <w:color w:val="auto"/>
                      <w:kern w:val="2"/>
                      <w:sz w:val="21"/>
                      <w:szCs w:val="21"/>
                      <w:lang w:val="en-US" w:eastAsia="zh-CN" w:bidi="ar-SA"/>
                      <w:highlight w:val="none"/>
                    </w:rPr>
                  </w:pPr>
                  <w:r>
                    <w:rPr>
                      <w:rFonts w:ascii="Times New Roman" w:eastAsia="宋体" w:cs="Times New Roman" w:hAnsi="Times New Roman" w:hint="eastAsia"/>
                      <w:color w:val="auto"/>
                      <w:sz w:val="21"/>
                      <w:szCs w:val="21"/>
                      <w:lang w:val="en-US" w:eastAsia="zh-CN"/>
                      <w:highlight w:val="none"/>
                    </w:rPr>
                    <w:t>5</w:t>
                  </w:r>
                </w:p>
              </w:tc>
              <w:tc>
                <w:tcPr>
                  <w:tcW w:w="1017"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cs="Times New Roman" w:hAnsi="Times New Roman"/>
                      <w:color w:val="auto"/>
                      <w:w w:val="100"/>
                      <w:kern w:val="2"/>
                      <w:sz w:val="21"/>
                      <w:szCs w:val="21"/>
                      <w:lang w:val="en-US" w:eastAsia="zh-CN" w:bidi="ar-SA"/>
                      <w:highlight w:val="none"/>
                    </w:rPr>
                  </w:pPr>
                  <w:r>
                    <w:rPr>
                      <w:rFonts w:ascii="Times New Roman" w:cs="Times New Roman" w:hAnsi="Times New Roman"/>
                      <w:color w:val="auto"/>
                      <w:w w:val="100"/>
                      <w:kern w:val="2"/>
                      <w:sz w:val="21"/>
                      <w:szCs w:val="21"/>
                      <w:lang w:val="en-US" w:eastAsia="zh-CN" w:bidi="ar-SA"/>
                      <w:highlight w:val="none"/>
                    </w:rPr>
                    <w:t>废防护用具</w:t>
                  </w:r>
                </w:p>
              </w:tc>
              <w:tc>
                <w:tcPr>
                  <w:tcW w:w="999"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eastAsia="宋体" w:cs="Times New Roman" w:hAnsi="Times New Roman"/>
                      <w:color w:val="auto"/>
                      <w:w w:val="100"/>
                      <w:kern w:val="2"/>
                      <w:sz w:val="21"/>
                      <w:szCs w:val="21"/>
                      <w:lang w:val="en-US" w:eastAsia="zh-CN" w:bidi="ar-SA"/>
                      <w:highlight w:val="none"/>
                    </w:rPr>
                  </w:pPr>
                  <w:r>
                    <w:rPr>
                      <w:rFonts w:ascii="Times New Roman" w:eastAsia="宋体" w:cs="Times New Roman" w:hAnsi="Times New Roman"/>
                      <w:color w:val="auto"/>
                      <w:w w:val="100"/>
                      <w:kern w:val="2"/>
                      <w:sz w:val="21"/>
                      <w:szCs w:val="21"/>
                      <w:lang w:val="en-US" w:eastAsia="zh-CN" w:bidi="ar-SA"/>
                      <w:highlight w:val="none"/>
                    </w:rPr>
                    <w:t>/</w:t>
                  </w:r>
                </w:p>
              </w:tc>
              <w:tc>
                <w:tcPr>
                  <w:tcW w:w="1008"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eastAsia="宋体" w:cs="Times New Roman" w:hAnsi="Times New Roman"/>
                      <w:color w:val="auto"/>
                      <w:w w:val="100"/>
                      <w:kern w:val="2"/>
                      <w:sz w:val="21"/>
                      <w:szCs w:val="21"/>
                      <w:lang w:val="en-US" w:eastAsia="zh-CN" w:bidi="ar-SA"/>
                      <w:highlight w:val="none"/>
                    </w:rPr>
                  </w:pPr>
                  <w:r>
                    <w:rPr>
                      <w:rFonts w:ascii="Times New Roman" w:eastAsia="宋体" w:cs="Times New Roman" w:hAnsi="Times New Roman"/>
                      <w:color w:val="auto"/>
                      <w:w w:val="100"/>
                      <w:kern w:val="2"/>
                      <w:sz w:val="21"/>
                      <w:szCs w:val="21"/>
                      <w:lang w:val="zh-CN" w:eastAsia="zh-CN" w:bidi="ar-SA"/>
                      <w:highlight w:val="none"/>
                    </w:rPr>
                    <w:t>0.</w:t>
                  </w:r>
                  <w:r>
                    <w:rPr>
                      <w:rFonts w:ascii="Times New Roman" w:eastAsia="宋体" w:cs="Times New Roman" w:hAnsi="Times New Roman" w:hint="eastAsia"/>
                      <w:color w:val="auto"/>
                      <w:w w:val="100"/>
                      <w:kern w:val="2"/>
                      <w:sz w:val="21"/>
                      <w:szCs w:val="21"/>
                      <w:lang w:val="en-US" w:eastAsia="zh-CN" w:bidi="ar-SA"/>
                      <w:highlight w:val="none"/>
                    </w:rPr>
                    <w:t>4</w:t>
                  </w:r>
                  <w:r>
                    <w:rPr>
                      <w:rFonts w:ascii="Times New Roman" w:eastAsia="宋体" w:cs="Times New Roman" w:hAnsi="Times New Roman"/>
                      <w:color w:val="auto"/>
                      <w:w w:val="100"/>
                      <w:kern w:val="2"/>
                      <w:sz w:val="21"/>
                      <w:szCs w:val="21"/>
                      <w:lang w:val="en-US" w:eastAsia="zh-CN" w:bidi="ar-SA"/>
                      <w:highlight w:val="none"/>
                    </w:rPr>
                    <w:t>5</w:t>
                  </w:r>
                </w:p>
              </w:tc>
              <w:tc>
                <w:tcPr>
                  <w:tcW w:w="786"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cs="Times New Roman" w:hAnsi="Times New Roman"/>
                      <w:color w:val="auto"/>
                      <w:w w:val="100"/>
                      <w:kern w:val="2"/>
                      <w:sz w:val="21"/>
                      <w:szCs w:val="21"/>
                      <w:lang w:val="en-US" w:eastAsia="zh-CN" w:bidi="ar-SA"/>
                      <w:highlight w:val="none"/>
                    </w:rPr>
                  </w:pPr>
                  <w:r>
                    <w:rPr>
                      <w:rFonts w:ascii="Times New Roman" w:cs="Times New Roman" w:hAnsi="Times New Roman"/>
                      <w:color w:val="auto"/>
                      <w:w w:val="100"/>
                      <w:kern w:val="2"/>
                      <w:sz w:val="21"/>
                      <w:szCs w:val="21"/>
                      <w:lang w:val="en-US" w:eastAsia="zh-CN" w:bidi="ar-SA"/>
                      <w:highlight w:val="none"/>
                    </w:rPr>
                    <w:t>50</w:t>
                  </w:r>
                </w:p>
              </w:tc>
              <w:tc>
                <w:tcPr>
                  <w:tcW w:w="783"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eastAsia="宋体" w:cs="Times New Roman" w:hAnsi="Times New Roman"/>
                      <w:color w:val="auto"/>
                      <w:w w:val="100"/>
                      <w:kern w:val="2"/>
                      <w:sz w:val="21"/>
                      <w:szCs w:val="21"/>
                      <w:lang w:val="en-US" w:eastAsia="zh-CN" w:bidi="ar-SA"/>
                      <w:highlight w:val="none"/>
                    </w:rPr>
                  </w:pPr>
                  <w:r>
                    <w:rPr>
                      <w:rFonts w:ascii="Times New Roman" w:eastAsia="宋体" w:cs="Times New Roman" w:hAnsi="Times New Roman" w:hint="eastAsia"/>
                      <w:color w:val="auto"/>
                      <w:w w:val="100"/>
                      <w:kern w:val="2"/>
                      <w:sz w:val="21"/>
                      <w:szCs w:val="21"/>
                      <w:lang w:val="en-US" w:eastAsia="zh-CN" w:bidi="ar-SA"/>
                      <w:highlight w:val="none"/>
                    </w:rPr>
                    <w:t>0.009</w:t>
                  </w:r>
                </w:p>
              </w:tc>
            </w:tr>
            <w:tr>
              <w:trPr>
                <w:trHeight w:val="23"/>
              </w:trPr>
              <w:tc>
                <w:tcPr>
                  <w:tcW w:w="404" w:type="pct"/>
                  <w:tcBorders>
                    <w:tl2br w:val="nil"/>
                    <w:tr2bl w:val="nil"/>
                  </w:tcBorders>
                  <w:vAlign w:val="center"/>
                </w:tcPr>
                <w:p>
                  <w:pPr>
                    <w:spacing w:line="0" w:lineRule="atLeast"/>
                    <w:jc w:val="center"/>
                    <w:rPr>
                      <w:rFonts w:ascii="Times New Roman" w:eastAsia="宋体" w:cs="Times New Roman" w:hAnsi="Times New Roman"/>
                      <w:color w:val="auto"/>
                      <w:sz w:val="21"/>
                      <w:szCs w:val="21"/>
                      <w:lang w:val="en-US" w:eastAsia="zh-CN"/>
                      <w:highlight w:val="none"/>
                    </w:rPr>
                  </w:pPr>
                  <w:r>
                    <w:rPr>
                      <w:rFonts w:ascii="Times New Roman" w:eastAsia="宋体" w:cs="Times New Roman" w:hAnsi="Times New Roman" w:hint="eastAsia"/>
                      <w:color w:val="auto"/>
                      <w:sz w:val="21"/>
                      <w:szCs w:val="21"/>
                      <w:lang w:val="en-US" w:eastAsia="zh-CN"/>
                      <w:highlight w:val="none"/>
                    </w:rPr>
                    <w:t>6</w:t>
                  </w:r>
                </w:p>
              </w:tc>
              <w:tc>
                <w:tcPr>
                  <w:tcW w:w="1017"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cs="Times New Roman" w:hAnsi="Times New Roman"/>
                      <w:color w:val="auto"/>
                      <w:w w:val="100"/>
                      <w:kern w:val="2"/>
                      <w:sz w:val="21"/>
                      <w:szCs w:val="21"/>
                      <w:lang w:val="en-US" w:eastAsia="zh-CN" w:bidi="ar-SA"/>
                      <w:highlight w:val="none"/>
                    </w:rPr>
                  </w:pPr>
                  <w:r>
                    <w:rPr>
                      <w:rFonts w:ascii="Times New Roman" w:cs="Times New Roman" w:hAnsi="Times New Roman"/>
                      <w:color w:val="auto"/>
                      <w:w w:val="100"/>
                      <w:kern w:val="2"/>
                      <w:sz w:val="21"/>
                      <w:szCs w:val="21"/>
                      <w:lang w:val="en-US" w:eastAsia="zh-CN" w:bidi="ar-SA"/>
                      <w:highlight w:val="none"/>
                    </w:rPr>
                    <w:t>废抹布</w:t>
                  </w:r>
                </w:p>
              </w:tc>
              <w:tc>
                <w:tcPr>
                  <w:tcW w:w="999"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eastAsia="宋体" w:cs="Times New Roman" w:hAnsi="Times New Roman"/>
                      <w:color w:val="auto"/>
                      <w:w w:val="100"/>
                      <w:kern w:val="2"/>
                      <w:sz w:val="21"/>
                      <w:szCs w:val="21"/>
                      <w:lang w:val="en-US" w:eastAsia="zh-CN" w:bidi="ar-SA"/>
                      <w:highlight w:val="none"/>
                    </w:rPr>
                  </w:pPr>
                  <w:r>
                    <w:rPr>
                      <w:rFonts w:ascii="Times New Roman" w:eastAsia="宋体" w:cs="Times New Roman" w:hAnsi="Times New Roman"/>
                      <w:color w:val="auto"/>
                      <w:w w:val="100"/>
                      <w:kern w:val="2"/>
                      <w:sz w:val="21"/>
                      <w:szCs w:val="21"/>
                      <w:lang w:val="en-US" w:eastAsia="zh-CN" w:bidi="ar-SA"/>
                      <w:highlight w:val="none"/>
                    </w:rPr>
                    <w:t>/</w:t>
                  </w:r>
                </w:p>
              </w:tc>
              <w:tc>
                <w:tcPr>
                  <w:tcW w:w="1008"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eastAsia="宋体" w:cs="Times New Roman" w:hAnsi="Times New Roman"/>
                      <w:color w:val="auto"/>
                      <w:w w:val="100"/>
                      <w:kern w:val="2"/>
                      <w:sz w:val="21"/>
                      <w:szCs w:val="21"/>
                      <w:lang w:val="en-US" w:eastAsia="zh-CN" w:bidi="ar-SA"/>
                      <w:highlight w:val="none"/>
                    </w:rPr>
                  </w:pPr>
                  <w:r>
                    <w:rPr>
                      <w:rFonts w:ascii="Times New Roman" w:eastAsia="宋体" w:cs="Times New Roman" w:hAnsi="Times New Roman"/>
                      <w:color w:val="auto"/>
                      <w:w w:val="100"/>
                      <w:kern w:val="2"/>
                      <w:sz w:val="21"/>
                      <w:szCs w:val="21"/>
                      <w:lang w:val="zh-CN" w:eastAsia="zh-CN" w:bidi="ar-SA"/>
                      <w:highlight w:val="none"/>
                    </w:rPr>
                    <w:t>0.0</w:t>
                  </w:r>
                  <w:r>
                    <w:rPr>
                      <w:rFonts w:ascii="Times New Roman" w:eastAsia="宋体" w:cs="Times New Roman" w:hAnsi="Times New Roman"/>
                      <w:color w:val="auto"/>
                      <w:w w:val="100"/>
                      <w:kern w:val="2"/>
                      <w:sz w:val="21"/>
                      <w:szCs w:val="21"/>
                      <w:lang w:val="en-US" w:eastAsia="zh-CN" w:bidi="ar-SA"/>
                      <w:highlight w:val="none"/>
                    </w:rPr>
                    <w:t>1</w:t>
                  </w:r>
                </w:p>
              </w:tc>
              <w:tc>
                <w:tcPr>
                  <w:tcW w:w="786"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cs="Times New Roman" w:hAnsi="Times New Roman"/>
                      <w:color w:val="auto"/>
                      <w:w w:val="100"/>
                      <w:kern w:val="2"/>
                      <w:sz w:val="21"/>
                      <w:szCs w:val="21"/>
                      <w:lang w:val="en-US" w:eastAsia="zh-CN" w:bidi="ar-SA"/>
                      <w:highlight w:val="none"/>
                    </w:rPr>
                  </w:pPr>
                  <w:r>
                    <w:rPr>
                      <w:rFonts w:ascii="Times New Roman" w:cs="Times New Roman" w:hAnsi="Times New Roman"/>
                      <w:color w:val="auto"/>
                      <w:w w:val="100"/>
                      <w:kern w:val="2"/>
                      <w:sz w:val="21"/>
                      <w:szCs w:val="21"/>
                      <w:lang w:val="en-US" w:eastAsia="zh-CN" w:bidi="ar-SA"/>
                      <w:highlight w:val="none"/>
                    </w:rPr>
                    <w:t>50</w:t>
                  </w:r>
                </w:p>
              </w:tc>
              <w:tc>
                <w:tcPr>
                  <w:tcW w:w="783"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eastAsia="宋体" w:cs="Times New Roman" w:hAnsi="Times New Roman"/>
                      <w:color w:val="auto"/>
                      <w:w w:val="100"/>
                      <w:kern w:val="2"/>
                      <w:sz w:val="21"/>
                      <w:szCs w:val="21"/>
                      <w:lang w:val="en-US" w:eastAsia="zh-CN" w:bidi="ar-SA"/>
                      <w:highlight w:val="none"/>
                    </w:rPr>
                  </w:pPr>
                  <w:r>
                    <w:rPr>
                      <w:rFonts w:ascii="Times New Roman" w:eastAsia="宋体" w:cs="Times New Roman" w:hAnsi="Times New Roman" w:hint="eastAsia"/>
                      <w:color w:val="auto"/>
                      <w:w w:val="100"/>
                      <w:kern w:val="2"/>
                      <w:sz w:val="21"/>
                      <w:szCs w:val="21"/>
                      <w:lang w:val="en-US" w:eastAsia="zh-CN" w:bidi="ar-SA"/>
                      <w:highlight w:val="none"/>
                    </w:rPr>
                    <w:t>0.0002</w:t>
                  </w:r>
                </w:p>
              </w:tc>
            </w:tr>
            <w:tr>
              <w:trPr>
                <w:trHeight w:val="90"/>
              </w:trPr>
              <w:tc>
                <w:tcPr>
                  <w:tcW w:w="4216" w:type="pct"/>
                  <w:gridSpan w:val="5"/>
                  <w:tcBorders>
                    <w:tl2br w:val="nil"/>
                    <w:tr2bl w:val="nil"/>
                  </w:tcBorders>
                  <w:vAlign w:val="center"/>
                </w:tcPr>
                <w:p>
                  <w:pPr>
                    <w:autoSpaceDE w:val="0"/>
                    <w:snapToGrid w:val="0"/>
                    <w:jc w:val="center"/>
                    <w:rPr>
                      <w:rFonts w:ascii="Times New Roman" w:eastAsia="宋体" w:cs="Times New Roman" w:hAnsi="Times New Roman"/>
                      <w:color w:val="auto"/>
                      <w:sz w:val="21"/>
                      <w:szCs w:val="21"/>
                      <w:lang w:val="en-US" w:eastAsia="zh-CN"/>
                      <w:highlight w:val="none"/>
                    </w:rPr>
                  </w:pPr>
                  <w:r>
                    <w:rPr>
                      <w:rFonts w:ascii="Times New Roman" w:eastAsia="宋体" w:cs="Times New Roman" w:hAnsi="Times New Roman"/>
                      <w:color w:val="auto"/>
                      <w:sz w:val="21"/>
                      <w:szCs w:val="21"/>
                      <w:lang w:val="en-US" w:eastAsia="zh-CN"/>
                      <w:highlight w:val="none"/>
                    </w:rPr>
                    <w:t>合计</w:t>
                  </w:r>
                </w:p>
              </w:tc>
              <w:tc>
                <w:tcPr>
                  <w:tcW w:w="783"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eastAsia="宋体" w:cs="Times New Roman" w:hAnsi="Times New Roman"/>
                      <w:color w:val="auto"/>
                      <w:w w:val="100"/>
                      <w:kern w:val="2"/>
                      <w:sz w:val="21"/>
                      <w:szCs w:val="21"/>
                      <w:lang w:val="en-US" w:eastAsia="zh-CN" w:bidi="ar-SA"/>
                      <w:highlight w:val="none"/>
                    </w:rPr>
                  </w:pPr>
                  <w:r>
                    <w:rPr>
                      <w:rFonts w:ascii="Times New Roman" w:eastAsia="宋体" w:cs="Times New Roman" w:hAnsi="Times New Roman" w:hint="eastAsia"/>
                      <w:color w:val="auto"/>
                      <w:w w:val="100"/>
                      <w:kern w:val="2"/>
                      <w:sz w:val="21"/>
                      <w:szCs w:val="21"/>
                      <w:lang w:val="en-US" w:eastAsia="zh-CN" w:bidi="ar-SA"/>
                      <w:highlight w:val="none"/>
                    </w:rPr>
                    <w:t>2.0203</w:t>
                  </w:r>
                </w:p>
              </w:tc>
            </w:tr>
            <w:tr>
              <w:trPr>
                <w:trHeight w:val="23"/>
              </w:trPr>
              <w:tc>
                <w:tcPr>
                  <w:tcW w:w="5000" w:type="pct"/>
                  <w:gridSpan w:val="6"/>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both"/>
                    <w:textAlignment w:val="auto"/>
                    <w:rPr>
                      <w:rFonts w:ascii="Times New Roman" w:eastAsia="宋体" w:cs="Times New Roman" w:hAnsi="Times New Roman"/>
                      <w:color w:val="auto"/>
                      <w:w w:val="100"/>
                      <w:kern w:val="2"/>
                      <w:sz w:val="21"/>
                      <w:szCs w:val="21"/>
                      <w:lang w:val="en-US" w:eastAsia="zh-CN" w:bidi="ar-SA"/>
                      <w:highlight w:val="none"/>
                    </w:rPr>
                  </w:pPr>
                  <w:r>
                    <w:rPr>
                      <w:rFonts w:ascii="Times New Roman" w:eastAsia="宋体" w:cs="Times New Roman" w:hAnsi="Times New Roman"/>
                      <w:color w:val="auto"/>
                      <w:w w:val="100"/>
                      <w:kern w:val="2"/>
                      <w:sz w:val="21"/>
                      <w:szCs w:val="21"/>
                      <w:lang w:val="en-US" w:eastAsia="zh-CN" w:bidi="ar-SA"/>
                      <w:highlight w:val="none"/>
                    </w:rPr>
                    <w:t>注：第I类废铅蓄电池</w:t>
                  </w:r>
                  <w:r>
                    <w:rPr>
                      <w:rFonts w:ascii="Times New Roman" w:eastAsia="宋体" w:cs="Times New Roman" w:hAnsi="Times New Roman" w:hint="eastAsia"/>
                      <w:color w:val="auto"/>
                      <w:w w:val="100"/>
                      <w:kern w:val="2"/>
                      <w:sz w:val="21"/>
                      <w:szCs w:val="21"/>
                      <w:lang w:val="en-US" w:eastAsia="zh-CN" w:bidi="ar-SA"/>
                      <w:highlight w:val="none"/>
                    </w:rPr>
                    <w:t>、</w:t>
                  </w:r>
                  <w:r>
                    <w:rPr>
                      <w:rFonts w:ascii="Times New Roman" w:eastAsia="宋体" w:cs="Times New Roman" w:hAnsi="Times New Roman"/>
                      <w:color w:val="auto"/>
                      <w:w w:val="100"/>
                      <w:kern w:val="2"/>
                      <w:sz w:val="21"/>
                      <w:szCs w:val="21"/>
                      <w:lang w:val="en-US" w:eastAsia="zh-CN" w:bidi="ar-SA"/>
                      <w:highlight w:val="none"/>
                    </w:rPr>
                    <w:t>第II类废铅酸蓄电池中的铅及其化合物属</w:t>
                  </w:r>
                  <w:r>
                    <w:rPr>
                      <w:rFonts w:ascii="Times New Roman" w:eastAsia="宋体" w:cs="Times New Roman" w:hAnsi="Times New Roman" w:hint="eastAsia"/>
                      <w:color w:val="auto"/>
                      <w:w w:val="100"/>
                      <w:kern w:val="2"/>
                      <w:sz w:val="21"/>
                      <w:szCs w:val="21"/>
                      <w:lang w:val="en-US" w:eastAsia="zh-CN" w:bidi="ar-SA"/>
                      <w:highlight w:val="none"/>
                    </w:rPr>
                    <w:t>、</w:t>
                  </w:r>
                  <w:r>
                    <w:rPr>
                      <w:rFonts w:ascii="Times New Roman" w:eastAsia="宋体" w:cs="Times New Roman" w:hAnsi="Times New Roman"/>
                      <w:color w:val="auto"/>
                      <w:w w:val="100"/>
                      <w:kern w:val="2"/>
                      <w:sz w:val="21"/>
                      <w:szCs w:val="21"/>
                      <w:lang w:val="en-US" w:eastAsia="zh-CN" w:bidi="ar-SA"/>
                      <w:highlight w:val="none"/>
                    </w:rPr>
                    <w:t>其他危险废物参照《建设项目环境风险评价技术导则》（HJ169-2018）表B.2健康危险急性毒性物质（类别2，类别3）的临界量50t进行评估。</w:t>
                  </w:r>
                </w:p>
              </w:tc>
            </w:tr>
          </w:tbl>
          <w:p>
            <w:pPr>
              <w:keepNext w:val="0"/>
              <w:keepLines w:val="0"/>
              <w:pageBreakBefore w:val="0"/>
              <w:widowControl w:val="0"/>
              <w:kinsoku/>
              <w:wordWrap/>
              <w:overflowPunct/>
              <w:topLinePunct w:val="0"/>
              <w:autoSpaceDE/>
              <w:autoSpaceDN/>
              <w:bidi w:val="0"/>
              <w:adjustRightInd w:val="0"/>
              <w:snapToGrid w:val="0"/>
              <w:spacing w:line="360" w:lineRule="auto"/>
              <w:ind w:firstLineChars="200" w:firstLine="480"/>
              <w:textAlignment w:val="auto"/>
              <w:rPr>
                <w:rFonts w:ascii="Times New Roman" w:cs="Times New Roman" w:hAnsi="Times New Roman"/>
                <w:color w:val="auto"/>
                <w:sz w:val="24"/>
              </w:rPr>
            </w:pPr>
            <w:r>
              <w:rPr>
                <w:rFonts w:ascii="Times New Roman" w:cs="Times New Roman" w:hAnsi="Times New Roman"/>
                <w:color w:val="auto"/>
                <w:sz w:val="24"/>
              </w:rPr>
              <w:t>由结果可见，拟建项目危险物质数量与临界量比值Q=2.0203。</w:t>
            </w:r>
          </w:p>
          <w:p>
            <w:pPr>
              <w:pStyle w:val="33"/>
              <w:keepNext w:val="0"/>
              <w:keepLines w:val="0"/>
              <w:pageBreakBefore w:val="0"/>
              <w:widowControl w:val="0"/>
              <w:kinsoku/>
              <w:wordWrap/>
              <w:overflowPunct/>
              <w:topLinePunct w:val="0"/>
              <w:autoSpaceDE/>
              <w:autoSpaceDN/>
              <w:bidi w:val="0"/>
              <w:spacing w:line="360" w:lineRule="auto"/>
              <w:textAlignment w:val="auto"/>
              <w:rPr>
                <w:rFonts w:ascii="Times New Roman" w:eastAsia="宋体" w:cs="Times New Roman" w:hAnsi="Times New Roman" w:hint="eastAsia"/>
                <w:bCs/>
                <w:color w:val="auto"/>
                <w:sz w:val="24"/>
                <w:highlight w:val="none"/>
              </w:rPr>
            </w:pPr>
            <w:r>
              <w:rPr>
                <w:rFonts w:ascii="Times New Roman" w:eastAsia="宋体" w:cs="Times New Roman" w:hAnsi="Times New Roman" w:hint="eastAsia"/>
                <w:bCs/>
                <w:color w:val="auto"/>
                <w:sz w:val="24"/>
                <w:highlight w:val="none"/>
              </w:rPr>
              <w:t>项目所贮存的废旧铅酸蓄电池具有潜在的危害，在贮存过程中可能发生泄漏和火灾。发生以上事故时，污染物泄漏将通过大气和水体进入环境，会对环境造成一定的影响。</w:t>
            </w:r>
          </w:p>
          <w:p>
            <w:pPr>
              <w:pStyle w:val="33"/>
              <w:keepNext w:val="0"/>
              <w:keepLines w:val="0"/>
              <w:pageBreakBefore w:val="0"/>
              <w:widowControl w:val="0"/>
              <w:kinsoku/>
              <w:wordWrap/>
              <w:overflowPunct/>
              <w:topLinePunct w:val="0"/>
              <w:autoSpaceDE/>
              <w:autoSpaceDN/>
              <w:bidi w:val="0"/>
              <w:spacing w:line="360" w:lineRule="auto"/>
              <w:textAlignment w:val="auto"/>
              <w:rPr>
                <w:rFonts w:eastAsia="宋体"/>
                <w:color w:val="auto"/>
                <w:lang w:val="en-US" w:eastAsia="zh-CN"/>
              </w:rPr>
            </w:pPr>
            <w:r>
              <w:rPr>
                <w:rFonts w:ascii="Times New Roman" w:eastAsia="宋体" w:cs="Times New Roman" w:hAnsi="Times New Roman" w:hint="eastAsia"/>
                <w:bCs/>
                <w:color w:val="auto"/>
                <w:sz w:val="24"/>
                <w:highlight w:val="none"/>
              </w:rPr>
              <w:t>本项目通过制定风险防范措施，制定安全生产规范，通过加强员工的安全、环保知识和风险事故安全教育，提高职工的风险意识，掌握本职工作所需的危险化学品安全知识和技能，严格遵守危险化学品安全规章制度和操作规程，了解其作业场所和工作存在的危险有害因素以及企业所采取的防范措施和环境突发事故应急措施，以减少风险发生的概率。其次通过落实事故、消防</w:t>
            </w:r>
            <w:r>
              <w:rPr>
                <w:rFonts w:ascii="Times New Roman" w:eastAsia="宋体" w:cs="Times New Roman" w:hAnsi="Times New Roman" w:hint="eastAsia"/>
                <w:bCs/>
                <w:color w:val="auto"/>
                <w:sz w:val="24"/>
                <w:lang w:eastAsia="zh-CN"/>
                <w:highlight w:val="none"/>
              </w:rPr>
              <w:t>废</w:t>
            </w:r>
            <w:r>
              <w:rPr>
                <w:rFonts w:ascii="Times New Roman" w:eastAsia="宋体" w:cs="Times New Roman" w:hAnsi="Times New Roman" w:hint="eastAsia"/>
                <w:bCs/>
                <w:color w:val="auto"/>
                <w:sz w:val="24"/>
                <w:highlight w:val="none"/>
              </w:rPr>
              <w:t>水的收集系统，厂内所有外排管道均设置切断装置和应急设施，确保一旦意外事故，所有污水均能收集事故应急池。</w:t>
            </w:r>
          </w:p>
          <w:p>
            <w:pPr>
              <w:keepNext w:val="0"/>
              <w:keepLines w:val="0"/>
              <w:pageBreakBefore w:val="0"/>
              <w:widowControl w:val="0"/>
              <w:kinsoku/>
              <w:wordWrap/>
              <w:overflowPunct/>
              <w:bidi w:val="0"/>
              <w:adjustRightInd w:val="0"/>
              <w:snapToGrid w:val="0"/>
              <w:spacing w:line="460" w:lineRule="exact"/>
              <w:ind w:firstLineChars="200" w:firstLine="480"/>
              <w:rPr>
                <w:b/>
                <w:bCs/>
                <w:color w:val="auto"/>
                <w:kern w:val="0"/>
                <w:sz w:val="24"/>
                <w:highlight w:val="none"/>
              </w:rPr>
            </w:pPr>
            <w:r>
              <w:rPr>
                <w:b/>
                <w:bCs/>
                <w:color w:val="auto"/>
                <w:kern w:val="0"/>
                <w:sz w:val="24"/>
                <w:highlight w:val="none"/>
              </w:rPr>
              <w:t>8</w:t>
            </w:r>
            <w:r>
              <w:rPr>
                <w:rFonts w:hint="eastAsia"/>
                <w:b/>
                <w:bCs/>
                <w:color w:val="auto"/>
                <w:kern w:val="0"/>
                <w:sz w:val="24"/>
                <w:highlight w:val="none"/>
              </w:rPr>
              <w:t>、</w:t>
            </w:r>
            <w:r>
              <w:rPr>
                <w:b/>
                <w:bCs/>
                <w:color w:val="auto"/>
                <w:kern w:val="0"/>
                <w:sz w:val="24"/>
                <w:highlight w:val="none"/>
              </w:rPr>
              <w:t>电磁辐射</w:t>
            </w:r>
          </w:p>
          <w:p>
            <w:pPr>
              <w:keepNext w:val="0"/>
              <w:keepLines w:val="0"/>
              <w:pageBreakBefore w:val="0"/>
              <w:widowControl w:val="0"/>
              <w:kinsoku/>
              <w:wordWrap/>
              <w:overflowPunct/>
              <w:bidi w:val="0"/>
              <w:adjustRightInd w:val="0"/>
              <w:snapToGrid w:val="0"/>
              <w:spacing w:line="460" w:lineRule="exact"/>
              <w:ind w:firstLineChars="200" w:firstLine="480"/>
              <w:rPr>
                <w:rFonts w:hint="eastAsia"/>
                <w:color w:val="auto"/>
                <w:kern w:val="0"/>
                <w:sz w:val="24"/>
                <w:highlight w:val="none"/>
              </w:rPr>
            </w:pPr>
            <w:r>
              <w:rPr>
                <w:color w:val="auto"/>
                <w:kern w:val="0"/>
                <w:sz w:val="24"/>
                <w:highlight w:val="none"/>
              </w:rPr>
              <w:t>不涉及</w:t>
            </w:r>
            <w:r>
              <w:rPr>
                <w:rFonts w:hint="eastAsia"/>
                <w:color w:val="auto"/>
                <w:kern w:val="0"/>
                <w:sz w:val="24"/>
                <w:highlight w:val="none"/>
              </w:rPr>
              <w:t>。</w:t>
            </w:r>
          </w:p>
          <w:p>
            <w:pPr>
              <w:keepNext w:val="0"/>
              <w:keepLines w:val="0"/>
              <w:pageBreakBefore w:val="0"/>
              <w:widowControl w:val="0"/>
              <w:kinsoku/>
              <w:wordWrap/>
              <w:overflowPunct/>
              <w:bidi w:val="0"/>
              <w:spacing w:line="460" w:lineRule="exact"/>
              <w:ind w:firstLineChars="200" w:firstLine="480"/>
              <w:rPr>
                <w:rFonts w:hint="eastAsia"/>
                <w:b/>
                <w:bCs/>
                <w:color w:val="auto"/>
                <w:sz w:val="24"/>
                <w:highlight w:val="none"/>
              </w:rPr>
            </w:pPr>
            <w:r>
              <w:rPr>
                <w:rFonts w:hint="eastAsia"/>
                <w:b/>
                <w:bCs/>
                <w:color w:val="auto"/>
                <w:sz w:val="24"/>
                <w:highlight w:val="none"/>
              </w:rPr>
              <w:t>9、其他环境管理</w:t>
            </w:r>
          </w:p>
          <w:p>
            <w:pPr>
              <w:pStyle w:val="68"/>
              <w:keepNext w:val="0"/>
              <w:keepLines w:val="0"/>
              <w:pageBreakBefore w:val="0"/>
              <w:widowControl w:val="0"/>
              <w:tabs>
                <w:tab w:val="left" w:pos="0"/>
                <w:tab w:val="left" w:pos="360"/>
                <w:tab w:val="left" w:pos="900"/>
              </w:tabs>
              <w:kinsoku/>
              <w:wordWrap/>
              <w:overflowPunct/>
              <w:topLinePunct/>
              <w:autoSpaceDE w:val="0"/>
              <w:autoSpaceDN w:val="0"/>
              <w:bidi w:val="0"/>
              <w:spacing w:line="460" w:lineRule="exact"/>
              <w:ind w:firstLineChars="200" w:firstLine="480"/>
              <w:jc w:val="both"/>
              <w:rPr>
                <w:rFonts w:hint="eastAsia"/>
                <w:bCs w:val="0"/>
                <w:color w:val="auto"/>
                <w:spacing w:val="0"/>
                <w:kern w:val="2"/>
                <w:sz w:val="24"/>
                <w:szCs w:val="24"/>
                <w:highlight w:val="none"/>
              </w:rPr>
            </w:pPr>
            <w:r>
              <w:rPr>
                <w:rFonts w:hint="eastAsia"/>
                <w:bCs w:val="0"/>
                <w:color w:val="auto"/>
                <w:spacing w:val="0"/>
                <w:kern w:val="2"/>
                <w:sz w:val="24"/>
                <w:szCs w:val="24"/>
                <w:highlight w:val="none"/>
              </w:rPr>
              <w:t>（1）排污许可证制度衔接</w:t>
            </w:r>
          </w:p>
          <w:p>
            <w:pPr>
              <w:pStyle w:val="68"/>
              <w:keepNext w:val="0"/>
              <w:keepLines w:val="0"/>
              <w:pageBreakBefore w:val="0"/>
              <w:widowControl w:val="0"/>
              <w:tabs>
                <w:tab w:val="left" w:pos="0"/>
                <w:tab w:val="left" w:pos="360"/>
                <w:tab w:val="left" w:pos="900"/>
              </w:tabs>
              <w:kinsoku/>
              <w:wordWrap/>
              <w:overflowPunct/>
              <w:topLinePunct/>
              <w:autoSpaceDE w:val="0"/>
              <w:autoSpaceDN w:val="0"/>
              <w:bidi w:val="0"/>
              <w:spacing w:line="460" w:lineRule="exact"/>
              <w:ind w:firstLineChars="200" w:firstLine="480"/>
              <w:jc w:val="both"/>
              <w:rPr>
                <w:rFonts w:hint="eastAsia"/>
                <w:bCs w:val="0"/>
                <w:color w:val="auto"/>
                <w:spacing w:val="0"/>
                <w:kern w:val="2"/>
                <w:sz w:val="24"/>
                <w:szCs w:val="24"/>
                <w:highlight w:val="none"/>
              </w:rPr>
            </w:pPr>
            <w:r>
              <w:rPr>
                <w:rFonts w:hint="eastAsia"/>
                <w:bCs w:val="0"/>
                <w:color w:val="auto"/>
                <w:spacing w:val="0"/>
                <w:kern w:val="2"/>
                <w:sz w:val="24"/>
                <w:szCs w:val="24"/>
                <w:highlight w:val="none"/>
              </w:rPr>
              <w:t>依据《国务院办公厅关于印发</w:t>
            </w:r>
            <w:r>
              <w:rPr>
                <w:bCs w:val="0"/>
                <w:color w:val="auto"/>
                <w:spacing w:val="0"/>
                <w:kern w:val="2"/>
                <w:sz w:val="24"/>
                <w:szCs w:val="24"/>
                <w:highlight w:val="none"/>
              </w:rPr>
              <w:t>〈</w:t>
            </w:r>
            <w:r>
              <w:rPr>
                <w:rFonts w:hint="eastAsia"/>
                <w:bCs w:val="0"/>
                <w:color w:val="auto"/>
                <w:spacing w:val="0"/>
                <w:kern w:val="2"/>
                <w:sz w:val="24"/>
                <w:szCs w:val="24"/>
                <w:highlight w:val="none"/>
              </w:rPr>
              <w:t>控制污染物排放许可制度实施方案</w:t>
            </w:r>
            <w:r>
              <w:rPr>
                <w:bCs w:val="0"/>
                <w:color w:val="auto"/>
                <w:spacing w:val="0"/>
                <w:kern w:val="2"/>
                <w:sz w:val="24"/>
                <w:szCs w:val="24"/>
                <w:highlight w:val="none"/>
              </w:rPr>
              <w:t>〉</w:t>
            </w:r>
            <w:r>
              <w:rPr>
                <w:rFonts w:hint="eastAsia"/>
                <w:bCs w:val="0"/>
                <w:color w:val="auto"/>
                <w:spacing w:val="0"/>
                <w:kern w:val="2"/>
                <w:sz w:val="24"/>
                <w:szCs w:val="24"/>
                <w:highlight w:val="none"/>
              </w:rPr>
              <w:t>的通知》（国办发[2016]81号）中相关要求，环境影响评价制度是建设项目的环境准入门槛，排污许可制是企业单位在生产营运期排污的法律依据，必须做好充分衔接，实现从污染预防到污染治理和排放控制的全过程监管。新建项目必须在发生实际排污行为之前申领排污许可证，不得无证或不按证排污，环境影响评价文件及批复中与污染物排放相关的主要内容应当纳入排污许可证。</w:t>
            </w:r>
          </w:p>
          <w:p>
            <w:pPr>
              <w:pStyle w:val="68"/>
              <w:keepNext w:val="0"/>
              <w:keepLines w:val="0"/>
              <w:pageBreakBefore w:val="0"/>
              <w:widowControl w:val="0"/>
              <w:tabs>
                <w:tab w:val="left" w:pos="0"/>
                <w:tab w:val="left" w:pos="360"/>
                <w:tab w:val="left" w:pos="900"/>
              </w:tabs>
              <w:kinsoku/>
              <w:wordWrap/>
              <w:overflowPunct/>
              <w:topLinePunct/>
              <w:autoSpaceDE w:val="0"/>
              <w:autoSpaceDN w:val="0"/>
              <w:bidi w:val="0"/>
              <w:spacing w:line="460" w:lineRule="exact"/>
              <w:ind w:firstLineChars="200" w:firstLine="480"/>
              <w:jc w:val="both"/>
              <w:rPr>
                <w:rFonts w:eastAsia="宋体" w:hint="eastAsia"/>
                <w:bCs w:val="0"/>
                <w:color w:val="auto"/>
                <w:spacing w:val="0"/>
                <w:kern w:val="2"/>
                <w:sz w:val="24"/>
                <w:szCs w:val="24"/>
                <w:lang w:eastAsia="zh-CN"/>
                <w:highlight w:val="none"/>
              </w:rPr>
            </w:pPr>
            <w:r>
              <w:rPr>
                <w:rFonts w:hint="eastAsia"/>
                <w:bCs w:val="0"/>
                <w:color w:val="auto"/>
                <w:spacing w:val="0"/>
                <w:kern w:val="2"/>
                <w:sz w:val="24"/>
                <w:szCs w:val="24"/>
                <w:highlight w:val="none"/>
              </w:rPr>
              <w:t>根据《排污许可管理条例》（国务院令 2021年第736号）要求，依照法律规定实行排污许可管理的企业事业单位和其他生产经营者（以下称排污单位），应当依照本条例规定申请取得排污许可证；未取得排污许可证的，不得排放污染物。项目根据生态环境部部令第11号《固定污染源排污许可分类管理名录（2019年版）》的有关规定进行排污许可证的申领工作。</w:t>
            </w:r>
            <w:r>
              <w:rPr>
                <w:rFonts w:hint="eastAsia"/>
                <w:bCs w:val="0"/>
                <w:color w:val="auto"/>
                <w:spacing w:val="0"/>
                <w:kern w:val="2"/>
                <w:sz w:val="24"/>
                <w:szCs w:val="24"/>
                <w:lang w:eastAsia="zh-CN"/>
                <w:highlight w:val="none"/>
              </w:rPr>
              <w:t>经对照，项目属于“专业从事危险废物贮存、利用、处理、处置（含焚烧发电）的”，实行排污许可“重点管理”。</w:t>
            </w:r>
          </w:p>
          <w:p>
            <w:pPr>
              <w:keepNext w:val="0"/>
              <w:keepLines w:val="0"/>
              <w:pageBreakBefore w:val="0"/>
              <w:kinsoku/>
              <w:wordWrap/>
              <w:overflowPunct/>
              <w:bidi w:val="0"/>
              <w:spacing w:line="460" w:lineRule="exact"/>
              <w:ind w:firstLineChars="200" w:firstLine="480"/>
              <w:rPr>
                <w:color w:val="auto"/>
                <w:sz w:val="24"/>
                <w:highlight w:val="none"/>
              </w:rPr>
            </w:pPr>
            <w:r>
              <w:rPr>
                <w:rFonts w:hint="eastAsia"/>
                <w:color w:val="auto"/>
                <w:sz w:val="24"/>
                <w:highlight w:val="none"/>
              </w:rPr>
              <w:t>（2）排污口规范化管理</w:t>
            </w:r>
          </w:p>
          <w:p>
            <w:pPr>
              <w:pStyle w:val="21"/>
              <w:keepNext w:val="0"/>
              <w:keepLines w:val="0"/>
              <w:pageBreakBefore w:val="0"/>
              <w:kinsoku/>
              <w:wordWrap/>
              <w:overflowPunct/>
              <w:bidi w:val="0"/>
              <w:spacing w:before="0" w:after="0" w:line="460" w:lineRule="exact"/>
              <w:ind w:right="0" w:firstLineChars="200" w:firstLine="480"/>
              <w:rPr>
                <w:rFonts w:hint="eastAsia"/>
                <w:color w:val="auto"/>
                <w:kern w:val="2"/>
                <w:sz w:val="24"/>
                <w:szCs w:val="24"/>
                <w:highlight w:val="none"/>
              </w:rPr>
            </w:pPr>
            <w:r>
              <w:rPr>
                <w:rFonts w:hint="eastAsia"/>
                <w:color w:val="auto"/>
                <w:kern w:val="2"/>
                <w:sz w:val="24"/>
                <w:szCs w:val="24"/>
                <w:highlight w:val="none"/>
              </w:rPr>
              <w:t>排污口是项目投产后污染物进入环境、对环境产生影响的通道，强化排污口的管理是实施污染物总量控制的基础工作之一，也是区域环境管理逐步实现污染物排放科学化、定量化的重要手段。</w:t>
            </w:r>
          </w:p>
          <w:p>
            <w:pPr>
              <w:pStyle w:val="21"/>
              <w:keepNext w:val="0"/>
              <w:keepLines w:val="0"/>
              <w:pageBreakBefore w:val="0"/>
              <w:kinsoku/>
              <w:wordWrap/>
              <w:overflowPunct/>
              <w:bidi w:val="0"/>
              <w:spacing w:before="0" w:after="0" w:line="460" w:lineRule="exact"/>
              <w:ind w:right="0" w:firstLineChars="200" w:firstLine="480"/>
              <w:rPr>
                <w:color w:val="auto"/>
                <w:kern w:val="2"/>
                <w:sz w:val="24"/>
                <w:szCs w:val="24"/>
                <w:highlight w:val="none"/>
              </w:rPr>
            </w:pPr>
            <w:r>
              <w:rPr>
                <w:rFonts w:hint="eastAsia"/>
                <w:color w:val="auto"/>
                <w:kern w:val="2"/>
                <w:sz w:val="24"/>
                <w:szCs w:val="24"/>
                <w:highlight w:val="none"/>
              </w:rPr>
              <w:t>1）排污口标识</w:t>
            </w:r>
          </w:p>
          <w:p>
            <w:pPr>
              <w:pStyle w:val="21"/>
              <w:keepNext w:val="0"/>
              <w:keepLines w:val="0"/>
              <w:pageBreakBefore w:val="0"/>
              <w:kinsoku/>
              <w:wordWrap/>
              <w:overflowPunct/>
              <w:bidi w:val="0"/>
              <w:spacing w:before="0" w:after="0" w:line="460" w:lineRule="exact"/>
              <w:ind w:right="0" w:firstLineChars="200" w:firstLine="480"/>
              <w:rPr>
                <w:rFonts w:hint="eastAsia"/>
                <w:color w:val="auto"/>
                <w:kern w:val="2"/>
                <w:sz w:val="24"/>
                <w:szCs w:val="24"/>
                <w:highlight w:val="none"/>
              </w:rPr>
            </w:pPr>
            <w:r>
              <w:rPr>
                <w:rFonts w:hint="eastAsia"/>
                <w:color w:val="auto"/>
                <w:kern w:val="2"/>
                <w:sz w:val="24"/>
                <w:szCs w:val="24"/>
                <w:highlight w:val="none"/>
              </w:rPr>
              <w:t>污染物排放口应严格按照《环境保护图形标志 固体废物贮存（处置）场》（GB15562.2-1995）（含2023修改单）、《环境保护图形标志-固体废物贮存（处置）场》（GB15562.2-1995）中有关规定执行，在污水排放口、废气排放口、噪声排放源、固废堆场设置环境保护图形标志，便于加强对污染物排放口（源）的监督管理以及常规监测工作的进行。一般性污染物排放口或固体废气贮存、处置场设置提示性环境保护图形标志牌，排放对人体有严重危害的排污口和危废暂存库，设置警告性环境保护图形标志牌。标志牌应设在与之功能相应的醒目处，并保持清晰、完整。图形符号及说明见下：</w:t>
            </w:r>
          </w:p>
          <w:p>
            <w:pPr>
              <w:jc w:val="center"/>
              <w:rPr>
                <w:color w:val="auto"/>
                <w:highlight w:val="none"/>
              </w:rPr>
            </w:pPr>
            <w:r>
              <w:rPr>
                <w:rFonts w:hint="eastAsia"/>
                <w:b/>
                <w:bCs/>
                <w:snapToGrid w:val="0"/>
                <w:color w:val="auto"/>
                <w:kern w:val="0"/>
                <w:sz w:val="24"/>
                <w:lang w:eastAsia="zh-CN"/>
                <w:highlight w:val="none"/>
              </w:rPr>
              <w:t>表</w:t>
            </w:r>
            <w:r>
              <w:rPr>
                <w:rFonts w:hint="eastAsia"/>
                <w:b/>
                <w:bCs/>
                <w:snapToGrid w:val="0"/>
                <w:color w:val="auto"/>
                <w:kern w:val="0"/>
                <w:sz w:val="24"/>
                <w:highlight w:val="none"/>
              </w:rPr>
              <w:t>4-1</w:t>
            </w:r>
            <w:r>
              <w:rPr>
                <w:rFonts w:hint="eastAsia"/>
                <w:b/>
                <w:bCs/>
                <w:snapToGrid w:val="0"/>
                <w:color w:val="auto"/>
                <w:kern w:val="0"/>
                <w:sz w:val="24"/>
                <w:lang w:val="en-US" w:eastAsia="zh-CN"/>
                <w:highlight w:val="none"/>
              </w:rPr>
              <w:t>2</w:t>
            </w:r>
            <w:r>
              <w:rPr>
                <w:rFonts w:hint="eastAsia"/>
                <w:b/>
                <w:bCs/>
                <w:snapToGrid w:val="0"/>
                <w:color w:val="auto"/>
                <w:kern w:val="0"/>
                <w:sz w:val="24"/>
                <w:highlight w:val="none"/>
              </w:rPr>
              <w:t>环境保护图形标志-排放口（源）</w:t>
            </w:r>
          </w:p>
          <w:tbl>
            <w:tblPr>
              <w:jc w:val="center"/>
              <w:tblW w:w="4958" w:type="pct"/>
              <w:tblBorders>
                <w:top w:val="single" w:sz="12" w:space="0" w:color="000000"/>
                <w:left w:val="none" w:sz="0" w:space="0" w:color="auto"/>
                <w:bottom w:val="single" w:sz="12" w:space="0" w:color="000000"/>
                <w:right w:val="none" w:sz="0" w:space="0" w:color="auto"/>
                <w:insideH w:val="single" w:sz="4" w:space="0" w:color="000000"/>
                <w:insideV w:val="single" w:sz="4" w:space="0" w:color="000000"/>
              </w:tblBorders>
              <w:tblLayout w:type="fixed"/>
              <w:tblCellMar>
                <w:top w:w="0" w:type="dxa"/>
                <w:left w:w="0" w:type="dxa"/>
                <w:bottom w:w="0" w:type="dxa"/>
                <w:right w:w="0" w:type="dxa"/>
              </w:tblCellMar>
              <w:tblLook w:val="0600" w:firstRow="0" w:lastRow="0" w:firstColumn="0" w:lastColumn="0" w:noHBand="1" w:noVBand="1"/>
            </w:tblPr>
            <w:tblGrid>
              <w:gridCol w:w="2428"/>
              <w:gridCol w:w="3197"/>
              <w:gridCol w:w="3229"/>
            </w:tblGrid>
            <w:tr>
              <w:trPr>
                <w:trHeight w:val="340"/>
              </w:trPr>
              <w:tc>
                <w:tcPr>
                  <w:tcW w:w="1371" w:type="pct"/>
                  <w:tcBorders>
                    <w:tl2br w:val="nil"/>
                    <w:tr2bl w:val="nil"/>
                  </w:tcBorders>
                  <w:vAlign w:val="center"/>
                </w:tcPr>
                <w:p>
                  <w:pPr>
                    <w:pStyle w:val="69"/>
                    <w:jc w:val="center"/>
                    <w:rPr>
                      <w:rFonts w:ascii="Times New Roman" w:cs="Times New Roman" w:hAnsi="Times New Roman"/>
                      <w:color w:val="auto"/>
                      <w:sz w:val="21"/>
                      <w:szCs w:val="21"/>
                      <w:lang w:eastAsia="zh-CN"/>
                      <w:highlight w:val="none"/>
                    </w:rPr>
                  </w:pPr>
                  <w:r>
                    <w:rPr>
                      <w:rFonts w:ascii="Times New Roman" w:cs="Times New Roman" w:hAnsi="Times New Roman"/>
                      <w:color w:val="auto"/>
                      <w:sz w:val="21"/>
                      <w:szCs w:val="21"/>
                      <w:lang w:eastAsia="zh-CN"/>
                      <w:highlight w:val="none"/>
                    </w:rPr>
                    <w:t>排放口</w:t>
                  </w:r>
                </w:p>
              </w:tc>
              <w:tc>
                <w:tcPr>
                  <w:tcW w:w="1805" w:type="pct"/>
                  <w:tcBorders>
                    <w:tl2br w:val="nil"/>
                    <w:tr2bl w:val="nil"/>
                  </w:tcBorders>
                  <w:vAlign w:val="center"/>
                </w:tcPr>
                <w:p>
                  <w:pPr>
                    <w:pStyle w:val="69"/>
                    <w:jc w:val="center"/>
                    <w:rPr>
                      <w:rFonts w:ascii="Times New Roman" w:cs="Times New Roman" w:hAnsi="Times New Roman"/>
                      <w:color w:val="auto"/>
                      <w:sz w:val="21"/>
                      <w:szCs w:val="21"/>
                      <w:lang w:eastAsia="zh-CN"/>
                      <w:highlight w:val="none"/>
                    </w:rPr>
                  </w:pPr>
                  <w:r>
                    <w:rPr>
                      <w:rFonts w:ascii="Times New Roman" w:cs="Times New Roman" w:hAnsi="Times New Roman"/>
                      <w:color w:val="auto"/>
                      <w:sz w:val="21"/>
                      <w:szCs w:val="21"/>
                      <w:lang w:eastAsia="zh-CN"/>
                      <w:highlight w:val="none"/>
                    </w:rPr>
                    <w:t>废气排放口</w:t>
                  </w:r>
                </w:p>
              </w:tc>
              <w:tc>
                <w:tcPr>
                  <w:tcW w:w="1823" w:type="pct"/>
                  <w:tcBorders>
                    <w:tl2br w:val="nil"/>
                    <w:tr2bl w:val="nil"/>
                  </w:tcBorders>
                  <w:vAlign w:val="center"/>
                </w:tcPr>
                <w:p>
                  <w:pPr>
                    <w:pStyle w:val="69"/>
                    <w:jc w:val="center"/>
                    <w:rPr>
                      <w:rFonts w:ascii="Times New Roman" w:cs="Times New Roman" w:hAnsi="Times New Roman"/>
                      <w:color w:val="auto"/>
                      <w:sz w:val="21"/>
                      <w:szCs w:val="21"/>
                      <w:lang w:eastAsia="zh-CN"/>
                      <w:highlight w:val="none"/>
                    </w:rPr>
                  </w:pPr>
                  <w:r>
                    <w:rPr>
                      <w:rFonts w:ascii="Times New Roman" w:cs="Times New Roman" w:hAnsi="Times New Roman"/>
                      <w:color w:val="auto"/>
                      <w:sz w:val="21"/>
                      <w:szCs w:val="21"/>
                      <w:lang w:eastAsia="zh-CN"/>
                      <w:highlight w:val="none"/>
                    </w:rPr>
                    <w:t>噪声排放源</w:t>
                  </w:r>
                </w:p>
              </w:tc>
            </w:tr>
            <w:tr>
              <w:trPr>
                <w:trHeight w:val="340"/>
              </w:trPr>
              <w:tc>
                <w:tcPr>
                  <w:tcW w:w="1371" w:type="pct"/>
                  <w:tcBorders>
                    <w:tl2br w:val="nil"/>
                    <w:tr2bl w:val="nil"/>
                  </w:tcBorders>
                  <w:vAlign w:val="center"/>
                </w:tcPr>
                <w:p>
                  <w:pPr>
                    <w:pStyle w:val="69"/>
                    <w:jc w:val="center"/>
                    <w:rPr>
                      <w:rFonts w:ascii="Times New Roman" w:cs="Times New Roman" w:hAnsi="Times New Roman"/>
                      <w:color w:val="auto"/>
                      <w:sz w:val="21"/>
                      <w:szCs w:val="21"/>
                      <w:lang w:eastAsia="zh-CN"/>
                      <w:highlight w:val="none"/>
                    </w:rPr>
                  </w:pPr>
                  <w:r>
                    <w:rPr>
                      <w:rFonts w:ascii="Times New Roman" w:cs="Times New Roman" w:hAnsi="Times New Roman"/>
                      <w:color w:val="auto"/>
                      <w:sz w:val="21"/>
                      <w:szCs w:val="21"/>
                      <w:lang w:eastAsia="zh-CN"/>
                      <w:highlight w:val="none"/>
                    </w:rPr>
                    <w:t>提示标志图形</w:t>
                  </w:r>
                </w:p>
              </w:tc>
              <w:tc>
                <w:tcPr>
                  <w:tcW w:w="1805" w:type="pct"/>
                  <w:tcBorders>
                    <w:tl2br w:val="nil"/>
                    <w:tr2bl w:val="nil"/>
                  </w:tcBorders>
                  <w:vAlign w:val="center"/>
                </w:tcPr>
                <w:p>
                  <w:pPr>
                    <w:ind w:firstLine="128"/>
                    <w:jc w:val="center"/>
                    <w:rPr>
                      <w:color w:val="auto"/>
                      <w:szCs w:val="21"/>
                      <w:highlight w:val="none"/>
                    </w:rPr>
                  </w:pPr>
                  <w:r>
                    <w:rPr>
                      <w:color w:val="auto"/>
                      <w:szCs w:val="21"/>
                      <w:highlight w:val="none"/>
                    </w:rPr>
                    <w:drawing>
                      <wp:inline distT="0" distB="0" distL="114300" distR="114300">
                        <wp:extent cx="1111250" cy="780415"/>
                        <wp:effectExtent l="0" t="0" r="0" b="1"/>
                        <wp:docPr id="156" name="图片 10" descr="废气"/>
                        <wp:cNvGraphicFramePr>
                          <a:graphicFrameLocks noChangeAspect="1"/>
                        </wp:cNvGraphicFramePr>
                        <a:graphic>
                          <a:graphicData uri="http://schemas.openxmlformats.org/drawingml/2006/picture">
                            <pic:pic>
                              <pic:nvPicPr>
                                <pic:cNvPr id="232" name="图片 10 232"/>
                                <pic:cNvPicPr/>
                              </pic:nvPicPr>
                              <pic:blipFill>
                                <a:blip r:embed="rId63"/>
                                <a:stretch>
                                  <a:fillRect/>
                                </a:stretch>
                              </pic:blipFill>
                              <pic:spPr>
                                <a:xfrm rot="0">
                                  <a:off x="0" y="0"/>
                                  <a:ext cx="1111250" cy="780415"/>
                                </a:xfrm>
                                <a:prstGeom prst="rect"/>
                                <a:noFill/>
                                <a:ln cmpd="sng" cap="flat">
                                  <a:noFill/>
                                  <a:prstDash val="solid"/>
                                  <a:round/>
                                </a:ln>
                              </pic:spPr>
                            </pic:pic>
                          </a:graphicData>
                        </a:graphic>
                      </wp:inline>
                    </w:drawing>
                  </w:r>
                </w:p>
              </w:tc>
              <w:tc>
                <w:tcPr>
                  <w:tcW w:w="1823" w:type="pct"/>
                  <w:tcBorders>
                    <w:tl2br w:val="nil"/>
                    <w:tr2bl w:val="nil"/>
                  </w:tcBorders>
                  <w:vAlign w:val="center"/>
                </w:tcPr>
                <w:p>
                  <w:pPr>
                    <w:ind w:firstLine="113"/>
                    <w:jc w:val="center"/>
                    <w:rPr>
                      <w:color w:val="auto"/>
                      <w:szCs w:val="21"/>
                      <w:highlight w:val="none"/>
                    </w:rPr>
                  </w:pPr>
                  <w:r>
                    <w:rPr>
                      <w:color w:val="auto"/>
                      <w:szCs w:val="21"/>
                      <w:highlight w:val="none"/>
                    </w:rPr>
                    <w:drawing>
                      <wp:inline distT="0" distB="0" distL="114300" distR="114300">
                        <wp:extent cx="1180465" cy="744855"/>
                        <wp:effectExtent l="0" t="0" r="1" b="1"/>
                        <wp:docPr id="157" name="图片 11" descr="噪声"/>
                        <wp:cNvGraphicFramePr>
                          <a:graphicFrameLocks noChangeAspect="1"/>
                        </wp:cNvGraphicFramePr>
                        <a:graphic>
                          <a:graphicData uri="http://schemas.openxmlformats.org/drawingml/2006/picture">
                            <pic:pic>
                              <pic:nvPicPr>
                                <pic:cNvPr id="234" name="图片 11 234"/>
                                <pic:cNvPicPr/>
                              </pic:nvPicPr>
                              <pic:blipFill>
                                <a:blip r:embed="rId64"/>
                                <a:stretch>
                                  <a:fillRect/>
                                </a:stretch>
                              </pic:blipFill>
                              <pic:spPr>
                                <a:xfrm rot="0">
                                  <a:off x="0" y="0"/>
                                  <a:ext cx="1180465" cy="744855"/>
                                </a:xfrm>
                                <a:prstGeom prst="rect"/>
                                <a:noFill/>
                                <a:ln cmpd="sng" cap="flat">
                                  <a:noFill/>
                                  <a:prstDash val="solid"/>
                                  <a:round/>
                                </a:ln>
                              </pic:spPr>
                            </pic:pic>
                          </a:graphicData>
                        </a:graphic>
                      </wp:inline>
                    </w:drawing>
                  </w:r>
                </w:p>
              </w:tc>
            </w:tr>
            <w:tr>
              <w:trPr>
                <w:trHeight w:val="340"/>
              </w:trPr>
              <w:tc>
                <w:tcPr>
                  <w:tcW w:w="1371" w:type="pct"/>
                  <w:tcBorders>
                    <w:tl2br w:val="nil"/>
                    <w:tr2bl w:val="nil"/>
                  </w:tcBorders>
                  <w:vAlign w:val="center"/>
                </w:tcPr>
                <w:p>
                  <w:pPr>
                    <w:pStyle w:val="69"/>
                    <w:jc w:val="center"/>
                    <w:rPr>
                      <w:rFonts w:ascii="Times New Roman" w:cs="Times New Roman" w:hAnsi="Times New Roman"/>
                      <w:color w:val="auto"/>
                      <w:sz w:val="21"/>
                      <w:szCs w:val="21"/>
                      <w:lang w:eastAsia="zh-CN"/>
                      <w:highlight w:val="none"/>
                    </w:rPr>
                  </w:pPr>
                  <w:r>
                    <w:rPr>
                      <w:rFonts w:ascii="Times New Roman" w:cs="Times New Roman" w:hAnsi="Times New Roman"/>
                      <w:color w:val="auto"/>
                      <w:sz w:val="21"/>
                      <w:szCs w:val="21"/>
                      <w:lang w:eastAsia="zh-CN"/>
                      <w:highlight w:val="none"/>
                    </w:rPr>
                    <w:t>警告标志图形</w:t>
                  </w:r>
                </w:p>
              </w:tc>
              <w:tc>
                <w:tcPr>
                  <w:tcW w:w="1805" w:type="pct"/>
                  <w:tcBorders>
                    <w:tl2br w:val="nil"/>
                    <w:tr2bl w:val="nil"/>
                  </w:tcBorders>
                  <w:vAlign w:val="center"/>
                </w:tcPr>
                <w:p>
                  <w:pPr>
                    <w:ind w:firstLine="68"/>
                    <w:jc w:val="center"/>
                    <w:rPr>
                      <w:color w:val="auto"/>
                      <w:szCs w:val="21"/>
                      <w:highlight w:val="none"/>
                    </w:rPr>
                  </w:pPr>
                  <w:r>
                    <w:rPr>
                      <w:color w:val="auto"/>
                      <w:highlight w:val="none"/>
                    </w:rPr>
                    <w:drawing>
                      <wp:inline distT="0" distB="0" distL="114300" distR="114300">
                        <wp:extent cx="943610" cy="1335405"/>
                        <wp:effectExtent l="0" t="0" r="0" b="1"/>
                        <wp:docPr id="158" name="图片 13"/>
                        <wp:cNvGraphicFramePr>
                          <a:graphicFrameLocks noChangeAspect="1"/>
                        </wp:cNvGraphicFramePr>
                        <a:graphic>
                          <a:graphicData uri="http://schemas.openxmlformats.org/drawingml/2006/picture">
                            <pic:pic>
                              <pic:nvPicPr>
                                <pic:cNvPr id="236" name="图片 13 236"/>
                                <pic:cNvPicPr/>
                              </pic:nvPicPr>
                              <pic:blipFill>
                                <a:blip r:embed="rId65"/>
                                <a:stretch>
                                  <a:fillRect/>
                                </a:stretch>
                              </pic:blipFill>
                              <pic:spPr>
                                <a:xfrm rot="0">
                                  <a:off x="0" y="0"/>
                                  <a:ext cx="943610" cy="1335405"/>
                                </a:xfrm>
                                <a:prstGeom prst="rect"/>
                                <a:noFill/>
                                <a:ln cmpd="sng" cap="flat">
                                  <a:noFill/>
                                  <a:prstDash val="solid"/>
                                  <a:round/>
                                </a:ln>
                              </pic:spPr>
                            </pic:pic>
                          </a:graphicData>
                        </a:graphic>
                      </wp:inline>
                    </w:drawing>
                  </w:r>
                </w:p>
              </w:tc>
              <w:tc>
                <w:tcPr>
                  <w:tcW w:w="1823" w:type="pct"/>
                  <w:tcBorders>
                    <w:tl2br w:val="nil"/>
                    <w:tr2bl w:val="nil"/>
                  </w:tcBorders>
                  <w:vAlign w:val="center"/>
                </w:tcPr>
                <w:p>
                  <w:pPr>
                    <w:ind w:firstLine="67"/>
                    <w:jc w:val="center"/>
                    <w:rPr>
                      <w:color w:val="auto"/>
                      <w:szCs w:val="21"/>
                      <w:highlight w:val="none"/>
                    </w:rPr>
                  </w:pPr>
                  <w:r>
                    <w:rPr>
                      <w:color w:val="auto"/>
                      <w:highlight w:val="none"/>
                    </w:rPr>
                    <w:drawing>
                      <wp:inline distT="0" distB="0" distL="114300" distR="114300">
                        <wp:extent cx="889635" cy="1275080"/>
                        <wp:effectExtent l="0" t="0" r="0" b="0"/>
                        <wp:docPr id="159" name="图片 14"/>
                        <wp:cNvGraphicFramePr>
                          <a:graphicFrameLocks noChangeAspect="1"/>
                        </wp:cNvGraphicFramePr>
                        <a:graphic>
                          <a:graphicData uri="http://schemas.openxmlformats.org/drawingml/2006/picture">
                            <pic:pic>
                              <pic:nvPicPr>
                                <pic:cNvPr id="238" name="图片 14 238"/>
                                <pic:cNvPicPr/>
                              </pic:nvPicPr>
                              <pic:blipFill>
                                <a:blip r:embed="rId66"/>
                                <a:stretch>
                                  <a:fillRect/>
                                </a:stretch>
                              </pic:blipFill>
                              <pic:spPr>
                                <a:xfrm rot="0">
                                  <a:off x="0" y="0"/>
                                  <a:ext cx="889635" cy="1275080"/>
                                </a:xfrm>
                                <a:prstGeom prst="rect"/>
                                <a:noFill/>
                                <a:ln cmpd="sng" cap="flat">
                                  <a:noFill/>
                                  <a:prstDash val="solid"/>
                                  <a:round/>
                                </a:ln>
                              </pic:spPr>
                            </pic:pic>
                          </a:graphicData>
                        </a:graphic>
                      </wp:inline>
                    </w:drawing>
                  </w:r>
                </w:p>
              </w:tc>
            </w:tr>
          </w:tbl>
          <w:p>
            <w:pPr>
              <w:pStyle w:val="80"/>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color w:val="auto"/>
                <w:highlight w:val="none"/>
              </w:rPr>
            </w:pPr>
            <w:r>
              <w:rPr>
                <w:color w:val="auto"/>
                <w:spacing w:val="-1"/>
                <w:highlight w:val="none"/>
              </w:rPr>
              <w:t>环境保护图形标志</w:t>
            </w:r>
            <w:r>
              <w:rPr>
                <w:rFonts w:eastAsia="Times New Roman"/>
                <w:color w:val="auto"/>
                <w:spacing w:val="-1"/>
                <w:highlight w:val="none"/>
              </w:rPr>
              <w:t>--</w:t>
            </w:r>
            <w:r>
              <w:rPr>
                <w:color w:val="auto"/>
                <w:spacing w:val="-1"/>
                <w:highlight w:val="none"/>
              </w:rPr>
              <w:t>排放口（源）的形状及颜色见下表</w:t>
            </w:r>
            <w:r>
              <w:rPr>
                <w:rFonts w:hint="eastAsia"/>
                <w:color w:val="auto"/>
                <w:spacing w:val="-1"/>
                <w:highlight w:val="none"/>
              </w:rPr>
              <w:t>：</w:t>
            </w:r>
          </w:p>
          <w:p>
            <w:pPr>
              <w:jc w:val="center"/>
              <w:rPr>
                <w:b/>
                <w:bCs/>
                <w:snapToGrid w:val="0"/>
                <w:color w:val="auto"/>
                <w:kern w:val="0"/>
                <w:sz w:val="24"/>
                <w:highlight w:val="none"/>
              </w:rPr>
            </w:pPr>
            <w:r>
              <w:rPr>
                <w:rFonts w:hint="eastAsia"/>
                <w:b/>
                <w:bCs/>
                <w:snapToGrid w:val="0"/>
                <w:color w:val="auto"/>
                <w:kern w:val="0"/>
                <w:sz w:val="24"/>
                <w:lang w:eastAsia="zh-CN"/>
                <w:highlight w:val="none"/>
              </w:rPr>
              <w:t>表</w:t>
            </w:r>
            <w:r>
              <w:rPr>
                <w:rFonts w:hint="eastAsia"/>
                <w:b/>
                <w:bCs/>
                <w:snapToGrid w:val="0"/>
                <w:color w:val="auto"/>
                <w:kern w:val="0"/>
                <w:sz w:val="24"/>
                <w:highlight w:val="none"/>
              </w:rPr>
              <w:t>4-</w:t>
            </w:r>
            <w:r>
              <w:rPr>
                <w:rFonts w:hint="eastAsia"/>
                <w:b/>
                <w:bCs/>
                <w:snapToGrid w:val="0"/>
                <w:color w:val="auto"/>
                <w:kern w:val="0"/>
                <w:sz w:val="24"/>
                <w:lang w:val="en-US" w:eastAsia="zh-CN"/>
                <w:highlight w:val="none"/>
              </w:rPr>
              <w:t>13</w:t>
            </w:r>
            <w:r>
              <w:rPr>
                <w:rFonts w:hint="eastAsia"/>
                <w:b/>
                <w:bCs/>
                <w:snapToGrid w:val="0"/>
                <w:color w:val="auto"/>
                <w:kern w:val="0"/>
                <w:sz w:val="24"/>
                <w:highlight w:val="none"/>
              </w:rPr>
              <w:t xml:space="preserve">  环境保护图形标志-排放口（源）</w:t>
            </w:r>
          </w:p>
          <w:tbl>
            <w:tblPr>
              <w:jc w:val="center"/>
              <w:tblW w:w="4997" w:type="pct"/>
              <w:tblBorders>
                <w:top w:val="single" w:sz="12" w:space="0" w:color="000000"/>
                <w:left w:val="none" w:sz="0" w:space="0" w:color="auto"/>
                <w:bottom w:val="single" w:sz="12" w:space="0" w:color="000000"/>
                <w:right w:val="none" w:sz="0" w:space="0" w:color="auto"/>
                <w:insideH w:val="single" w:sz="4" w:space="0" w:color="000000"/>
                <w:insideV w:val="single" w:sz="4" w:space="0" w:color="000000"/>
              </w:tblBorders>
              <w:tblLayout w:type="fixed"/>
              <w:tblCellMar>
                <w:top w:w="0" w:type="dxa"/>
                <w:left w:w="0" w:type="dxa"/>
                <w:bottom w:w="0" w:type="dxa"/>
                <w:right w:w="0" w:type="dxa"/>
              </w:tblCellMar>
              <w:tblLook w:val="0600" w:firstRow="0" w:lastRow="0" w:firstColumn="0" w:lastColumn="0" w:noHBand="1" w:noVBand="1"/>
            </w:tblPr>
            <w:tblGrid>
              <w:gridCol w:w="1592"/>
              <w:gridCol w:w="2189"/>
              <w:gridCol w:w="2572"/>
              <w:gridCol w:w="2571"/>
            </w:tblGrid>
            <w:tr>
              <w:trPr>
                <w:trHeight w:val="340"/>
              </w:trPr>
              <w:tc>
                <w:tcPr>
                  <w:tcW w:w="892" w:type="pct"/>
                  <w:tcBorders>
                    <w:tl2br w:val="nil"/>
                    <w:tr2bl w:val="nil"/>
                  </w:tcBorders>
                  <w:vAlign w:val="center"/>
                </w:tcPr>
                <w:p>
                  <w:pPr>
                    <w:pStyle w:val="69"/>
                    <w:jc w:val="center"/>
                    <w:rPr>
                      <w:rFonts w:ascii="Times New Roman" w:cs="Times New Roman" w:hAnsi="Times New Roman"/>
                      <w:color w:val="auto"/>
                      <w:sz w:val="21"/>
                      <w:szCs w:val="21"/>
                      <w:lang w:eastAsia="zh-CN"/>
                      <w:highlight w:val="none"/>
                    </w:rPr>
                  </w:pPr>
                  <w:r>
                    <w:rPr>
                      <w:rFonts w:ascii="Times New Roman" w:cs="Times New Roman" w:hAnsi="Times New Roman" w:hint="eastAsia"/>
                      <w:color w:val="auto"/>
                      <w:sz w:val="21"/>
                      <w:szCs w:val="21"/>
                      <w:lang w:eastAsia="zh-CN"/>
                      <w:highlight w:val="none"/>
                    </w:rPr>
                    <w:t>/</w:t>
                  </w:r>
                </w:p>
              </w:tc>
              <w:tc>
                <w:tcPr>
                  <w:tcW w:w="1226" w:type="pct"/>
                  <w:tcBorders>
                    <w:tl2br w:val="nil"/>
                    <w:tr2bl w:val="nil"/>
                  </w:tcBorders>
                  <w:vAlign w:val="center"/>
                </w:tcPr>
                <w:p>
                  <w:pPr>
                    <w:pStyle w:val="69"/>
                    <w:jc w:val="center"/>
                    <w:rPr>
                      <w:rFonts w:ascii="Times New Roman" w:cs="Times New Roman" w:hAnsi="Times New Roman"/>
                      <w:color w:val="auto"/>
                      <w:sz w:val="21"/>
                      <w:szCs w:val="21"/>
                      <w:lang w:eastAsia="zh-CN"/>
                      <w:highlight w:val="none"/>
                    </w:rPr>
                  </w:pPr>
                  <w:r>
                    <w:rPr>
                      <w:rFonts w:ascii="Times New Roman" w:cs="Times New Roman" w:hAnsi="Times New Roman" w:hint="eastAsia"/>
                      <w:color w:val="auto"/>
                      <w:sz w:val="21"/>
                      <w:szCs w:val="21"/>
                      <w:lang w:eastAsia="zh-CN"/>
                      <w:highlight w:val="none"/>
                    </w:rPr>
                    <w:t>形状</w:t>
                  </w:r>
                </w:p>
              </w:tc>
              <w:tc>
                <w:tcPr>
                  <w:tcW w:w="1441" w:type="pct"/>
                  <w:tcBorders>
                    <w:tl2br w:val="nil"/>
                    <w:tr2bl w:val="nil"/>
                  </w:tcBorders>
                  <w:vAlign w:val="center"/>
                </w:tcPr>
                <w:p>
                  <w:pPr>
                    <w:pStyle w:val="69"/>
                    <w:jc w:val="center"/>
                    <w:rPr>
                      <w:rFonts w:ascii="Times New Roman" w:cs="Times New Roman" w:hAnsi="Times New Roman"/>
                      <w:color w:val="auto"/>
                      <w:sz w:val="21"/>
                      <w:szCs w:val="21"/>
                      <w:lang w:eastAsia="zh-CN"/>
                      <w:highlight w:val="none"/>
                    </w:rPr>
                  </w:pPr>
                  <w:r>
                    <w:rPr>
                      <w:rFonts w:ascii="Times New Roman" w:cs="Times New Roman" w:hAnsi="Times New Roman" w:hint="eastAsia"/>
                      <w:color w:val="auto"/>
                      <w:sz w:val="21"/>
                      <w:szCs w:val="21"/>
                      <w:lang w:eastAsia="zh-CN"/>
                      <w:highlight w:val="none"/>
                    </w:rPr>
                    <w:t>背景颜色</w:t>
                  </w:r>
                </w:p>
              </w:tc>
              <w:tc>
                <w:tcPr>
                  <w:tcW w:w="1440" w:type="pct"/>
                  <w:tcBorders>
                    <w:tl2br w:val="nil"/>
                    <w:tr2bl w:val="nil"/>
                  </w:tcBorders>
                  <w:vAlign w:val="center"/>
                </w:tcPr>
                <w:p>
                  <w:pPr>
                    <w:pStyle w:val="69"/>
                    <w:jc w:val="center"/>
                    <w:rPr>
                      <w:rFonts w:ascii="Times New Roman" w:cs="Times New Roman" w:hAnsi="Times New Roman"/>
                      <w:color w:val="auto"/>
                      <w:sz w:val="21"/>
                      <w:szCs w:val="21"/>
                      <w:lang w:eastAsia="zh-CN"/>
                      <w:highlight w:val="none"/>
                    </w:rPr>
                  </w:pPr>
                  <w:r>
                    <w:rPr>
                      <w:rFonts w:ascii="Times New Roman" w:cs="Times New Roman" w:hAnsi="Times New Roman" w:hint="eastAsia"/>
                      <w:color w:val="auto"/>
                      <w:sz w:val="21"/>
                      <w:szCs w:val="21"/>
                      <w:lang w:eastAsia="zh-CN"/>
                      <w:highlight w:val="none"/>
                    </w:rPr>
                    <w:t>图形颜色</w:t>
                  </w:r>
                </w:p>
              </w:tc>
            </w:tr>
            <w:tr>
              <w:trPr>
                <w:trHeight w:val="340"/>
              </w:trPr>
              <w:tc>
                <w:tcPr>
                  <w:tcW w:w="892" w:type="pct"/>
                  <w:tcBorders>
                    <w:tl2br w:val="nil"/>
                    <w:tr2bl w:val="nil"/>
                  </w:tcBorders>
                  <w:vAlign w:val="center"/>
                </w:tcPr>
                <w:p>
                  <w:pPr>
                    <w:pStyle w:val="69"/>
                    <w:jc w:val="center"/>
                    <w:rPr>
                      <w:rFonts w:ascii="Times New Roman" w:cs="Times New Roman" w:hAnsi="Times New Roman"/>
                      <w:color w:val="auto"/>
                      <w:sz w:val="21"/>
                      <w:szCs w:val="21"/>
                      <w:lang w:eastAsia="zh-CN"/>
                      <w:highlight w:val="none"/>
                    </w:rPr>
                  </w:pPr>
                  <w:r>
                    <w:rPr>
                      <w:rFonts w:ascii="Times New Roman" w:cs="Times New Roman" w:hAnsi="Times New Roman" w:hint="eastAsia"/>
                      <w:color w:val="auto"/>
                      <w:sz w:val="21"/>
                      <w:szCs w:val="21"/>
                      <w:lang w:eastAsia="zh-CN"/>
                      <w:highlight w:val="none"/>
                    </w:rPr>
                    <w:t>警告标志</w:t>
                  </w:r>
                </w:p>
              </w:tc>
              <w:tc>
                <w:tcPr>
                  <w:tcW w:w="1226" w:type="pct"/>
                  <w:tcBorders>
                    <w:tl2br w:val="nil"/>
                    <w:tr2bl w:val="nil"/>
                  </w:tcBorders>
                  <w:vAlign w:val="center"/>
                </w:tcPr>
                <w:p>
                  <w:pPr>
                    <w:pStyle w:val="69"/>
                    <w:jc w:val="center"/>
                    <w:rPr>
                      <w:rFonts w:ascii="Times New Roman" w:cs="Times New Roman" w:hAnsi="Times New Roman"/>
                      <w:color w:val="auto"/>
                      <w:sz w:val="21"/>
                      <w:szCs w:val="21"/>
                      <w:lang w:eastAsia="zh-CN"/>
                      <w:highlight w:val="none"/>
                    </w:rPr>
                  </w:pPr>
                  <w:r>
                    <w:rPr>
                      <w:rFonts w:ascii="Times New Roman" w:cs="Times New Roman" w:hAnsi="Times New Roman" w:hint="eastAsia"/>
                      <w:color w:val="auto"/>
                      <w:sz w:val="21"/>
                      <w:szCs w:val="21"/>
                      <w:lang w:eastAsia="zh-CN"/>
                      <w:highlight w:val="none"/>
                    </w:rPr>
                    <w:t>三角形边框</w:t>
                  </w:r>
                </w:p>
              </w:tc>
              <w:tc>
                <w:tcPr>
                  <w:tcW w:w="1441" w:type="pct"/>
                  <w:tcBorders>
                    <w:tl2br w:val="nil"/>
                    <w:tr2bl w:val="nil"/>
                  </w:tcBorders>
                  <w:vAlign w:val="center"/>
                </w:tcPr>
                <w:p>
                  <w:pPr>
                    <w:pStyle w:val="69"/>
                    <w:jc w:val="center"/>
                    <w:rPr>
                      <w:rFonts w:ascii="Times New Roman" w:cs="Times New Roman" w:hAnsi="Times New Roman"/>
                      <w:color w:val="auto"/>
                      <w:sz w:val="21"/>
                      <w:szCs w:val="21"/>
                      <w:lang w:eastAsia="zh-CN"/>
                      <w:highlight w:val="none"/>
                    </w:rPr>
                  </w:pPr>
                  <w:r>
                    <w:rPr>
                      <w:rFonts w:ascii="Times New Roman" w:cs="Times New Roman" w:hAnsi="Times New Roman" w:hint="eastAsia"/>
                      <w:color w:val="auto"/>
                      <w:sz w:val="21"/>
                      <w:szCs w:val="21"/>
                      <w:lang w:eastAsia="zh-CN"/>
                      <w:highlight w:val="none"/>
                    </w:rPr>
                    <w:t>黄色</w:t>
                  </w:r>
                </w:p>
              </w:tc>
              <w:tc>
                <w:tcPr>
                  <w:tcW w:w="1440" w:type="pct"/>
                  <w:tcBorders>
                    <w:tl2br w:val="nil"/>
                    <w:tr2bl w:val="nil"/>
                  </w:tcBorders>
                  <w:vAlign w:val="center"/>
                </w:tcPr>
                <w:p>
                  <w:pPr>
                    <w:pStyle w:val="69"/>
                    <w:jc w:val="center"/>
                    <w:rPr>
                      <w:rFonts w:ascii="Times New Roman" w:cs="Times New Roman" w:hAnsi="Times New Roman"/>
                      <w:color w:val="auto"/>
                      <w:sz w:val="21"/>
                      <w:szCs w:val="21"/>
                      <w:lang w:eastAsia="zh-CN"/>
                      <w:highlight w:val="none"/>
                    </w:rPr>
                  </w:pPr>
                  <w:r>
                    <w:rPr>
                      <w:rFonts w:ascii="Times New Roman" w:cs="Times New Roman" w:hAnsi="Times New Roman" w:hint="eastAsia"/>
                      <w:color w:val="auto"/>
                      <w:sz w:val="21"/>
                      <w:szCs w:val="21"/>
                      <w:lang w:eastAsia="zh-CN"/>
                      <w:highlight w:val="none"/>
                    </w:rPr>
                    <w:t>黑色</w:t>
                  </w:r>
                </w:p>
              </w:tc>
            </w:tr>
            <w:tr>
              <w:trPr>
                <w:trHeight w:val="340"/>
              </w:trPr>
              <w:tc>
                <w:tcPr>
                  <w:tcW w:w="892" w:type="pct"/>
                  <w:tcBorders>
                    <w:tl2br w:val="nil"/>
                    <w:tr2bl w:val="nil"/>
                  </w:tcBorders>
                  <w:vAlign w:val="center"/>
                </w:tcPr>
                <w:p>
                  <w:pPr>
                    <w:pStyle w:val="69"/>
                    <w:jc w:val="center"/>
                    <w:rPr>
                      <w:rFonts w:ascii="Times New Roman" w:cs="Times New Roman" w:hAnsi="Times New Roman"/>
                      <w:color w:val="auto"/>
                      <w:sz w:val="21"/>
                      <w:szCs w:val="21"/>
                      <w:lang w:eastAsia="zh-CN"/>
                      <w:highlight w:val="none"/>
                    </w:rPr>
                  </w:pPr>
                  <w:r>
                    <w:rPr>
                      <w:rFonts w:ascii="Times New Roman" w:cs="Times New Roman" w:hAnsi="Times New Roman" w:hint="eastAsia"/>
                      <w:color w:val="auto"/>
                      <w:sz w:val="21"/>
                      <w:szCs w:val="21"/>
                      <w:lang w:eastAsia="zh-CN"/>
                      <w:highlight w:val="none"/>
                    </w:rPr>
                    <w:t>提示标志</w:t>
                  </w:r>
                </w:p>
              </w:tc>
              <w:tc>
                <w:tcPr>
                  <w:tcW w:w="1226" w:type="pct"/>
                  <w:tcBorders>
                    <w:tl2br w:val="nil"/>
                    <w:tr2bl w:val="nil"/>
                  </w:tcBorders>
                  <w:vAlign w:val="center"/>
                </w:tcPr>
                <w:p>
                  <w:pPr>
                    <w:pStyle w:val="69"/>
                    <w:jc w:val="center"/>
                    <w:rPr>
                      <w:rFonts w:ascii="Times New Roman" w:cs="Times New Roman" w:hAnsi="Times New Roman"/>
                      <w:color w:val="auto"/>
                      <w:sz w:val="21"/>
                      <w:szCs w:val="21"/>
                      <w:lang w:eastAsia="zh-CN"/>
                      <w:highlight w:val="none"/>
                    </w:rPr>
                  </w:pPr>
                  <w:r>
                    <w:rPr>
                      <w:rFonts w:ascii="Times New Roman" w:cs="Times New Roman" w:hAnsi="Times New Roman" w:hint="eastAsia"/>
                      <w:color w:val="auto"/>
                      <w:sz w:val="21"/>
                      <w:szCs w:val="21"/>
                      <w:lang w:eastAsia="zh-CN"/>
                      <w:highlight w:val="none"/>
                    </w:rPr>
                    <w:t>正方形边框</w:t>
                  </w:r>
                </w:p>
              </w:tc>
              <w:tc>
                <w:tcPr>
                  <w:tcW w:w="1441" w:type="pct"/>
                  <w:tcBorders>
                    <w:tl2br w:val="nil"/>
                    <w:tr2bl w:val="nil"/>
                  </w:tcBorders>
                  <w:vAlign w:val="center"/>
                </w:tcPr>
                <w:p>
                  <w:pPr>
                    <w:pStyle w:val="69"/>
                    <w:jc w:val="center"/>
                    <w:rPr>
                      <w:rFonts w:ascii="Times New Roman" w:cs="Times New Roman" w:hAnsi="Times New Roman"/>
                      <w:color w:val="auto"/>
                      <w:sz w:val="21"/>
                      <w:szCs w:val="21"/>
                      <w:lang w:eastAsia="zh-CN"/>
                      <w:highlight w:val="none"/>
                    </w:rPr>
                  </w:pPr>
                  <w:r>
                    <w:rPr>
                      <w:rFonts w:ascii="Times New Roman" w:cs="Times New Roman" w:hAnsi="Times New Roman" w:hint="eastAsia"/>
                      <w:color w:val="auto"/>
                      <w:sz w:val="21"/>
                      <w:szCs w:val="21"/>
                      <w:lang w:eastAsia="zh-CN"/>
                      <w:highlight w:val="none"/>
                    </w:rPr>
                    <w:t>绿色</w:t>
                  </w:r>
                </w:p>
              </w:tc>
              <w:tc>
                <w:tcPr>
                  <w:tcW w:w="1440" w:type="pct"/>
                  <w:tcBorders>
                    <w:tl2br w:val="nil"/>
                    <w:tr2bl w:val="nil"/>
                  </w:tcBorders>
                  <w:vAlign w:val="center"/>
                </w:tcPr>
                <w:p>
                  <w:pPr>
                    <w:pStyle w:val="69"/>
                    <w:jc w:val="center"/>
                    <w:rPr>
                      <w:rFonts w:ascii="Times New Roman" w:cs="Times New Roman" w:hAnsi="Times New Roman"/>
                      <w:color w:val="auto"/>
                      <w:sz w:val="21"/>
                      <w:szCs w:val="21"/>
                      <w:lang w:eastAsia="zh-CN"/>
                      <w:highlight w:val="none"/>
                    </w:rPr>
                  </w:pPr>
                  <w:r>
                    <w:rPr>
                      <w:rFonts w:ascii="Times New Roman" w:cs="Times New Roman" w:hAnsi="Times New Roman" w:hint="eastAsia"/>
                      <w:color w:val="auto"/>
                      <w:sz w:val="21"/>
                      <w:szCs w:val="21"/>
                      <w:lang w:eastAsia="zh-CN"/>
                      <w:highlight w:val="none"/>
                    </w:rPr>
                    <w:t>白色</w:t>
                  </w:r>
                </w:p>
              </w:tc>
            </w:tr>
          </w:tbl>
          <w:p>
            <w:pPr>
              <w:pStyle w:val="21"/>
              <w:keepNext w:val="0"/>
              <w:keepLines w:val="0"/>
              <w:pageBreakBefore w:val="0"/>
              <w:widowControl/>
              <w:kinsoku/>
              <w:wordWrap/>
              <w:overflowPunct/>
              <w:topLinePunct w:val="0"/>
              <w:autoSpaceDE/>
              <w:autoSpaceDN/>
              <w:bidi w:val="0"/>
              <w:adjustRightInd/>
              <w:snapToGrid w:val="0"/>
              <w:spacing w:before="0" w:after="0" w:line="460" w:lineRule="exact"/>
              <w:ind w:right="0" w:firstLineChars="200" w:firstLine="476"/>
              <w:textAlignment w:val="auto"/>
              <w:rPr>
                <w:color w:val="auto"/>
                <w:spacing w:val="-1"/>
                <w:kern w:val="2"/>
                <w:sz w:val="24"/>
                <w:szCs w:val="24"/>
                <w:highlight w:val="none"/>
              </w:rPr>
            </w:pPr>
            <w:r>
              <w:rPr>
                <w:color w:val="auto"/>
                <w:spacing w:val="-1"/>
                <w:kern w:val="2"/>
                <w:sz w:val="24"/>
                <w:szCs w:val="24"/>
                <w:highlight w:val="none"/>
              </w:rPr>
              <w:t>2）污染物排放口的环境保护图形标志牌应设置在靠近采样点的醒目处，标志牌设置高度为其上缘距地面约2m。</w:t>
            </w:r>
          </w:p>
          <w:p>
            <w:pPr>
              <w:pStyle w:val="21"/>
              <w:keepNext w:val="0"/>
              <w:keepLines w:val="0"/>
              <w:pageBreakBefore w:val="0"/>
              <w:widowControl/>
              <w:kinsoku/>
              <w:wordWrap/>
              <w:overflowPunct/>
              <w:topLinePunct w:val="0"/>
              <w:autoSpaceDE/>
              <w:autoSpaceDN/>
              <w:bidi w:val="0"/>
              <w:adjustRightInd/>
              <w:snapToGrid w:val="0"/>
              <w:spacing w:before="0" w:after="0" w:line="460" w:lineRule="exact"/>
              <w:ind w:right="0" w:firstLineChars="200" w:firstLine="476"/>
              <w:textAlignment w:val="auto"/>
              <w:rPr>
                <w:rFonts w:ascii="宋体" w:cs="宋体" w:hAnsi="宋体" w:hint="eastAsia"/>
                <w:color w:val="auto"/>
                <w:sz w:val="24"/>
                <w:highlight w:val="none"/>
              </w:rPr>
            </w:pPr>
            <w:r>
              <w:rPr>
                <w:color w:val="auto"/>
                <w:spacing w:val="-1"/>
                <w:kern w:val="2"/>
                <w:sz w:val="24"/>
                <w:szCs w:val="24"/>
                <w:highlight w:val="none"/>
              </w:rPr>
              <w:t>3）采样点设置应符合</w:t>
            </w:r>
            <w:r>
              <w:rPr>
                <w:rFonts w:hint="eastAsia"/>
                <w:color w:val="auto"/>
                <w:spacing w:val="-1"/>
                <w:kern w:val="2"/>
                <w:sz w:val="24"/>
                <w:szCs w:val="24"/>
                <w:highlight w:val="none"/>
              </w:rPr>
              <w:t>《排污单位污染物排放口监测点位设置技术规范》（HJ 1405—2024）</w:t>
            </w:r>
            <w:r>
              <w:rPr>
                <w:color w:val="auto"/>
                <w:spacing w:val="-1"/>
                <w:kern w:val="2"/>
                <w:sz w:val="24"/>
                <w:szCs w:val="24"/>
                <w:highlight w:val="none"/>
              </w:rPr>
              <w:t>的规定，</w:t>
            </w:r>
            <w:r>
              <w:rPr>
                <w:rFonts w:hint="eastAsia"/>
                <w:color w:val="auto"/>
                <w:spacing w:val="-1"/>
                <w:kern w:val="2"/>
                <w:sz w:val="24"/>
                <w:szCs w:val="24"/>
                <w:highlight w:val="none"/>
              </w:rPr>
              <w:t>应在废气排放口设置科学、规范、便于采样监测的监测点位，避开对测试人员操作有危险的场所。在流场均匀稳定的监测断面规范开设监测孔，设置工作平台、梯架及相应安全防护设施等</w:t>
            </w:r>
            <w:r>
              <w:rPr>
                <w:color w:val="auto"/>
                <w:spacing w:val="-1"/>
                <w:kern w:val="2"/>
                <w:sz w:val="24"/>
                <w:szCs w:val="24"/>
                <w:highlight w:val="none"/>
              </w:rPr>
              <w:t>。</w:t>
            </w:r>
            <w:r>
              <w:rPr>
                <w:rFonts w:hint="eastAsia"/>
                <w:color w:val="auto"/>
                <w:spacing w:val="-1"/>
                <w:kern w:val="2"/>
                <w:sz w:val="24"/>
                <w:szCs w:val="24"/>
                <w:highlight w:val="none"/>
              </w:rPr>
              <w:t>手工监测断面设置位置应满足，其按照气流方向的上游距离弯头、阀门、变径管≥4 倍烟道直径，其下游距离上述部件≥2倍烟道直径</w:t>
            </w:r>
            <w:r>
              <w:rPr>
                <w:color w:val="auto"/>
                <w:spacing w:val="-1"/>
                <w:kern w:val="2"/>
                <w:sz w:val="24"/>
                <w:szCs w:val="24"/>
                <w:highlight w:val="none"/>
              </w:rPr>
              <w:t>。在手工监测断面处设置手工监测孔，其内径应满足相关污染物和排气参数的监测需要，一般应≥80 mm。监测断面距离坠落高度基准面2 m以上时，应配套建设永久、安全、便于采样和测试的工作平台。除在水平烟道顶部开设监测孔外，工作平台宜设置在监测孔的正下方1.2 m~1.3 m处。</w:t>
            </w:r>
          </w:p>
        </w:tc>
      </w:tr>
    </w:tbl>
    <w:p>
      <w:pPr>
        <w:pStyle w:val="35"/>
        <w:jc w:val="center"/>
        <w:outlineLvl w:val="0"/>
        <w:rPr>
          <w:rFonts w:ascii="黑体" w:eastAsia="黑体" w:hAnsi="黑体" w:hint="eastAsia"/>
          <w:snapToGrid w:val="0"/>
          <w:color w:val="auto"/>
          <w:sz w:val="30"/>
          <w:szCs w:val="30"/>
          <w:highlight w:val="none"/>
        </w:rPr>
      </w:pPr>
      <w:bookmarkStart w:id="55" w:name="_Toc30281"/>
      <w:bookmarkStart w:id="56" w:name="_Toc2913"/>
      <w:bookmarkStart w:id="57" w:name="_Toc1860"/>
      <w:bookmarkStart w:id="58" w:name="_Toc18085"/>
      <w:bookmarkStart w:id="59" w:name="_Toc30322"/>
      <w:r>
        <w:rPr>
          <w:rFonts w:ascii="黑体" w:eastAsia="黑体" w:hAnsi="黑体" w:hint="eastAsia"/>
          <w:snapToGrid w:val="0"/>
          <w:color w:val="auto"/>
          <w:sz w:val="30"/>
          <w:szCs w:val="30"/>
          <w:highlight w:val="none"/>
        </w:rPr>
        <w:t>五、</w:t>
      </w:r>
      <w:bookmarkStart w:id="60" w:name="_Hlk54167917"/>
      <w:r>
        <w:rPr>
          <w:rFonts w:ascii="黑体" w:eastAsia="黑体" w:hAnsi="黑体" w:hint="eastAsia"/>
          <w:snapToGrid w:val="0"/>
          <w:color w:val="auto"/>
          <w:sz w:val="30"/>
          <w:szCs w:val="30"/>
          <w:highlight w:val="none"/>
        </w:rPr>
        <w:t>环境保护措施监督检查清单</w:t>
      </w:r>
      <w:bookmarkEnd w:id="55"/>
      <w:bookmarkEnd w:id="56"/>
      <w:bookmarkEnd w:id="57"/>
      <w:bookmarkEnd w:id="58"/>
      <w:bookmarkEnd w:id="59"/>
      <w:bookmarkEnd w:id="60"/>
    </w:p>
    <w:tbl>
      <w:tblPr>
        <w:jc w:val="center"/>
        <w:tblW w:w="4992" w:type="pct"/>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top w:w="0" w:type="dxa"/>
          <w:left w:w="108" w:type="dxa"/>
          <w:bottom w:w="0" w:type="dxa"/>
          <w:right w:w="108" w:type="dxa"/>
        </w:tblCellMar>
        <w:tblLook w:val="0600" w:firstRow="0" w:lastRow="0" w:firstColumn="0" w:lastColumn="0" w:noHBand="1" w:noVBand="1"/>
      </w:tblPr>
      <w:tblGrid>
        <w:gridCol w:w="908"/>
        <w:gridCol w:w="1698"/>
        <w:gridCol w:w="1640"/>
        <w:gridCol w:w="2629"/>
        <w:gridCol w:w="2725"/>
      </w:tblGrid>
      <w:tr>
        <w:trPr>
          <w:trHeight w:val="340"/>
        </w:trPr>
        <w:tc>
          <w:tcPr>
            <w:tcW w:w="473" w:type="pct"/>
            <w:tcBorders>
              <w:tl2br w:val="single" w:sz="4" w:space="0" w:color="auto"/>
            </w:tcBorders>
            <w:tcMar>
              <w:left w:w="11" w:type="dxa"/>
              <w:right w:w="11" w:type="dxa"/>
            </w:tcMar>
            <w:vAlign w:val="center"/>
          </w:tcPr>
          <w:p>
            <w:pPr>
              <w:adjustRightInd w:val="0"/>
              <w:snapToGrid w:val="0"/>
              <w:jc w:val="center"/>
              <w:rPr>
                <w:rFonts w:ascii="宋体" w:cs="宋体" w:hAnsi="宋体" w:hint="eastAsia"/>
                <w:color w:val="auto"/>
                <w:sz w:val="24"/>
                <w:highlight w:val="none"/>
              </w:rPr>
            </w:pPr>
            <w:r>
              <w:rPr>
                <w:rFonts w:ascii="宋体" w:cs="宋体" w:hAnsi="宋体" w:hint="eastAsia"/>
                <w:color w:val="auto"/>
                <w:sz w:val="24"/>
                <w:lang w:val="en-US" w:eastAsia="zh-CN"/>
                <w:highlight w:val="none"/>
              </w:rPr>
              <w:t xml:space="preserve">  </w:t>
            </w:r>
            <w:r>
              <w:rPr>
                <w:rFonts w:ascii="宋体" w:cs="宋体" w:hAnsi="宋体" w:hint="eastAsia"/>
                <w:color w:val="auto"/>
                <w:sz w:val="24"/>
                <w:highlight w:val="none"/>
              </w:rPr>
              <w:t>内容</w:t>
            </w:r>
          </w:p>
          <w:p>
            <w:pPr>
              <w:adjustRightInd w:val="0"/>
              <w:snapToGrid w:val="0"/>
              <w:jc w:val="both"/>
              <w:rPr>
                <w:rFonts w:ascii="宋体" w:cs="宋体" w:hAnsi="宋体" w:hint="eastAsia"/>
                <w:color w:val="auto"/>
                <w:sz w:val="24"/>
                <w:highlight w:val="none"/>
              </w:rPr>
            </w:pPr>
            <w:r>
              <w:rPr>
                <w:rFonts w:ascii="宋体" w:cs="宋体" w:hAnsi="宋体" w:hint="eastAsia"/>
                <w:color w:val="auto"/>
                <w:sz w:val="24"/>
                <w:highlight w:val="none"/>
              </w:rPr>
              <w:t>要素</w:t>
            </w:r>
          </w:p>
        </w:tc>
        <w:tc>
          <w:tcPr>
            <w:tcW w:w="884" w:type="pct"/>
            <w:tcMar>
              <w:left w:w="11" w:type="dxa"/>
              <w:right w:w="11" w:type="dxa"/>
            </w:tcMar>
            <w:vAlign w:val="center"/>
          </w:tcPr>
          <w:p>
            <w:pPr>
              <w:adjustRightInd w:val="0"/>
              <w:snapToGrid w:val="0"/>
              <w:jc w:val="center"/>
              <w:rPr>
                <w:rFonts w:ascii="宋体" w:cs="宋体" w:hAnsi="宋体" w:hint="eastAsia"/>
                <w:color w:val="auto"/>
                <w:sz w:val="24"/>
                <w:highlight w:val="none"/>
              </w:rPr>
            </w:pPr>
            <w:r>
              <w:rPr>
                <w:rFonts w:ascii="宋体" w:cs="宋体" w:hAnsi="宋体" w:hint="eastAsia"/>
                <w:color w:val="auto"/>
                <w:sz w:val="24"/>
                <w:highlight w:val="none"/>
              </w:rPr>
              <w:t>排放口</w:t>
            </w:r>
            <w:r>
              <w:rPr>
                <w:rFonts w:ascii="宋体" w:cs="宋体" w:hAnsi="宋体" w:hint="eastAsia"/>
                <w:color w:val="auto"/>
                <w:sz w:val="24"/>
                <w:lang w:eastAsia="zh-CN"/>
                <w:highlight w:val="none"/>
              </w:rPr>
              <w:t>（</w:t>
            </w:r>
            <w:r>
              <w:rPr>
                <w:rFonts w:ascii="宋体" w:cs="宋体" w:hAnsi="宋体" w:hint="eastAsia"/>
                <w:color w:val="auto"/>
                <w:sz w:val="24"/>
                <w:highlight w:val="none"/>
              </w:rPr>
              <w:t>编号、</w:t>
            </w:r>
          </w:p>
          <w:p>
            <w:pPr>
              <w:adjustRightInd w:val="0"/>
              <w:snapToGrid w:val="0"/>
              <w:jc w:val="center"/>
              <w:rPr>
                <w:rFonts w:ascii="宋体" w:cs="宋体" w:hAnsi="宋体" w:hint="eastAsia"/>
                <w:color w:val="auto"/>
                <w:sz w:val="24"/>
                <w:highlight w:val="none"/>
              </w:rPr>
            </w:pPr>
            <w:r>
              <w:rPr>
                <w:rFonts w:ascii="宋体" w:cs="宋体" w:hAnsi="宋体" w:hint="eastAsia"/>
                <w:color w:val="auto"/>
                <w:sz w:val="24"/>
                <w:highlight w:val="none"/>
              </w:rPr>
              <w:t>名称）/污染源</w:t>
            </w:r>
          </w:p>
        </w:tc>
        <w:tc>
          <w:tcPr>
            <w:tcW w:w="854" w:type="pct"/>
            <w:tcMar>
              <w:left w:w="11" w:type="dxa"/>
              <w:right w:w="11" w:type="dxa"/>
            </w:tcMar>
            <w:vAlign w:val="center"/>
          </w:tcPr>
          <w:p>
            <w:pPr>
              <w:adjustRightInd w:val="0"/>
              <w:snapToGrid w:val="0"/>
              <w:jc w:val="center"/>
              <w:rPr>
                <w:rFonts w:ascii="宋体" w:cs="宋体" w:hAnsi="宋体" w:hint="eastAsia"/>
                <w:color w:val="auto"/>
                <w:sz w:val="24"/>
                <w:highlight w:val="none"/>
              </w:rPr>
            </w:pPr>
            <w:r>
              <w:rPr>
                <w:rFonts w:ascii="宋体" w:cs="宋体" w:hAnsi="宋体" w:hint="eastAsia"/>
                <w:color w:val="auto"/>
                <w:sz w:val="24"/>
                <w:highlight w:val="none"/>
              </w:rPr>
              <w:t>污染物项目</w:t>
            </w:r>
          </w:p>
        </w:tc>
        <w:tc>
          <w:tcPr>
            <w:tcW w:w="1369" w:type="pct"/>
            <w:tcMar>
              <w:left w:w="11" w:type="dxa"/>
              <w:right w:w="11" w:type="dxa"/>
            </w:tcMar>
            <w:vAlign w:val="center"/>
          </w:tcPr>
          <w:p>
            <w:pPr>
              <w:adjustRightInd w:val="0"/>
              <w:snapToGrid w:val="0"/>
              <w:jc w:val="center"/>
              <w:rPr>
                <w:rFonts w:ascii="宋体" w:cs="宋体" w:hAnsi="宋体" w:hint="eastAsia"/>
                <w:color w:val="auto"/>
                <w:sz w:val="24"/>
                <w:highlight w:val="none"/>
              </w:rPr>
            </w:pPr>
            <w:r>
              <w:rPr>
                <w:rFonts w:ascii="宋体" w:cs="宋体" w:hAnsi="宋体" w:hint="eastAsia"/>
                <w:color w:val="auto"/>
                <w:sz w:val="24"/>
                <w:highlight w:val="none"/>
              </w:rPr>
              <w:t>环境保护措施</w:t>
            </w:r>
          </w:p>
        </w:tc>
        <w:tc>
          <w:tcPr>
            <w:tcW w:w="1418" w:type="pct"/>
            <w:tcMar>
              <w:left w:w="11" w:type="dxa"/>
              <w:right w:w="11" w:type="dxa"/>
            </w:tcMar>
            <w:vAlign w:val="center"/>
          </w:tcPr>
          <w:p>
            <w:pPr>
              <w:adjustRightInd w:val="0"/>
              <w:snapToGrid w:val="0"/>
              <w:jc w:val="center"/>
              <w:rPr>
                <w:rFonts w:ascii="宋体" w:cs="宋体" w:hAnsi="宋体" w:hint="eastAsia"/>
                <w:color w:val="auto"/>
                <w:sz w:val="24"/>
                <w:highlight w:val="none"/>
              </w:rPr>
            </w:pPr>
            <w:r>
              <w:rPr>
                <w:rFonts w:ascii="宋体" w:cs="宋体" w:hAnsi="宋体" w:hint="eastAsia"/>
                <w:color w:val="auto"/>
                <w:sz w:val="24"/>
                <w:highlight w:val="none"/>
              </w:rPr>
              <w:t>执行标准</w:t>
            </w:r>
          </w:p>
        </w:tc>
      </w:tr>
      <w:tr>
        <w:trPr>
          <w:trHeight w:val="1214"/>
        </w:trPr>
        <w:tc>
          <w:tcPr>
            <w:tcW w:w="473" w:type="pct"/>
            <w:vMerge w:val="restart"/>
            <w:tcMar>
              <w:left w:w="11" w:type="dxa"/>
              <w:right w:w="11" w:type="dxa"/>
            </w:tcMar>
            <w:vAlign w:val="center"/>
          </w:tcPr>
          <w:p>
            <w:pPr>
              <w:adjustRightInd w:val="0"/>
              <w:snapToGrid w:val="0"/>
              <w:jc w:val="center"/>
              <w:rPr>
                <w:rFonts w:ascii="宋体" w:cs="宋体" w:hAnsi="宋体" w:hint="eastAsia"/>
                <w:color w:val="auto"/>
                <w:sz w:val="24"/>
                <w:highlight w:val="none"/>
              </w:rPr>
            </w:pPr>
            <w:r>
              <w:rPr>
                <w:rFonts w:ascii="宋体" w:cs="宋体" w:hAnsi="宋体" w:hint="eastAsia"/>
                <w:color w:val="auto"/>
                <w:sz w:val="24"/>
                <w:highlight w:val="none"/>
              </w:rPr>
              <w:t>大气环境</w:t>
            </w:r>
          </w:p>
        </w:tc>
        <w:tc>
          <w:tcPr>
            <w:tcW w:w="884" w:type="pct"/>
            <w:tcBorders>
              <w:left w:val="single" w:sz="4" w:space="0" w:color="auto"/>
            </w:tcBorders>
            <w:tcMar>
              <w:left w:w="11" w:type="dxa"/>
              <w:right w:w="11" w:type="dxa"/>
            </w:tcMar>
            <w:vAlign w:val="center"/>
          </w:tcPr>
          <w:p>
            <w:pPr>
              <w:adjustRightInd w:val="0"/>
              <w:snapToGrid w:val="0"/>
              <w:jc w:val="center"/>
              <w:rPr>
                <w:rFonts w:ascii="宋体" w:cs="宋体" w:hAnsi="宋体"/>
                <w:color w:val="auto"/>
                <w:sz w:val="24"/>
                <w:lang w:val="en-US" w:eastAsia="zh-CN"/>
                <w:highlight w:val="none"/>
              </w:rPr>
            </w:pPr>
            <w:r>
              <w:rPr>
                <w:rFonts w:ascii="Times New Roman" w:cs="Times New Roman" w:hAnsi="Times New Roman" w:hint="eastAsia"/>
                <w:color w:val="auto"/>
                <w:sz w:val="24"/>
                <w:lang w:val="en-US" w:eastAsia="zh-CN"/>
                <w:highlight w:val="none"/>
              </w:rPr>
              <w:t>DA001</w:t>
            </w:r>
          </w:p>
        </w:tc>
        <w:tc>
          <w:tcPr>
            <w:tcW w:w="854" w:type="pct"/>
            <w:tcBorders>
              <w:left w:val="single" w:sz="4" w:space="0" w:color="auto"/>
            </w:tcBorders>
            <w:tcMar>
              <w:left w:w="11" w:type="dxa"/>
              <w:right w:w="11" w:type="dxa"/>
            </w:tcMar>
            <w:vAlign w:val="center"/>
          </w:tcPr>
          <w:p>
            <w:pPr>
              <w:widowControl/>
              <w:adjustRightInd w:val="0"/>
              <w:snapToGrid w:val="0"/>
              <w:jc w:val="center"/>
              <w:rPr>
                <w:rFonts w:eastAsia="宋体" w:hint="eastAsia"/>
                <w:bCs/>
                <w:color w:val="auto"/>
                <w:kern w:val="0"/>
                <w:sz w:val="24"/>
                <w:lang w:eastAsia="zh-CN"/>
                <w:highlight w:val="none"/>
              </w:rPr>
            </w:pPr>
            <w:r>
              <w:rPr>
                <w:rFonts w:hint="eastAsia"/>
                <w:bCs/>
                <w:color w:val="auto"/>
                <w:kern w:val="0"/>
                <w:sz w:val="24"/>
                <w:lang w:eastAsia="zh-CN"/>
                <w:highlight w:val="none"/>
              </w:rPr>
              <w:t>硫酸雾</w:t>
            </w:r>
          </w:p>
        </w:tc>
        <w:tc>
          <w:tcPr>
            <w:tcW w:w="1369" w:type="pct"/>
            <w:tcBorders>
              <w:left w:val="single" w:sz="4" w:space="0" w:color="auto"/>
            </w:tcBorders>
            <w:tcMar>
              <w:left w:w="11" w:type="dxa"/>
              <w:right w:w="11" w:type="dxa"/>
            </w:tcMar>
            <w:vAlign w:val="center"/>
          </w:tcPr>
          <w:p>
            <w:pPr>
              <w:widowControl/>
              <w:adjustRightInd w:val="0"/>
              <w:snapToGrid w:val="0"/>
              <w:jc w:val="center"/>
              <w:rPr>
                <w:rFonts w:ascii="Times New Roman" w:eastAsia="宋体" w:cs="Times New Roman" w:hAnsi="Times New Roman" w:hint="eastAsia"/>
                <w:color w:val="auto"/>
                <w:kern w:val="2"/>
                <w:sz w:val="24"/>
                <w:szCs w:val="24"/>
                <w:lang w:val="en-US" w:eastAsia="zh-CN" w:bidi="ar-SA"/>
                <w:highlight w:val="none"/>
              </w:rPr>
            </w:pPr>
            <w:r>
              <w:rPr>
                <w:rFonts w:ascii="Times New Roman" w:eastAsia="宋体" w:cs="Times New Roman" w:hAnsi="Times New Roman" w:hint="eastAsia"/>
                <w:color w:val="auto"/>
                <w:kern w:val="2"/>
                <w:sz w:val="24"/>
                <w:szCs w:val="24"/>
                <w:lang w:val="en-US" w:eastAsia="zh-CN" w:bidi="ar-SA"/>
                <w:highlight w:val="none"/>
              </w:rPr>
              <w:t>负压</w:t>
            </w:r>
            <w:r>
              <w:rPr>
                <w:rFonts w:cs="Times New Roman" w:hint="eastAsia"/>
                <w:color w:val="auto"/>
                <w:kern w:val="2"/>
                <w:sz w:val="24"/>
                <w:szCs w:val="24"/>
                <w:lang w:val="en-US" w:eastAsia="zh-CN" w:bidi="ar-SA"/>
                <w:highlight w:val="none"/>
              </w:rPr>
              <w:t>收集</w:t>
            </w:r>
            <w:r>
              <w:rPr>
                <w:rFonts w:ascii="Times New Roman" w:eastAsia="宋体" w:cs="Times New Roman" w:hAnsi="Times New Roman" w:hint="eastAsia"/>
                <w:color w:val="auto"/>
                <w:kern w:val="2"/>
                <w:sz w:val="24"/>
                <w:szCs w:val="24"/>
                <w:lang w:val="en-US" w:eastAsia="zh-CN" w:bidi="ar-SA"/>
                <w:highlight w:val="none"/>
              </w:rPr>
              <w:t>+碱液喷淋设施处理+15m排气筒</w:t>
            </w:r>
          </w:p>
        </w:tc>
        <w:tc>
          <w:tcPr>
            <w:tcW w:w="1418" w:type="pct"/>
            <w:vMerge w:val="restart"/>
            <w:tcBorders>
              <w:left w:val="single" w:sz="4" w:space="0" w:color="auto"/>
            </w:tcBorders>
            <w:tcMar>
              <w:left w:w="11" w:type="dxa"/>
              <w:right w:w="11" w:type="dxa"/>
            </w:tcMar>
            <w:vAlign w:val="center"/>
          </w:tcPr>
          <w:p>
            <w:pPr>
              <w:widowControl/>
              <w:adjustRightInd w:val="0"/>
              <w:snapToGrid w:val="0"/>
              <w:jc w:val="center"/>
              <w:rPr>
                <w:rFonts w:ascii="Times New Roman" w:eastAsia="宋体" w:cs="Times New Roman" w:hAnsi="Times New Roman" w:hint="eastAsia"/>
                <w:color w:val="auto"/>
                <w:kern w:val="2"/>
                <w:sz w:val="24"/>
                <w:szCs w:val="24"/>
                <w:lang w:val="en-US" w:eastAsia="zh-CN" w:bidi="ar-SA"/>
                <w:highlight w:val="none"/>
              </w:rPr>
            </w:pPr>
            <w:r>
              <w:rPr>
                <w:rFonts w:ascii="Times New Roman" w:eastAsia="宋体" w:cs="Times New Roman" w:hAnsi="Times New Roman" w:hint="eastAsia"/>
                <w:color w:val="auto"/>
                <w:kern w:val="2"/>
                <w:sz w:val="24"/>
                <w:szCs w:val="24"/>
                <w:lang w:val="en-US" w:eastAsia="zh-CN" w:bidi="ar-SA"/>
                <w:highlight w:val="none"/>
              </w:rPr>
              <w:t>《大气污染物综合排放标准》（GB19297-1996）</w:t>
            </w:r>
            <w:r>
              <w:rPr>
                <w:rFonts w:cs="Times New Roman" w:hint="eastAsia"/>
                <w:color w:val="auto"/>
                <w:kern w:val="2"/>
                <w:sz w:val="24"/>
                <w:szCs w:val="24"/>
                <w:lang w:val="en-US" w:eastAsia="zh-CN" w:bidi="ar-SA"/>
                <w:highlight w:val="none"/>
              </w:rPr>
              <w:t>表2</w:t>
            </w:r>
            <w:r>
              <w:rPr>
                <w:rFonts w:ascii="Times New Roman" w:eastAsia="宋体" w:cs="Times New Roman" w:hAnsi="Times New Roman" w:hint="eastAsia"/>
                <w:color w:val="auto"/>
                <w:kern w:val="2"/>
                <w:sz w:val="24"/>
                <w:szCs w:val="24"/>
                <w:lang w:val="en-US" w:eastAsia="zh-CN" w:bidi="ar-SA"/>
                <w:highlight w:val="none"/>
              </w:rPr>
              <w:t>排放要求</w:t>
            </w:r>
            <w:r>
              <w:rPr>
                <w:rFonts w:cs="Times New Roman" w:hint="eastAsia"/>
                <w:color w:val="auto"/>
                <w:kern w:val="2"/>
                <w:sz w:val="24"/>
                <w:szCs w:val="24"/>
                <w:lang w:val="en-US" w:eastAsia="zh-CN" w:bidi="ar-SA"/>
                <w:highlight w:val="none"/>
              </w:rPr>
              <w:t>；同时参考《电池工业污染物排放标准》（GB 30484-2013）执行</w:t>
            </w:r>
          </w:p>
        </w:tc>
      </w:tr>
      <w:tr>
        <w:trPr>
          <w:trHeight w:val="1115"/>
        </w:trPr>
        <w:tc>
          <w:tcPr>
            <w:tcW w:w="473" w:type="pct"/>
            <w:vMerge/>
            <w:tcMar>
              <w:left w:w="11" w:type="dxa"/>
              <w:right w:w="11" w:type="dxa"/>
            </w:tcMar>
            <w:vAlign w:val="center"/>
          </w:tcPr>
          <w:p/>
        </w:tc>
        <w:tc>
          <w:tcPr>
            <w:tcW w:w="884" w:type="pct"/>
            <w:tcBorders>
              <w:left w:val="single" w:sz="4" w:space="0" w:color="auto"/>
            </w:tcBorders>
            <w:tcMar>
              <w:left w:w="11" w:type="dxa"/>
              <w:right w:w="11" w:type="dxa"/>
            </w:tcMar>
            <w:vAlign w:val="center"/>
          </w:tcPr>
          <w:p>
            <w:pPr>
              <w:widowControl/>
              <w:adjustRightInd w:val="0"/>
              <w:snapToGrid w:val="0"/>
              <w:jc w:val="center"/>
              <w:rPr>
                <w:rFonts w:ascii="宋体" w:cs="宋体" w:hAnsi="宋体" w:hint="eastAsia"/>
                <w:color w:val="auto"/>
                <w:sz w:val="24"/>
                <w:lang w:val="en-US" w:eastAsia="zh-CN"/>
                <w:highlight w:val="none"/>
              </w:rPr>
            </w:pPr>
            <w:r>
              <w:rPr>
                <w:rFonts w:ascii="宋体" w:cs="宋体" w:hAnsi="宋体" w:hint="eastAsia"/>
                <w:color w:val="auto"/>
                <w:sz w:val="24"/>
                <w:lang w:val="en-US" w:eastAsia="zh-CN"/>
                <w:highlight w:val="none"/>
              </w:rPr>
              <w:t>厂界</w:t>
            </w:r>
          </w:p>
        </w:tc>
        <w:tc>
          <w:tcPr>
            <w:tcW w:w="854" w:type="pct"/>
            <w:tcBorders>
              <w:left w:val="single" w:sz="4" w:space="0" w:color="auto"/>
            </w:tcBorders>
            <w:tcMar>
              <w:left w:w="11" w:type="dxa"/>
              <w:right w:w="11" w:type="dxa"/>
            </w:tcMar>
            <w:vAlign w:val="center"/>
          </w:tcPr>
          <w:p>
            <w:pPr>
              <w:widowControl/>
              <w:adjustRightInd w:val="0"/>
              <w:snapToGrid w:val="0"/>
              <w:jc w:val="center"/>
              <w:rPr>
                <w:rFonts w:hint="eastAsia"/>
                <w:color w:val="auto"/>
                <w:sz w:val="24"/>
                <w:lang w:val="en-US" w:eastAsia="zh-CN"/>
                <w:highlight w:val="none"/>
              </w:rPr>
            </w:pPr>
            <w:r>
              <w:rPr>
                <w:rFonts w:hint="eastAsia"/>
                <w:color w:val="auto"/>
                <w:sz w:val="24"/>
                <w:lang w:val="en-US" w:eastAsia="zh-CN"/>
                <w:highlight w:val="none"/>
              </w:rPr>
              <w:t>硫酸雾</w:t>
            </w:r>
          </w:p>
        </w:tc>
        <w:tc>
          <w:tcPr>
            <w:tcW w:w="1369" w:type="pct"/>
            <w:tcBorders>
              <w:left w:val="single" w:sz="4" w:space="0" w:color="auto"/>
            </w:tcBorders>
            <w:tcMar>
              <w:left w:w="11" w:type="dxa"/>
              <w:right w:w="11" w:type="dxa"/>
            </w:tcMar>
            <w:vAlign w:val="center"/>
          </w:tcPr>
          <w:p>
            <w:pPr>
              <w:widowControl/>
              <w:adjustRightInd w:val="0"/>
              <w:snapToGrid w:val="0"/>
              <w:jc w:val="center"/>
              <w:rPr>
                <w:rFonts w:ascii="Times New Roman" w:eastAsia="宋体" w:cs="Times New Roman" w:hAnsi="Times New Roman" w:hint="eastAsia"/>
                <w:color w:val="auto"/>
                <w:kern w:val="2"/>
                <w:sz w:val="24"/>
                <w:szCs w:val="24"/>
                <w:lang w:val="en-US" w:eastAsia="zh-CN" w:bidi="ar-SA"/>
                <w:highlight w:val="none"/>
              </w:rPr>
            </w:pPr>
            <w:r>
              <w:rPr>
                <w:rFonts w:cs="Times New Roman" w:hint="eastAsia"/>
                <w:color w:val="auto"/>
                <w:kern w:val="2"/>
                <w:sz w:val="24"/>
                <w:szCs w:val="24"/>
                <w:lang w:val="en-US" w:eastAsia="zh-CN" w:bidi="ar-SA"/>
                <w:highlight w:val="none"/>
              </w:rPr>
              <w:t>无组织</w:t>
            </w:r>
          </w:p>
        </w:tc>
        <w:tc>
          <w:tcPr>
            <w:tcW w:w="1418" w:type="pct"/>
            <w:vMerge/>
            <w:tcBorders>
              <w:left w:val="single" w:sz="4" w:space="0" w:color="auto"/>
            </w:tcBorders>
            <w:tcMar>
              <w:left w:w="11" w:type="dxa"/>
              <w:right w:w="11" w:type="dxa"/>
            </w:tcMar>
            <w:vAlign w:val="center"/>
          </w:tcPr>
          <w:p/>
        </w:tc>
      </w:tr>
      <w:tr>
        <w:trPr>
          <w:trHeight w:val="2194"/>
        </w:trPr>
        <w:tc>
          <w:tcPr>
            <w:tcW w:w="473" w:type="pct"/>
            <w:tcMar>
              <w:left w:w="11" w:type="dxa"/>
              <w:right w:w="11" w:type="dxa"/>
            </w:tcMar>
            <w:vAlign w:val="center"/>
          </w:tcPr>
          <w:p>
            <w:pPr>
              <w:adjustRightInd w:val="0"/>
              <w:snapToGrid w:val="0"/>
              <w:jc w:val="center"/>
              <w:rPr>
                <w:color w:val="auto"/>
                <w:sz w:val="24"/>
                <w:highlight w:val="none"/>
              </w:rPr>
            </w:pPr>
            <w:r>
              <w:rPr>
                <w:rFonts w:hint="eastAsia"/>
                <w:color w:val="auto"/>
                <w:sz w:val="24"/>
                <w:highlight w:val="none"/>
              </w:rPr>
              <w:t>地表水环境</w:t>
            </w:r>
          </w:p>
        </w:tc>
        <w:tc>
          <w:tcPr>
            <w:tcW w:w="884" w:type="pct"/>
            <w:tcBorders>
              <w:left w:val="single" w:sz="4" w:space="0" w:color="auto"/>
            </w:tcBorders>
            <w:tcMar>
              <w:left w:w="11" w:type="dxa"/>
              <w:right w:w="11" w:type="dxa"/>
            </w:tcMar>
            <w:vAlign w:val="center"/>
          </w:tcPr>
          <w:p>
            <w:pPr>
              <w:pStyle w:val="16"/>
              <w:spacing w:line="240" w:lineRule="auto"/>
              <w:ind w:firstLineChars="0" w:firstLine="0"/>
              <w:jc w:val="center"/>
              <w:rPr>
                <w:rFonts w:ascii="宋体" w:eastAsia="宋体" w:cs="宋体" w:hAnsi="宋体"/>
                <w:color w:val="auto"/>
                <w:kern w:val="2"/>
                <w:sz w:val="24"/>
                <w:szCs w:val="24"/>
                <w:lang w:val="en-US" w:eastAsia="zh-CN" w:bidi="ar-SA"/>
                <w:highlight w:val="none"/>
              </w:rPr>
            </w:pPr>
            <w:r>
              <w:rPr>
                <w:rFonts w:ascii="宋体" w:eastAsia="宋体" w:cs="宋体" w:hAnsi="宋体"/>
                <w:color w:val="auto"/>
                <w:kern w:val="2"/>
                <w:sz w:val="24"/>
                <w:szCs w:val="24"/>
                <w:lang w:val="en-US" w:eastAsia="zh-CN" w:bidi="ar-SA"/>
                <w:highlight w:val="none"/>
              </w:rPr>
              <w:t>生活污水</w:t>
            </w:r>
          </w:p>
        </w:tc>
        <w:tc>
          <w:tcPr>
            <w:tcW w:w="854" w:type="pct"/>
            <w:tcBorders>
              <w:left w:val="single" w:sz="4" w:space="0" w:color="auto"/>
            </w:tcBorders>
            <w:tcMar>
              <w:left w:w="11" w:type="dxa"/>
              <w:right w:w="11" w:type="dxa"/>
            </w:tcMar>
            <w:vAlign w:val="center"/>
          </w:tcPr>
          <w:p>
            <w:pPr>
              <w:widowControl/>
              <w:adjustRightInd w:val="0"/>
              <w:snapToGrid w:val="0"/>
              <w:jc w:val="center"/>
              <w:rPr>
                <w:rFonts w:ascii="Times New Roman" w:eastAsia="Segoe UI" w:cs="Times New Roman" w:hAnsi="Times New Roman" w:hint="eastAsia"/>
                <w:b w:val="0"/>
                <w:bCs w:val="0"/>
                <w:i w:val="0"/>
                <w:iCs w:val="0"/>
                <w:caps w:val="0"/>
                <w:smallCaps w:val="0"/>
                <w:color w:val="auto"/>
                <w:spacing w:val="0"/>
                <w:kern w:val="0"/>
                <w:sz w:val="24"/>
                <w:szCs w:val="24"/>
                <w:shd w:val="clear" w:color="auto" w:fill="FFFFFF"/>
                <w:lang w:val="en-US" w:eastAsia="zh-CN" w:bidi="ar-SA"/>
                <w:highlight w:val="none"/>
              </w:rPr>
            </w:pPr>
            <w:r>
              <w:rPr>
                <w:rFonts w:hint="eastAsia"/>
                <w:color w:val="auto"/>
                <w:sz w:val="24"/>
                <w:szCs w:val="24"/>
                <w:lang w:val="en-US" w:eastAsia="zh-CN"/>
                <w:highlight w:val="none"/>
              </w:rPr>
              <w:t>pH、</w:t>
            </w:r>
            <w:r>
              <w:rPr>
                <w:rFonts w:ascii="Times New Roman" w:eastAsia="Segoe UI" w:cs="Times New Roman" w:hAnsi="Times New Roman" w:hint="eastAsia"/>
                <w:b w:val="0"/>
                <w:bCs w:val="0"/>
                <w:i w:val="0"/>
                <w:iCs w:val="0"/>
                <w:caps w:val="0"/>
                <w:smallCaps w:val="0"/>
                <w:color w:val="auto"/>
                <w:spacing w:val="0"/>
                <w:kern w:val="0"/>
                <w:sz w:val="24"/>
                <w:szCs w:val="24"/>
                <w:shd w:val="clear" w:color="auto" w:fill="FFFFFF"/>
                <w:lang w:val="en-US" w:eastAsia="zh-CN" w:bidi="ar-SA"/>
                <w:highlight w:val="none"/>
              </w:rPr>
              <w:t>COD、氨氮、SS、BOD</w:t>
            </w:r>
            <w:r>
              <w:rPr>
                <w:rFonts w:ascii="Times New Roman" w:eastAsia="Segoe UI" w:cs="Times New Roman" w:hAnsi="Times New Roman" w:hint="eastAsia"/>
                <w:b w:val="0"/>
                <w:bCs w:val="0"/>
                <w:i w:val="0"/>
                <w:iCs w:val="0"/>
                <w:caps w:val="0"/>
                <w:smallCaps w:val="0"/>
                <w:color w:val="auto"/>
                <w:spacing w:val="0"/>
                <w:kern w:val="0"/>
                <w:sz w:val="24"/>
                <w:szCs w:val="24"/>
                <w:shd w:val="clear" w:color="auto" w:fill="FFFFFF"/>
                <w:vertAlign w:val="subscript"/>
                <w:lang w:val="en-US" w:eastAsia="zh-CN" w:bidi="ar-SA"/>
                <w:highlight w:val="none"/>
              </w:rPr>
              <w:t>5</w:t>
            </w:r>
          </w:p>
        </w:tc>
        <w:tc>
          <w:tcPr>
            <w:tcW w:w="1369" w:type="pct"/>
            <w:tcBorders>
              <w:left w:val="single" w:sz="4" w:space="0" w:color="auto"/>
            </w:tcBorders>
            <w:tcMar>
              <w:left w:w="11" w:type="dxa"/>
              <w:right w:w="11" w:type="dxa"/>
            </w:tcMar>
            <w:vAlign w:val="center"/>
          </w:tcPr>
          <w:p>
            <w:pPr>
              <w:widowControl/>
              <w:adjustRightInd w:val="0"/>
              <w:snapToGrid w:val="0"/>
              <w:jc w:val="center"/>
              <w:rPr>
                <w:rFonts w:ascii="Times New Roman" w:eastAsia="宋体" w:cs="Times New Roman" w:hAnsi="Times New Roman" w:hint="eastAsia"/>
                <w:color w:val="auto"/>
                <w:kern w:val="2"/>
                <w:sz w:val="24"/>
                <w:szCs w:val="24"/>
                <w:lang w:val="zh-CN" w:eastAsia="zh-CN" w:bidi="ar-SA"/>
                <w:highlight w:val="none"/>
              </w:rPr>
            </w:pPr>
            <w:r>
              <w:rPr>
                <w:rFonts w:ascii="Times New Roman" w:eastAsia="宋体" w:cs="Times New Roman" w:hAnsi="Times New Roman" w:hint="eastAsia"/>
                <w:color w:val="auto"/>
                <w:kern w:val="2"/>
                <w:sz w:val="24"/>
                <w:szCs w:val="24"/>
                <w:lang w:val="zh-CN" w:eastAsia="zh-CN" w:bidi="ar-SA"/>
                <w:highlight w:val="none"/>
              </w:rPr>
              <w:t>生活污水依托河北泽豪环保新材料科技有限公司化粪池处理后，定期清掏，不外排</w:t>
            </w:r>
          </w:p>
        </w:tc>
        <w:tc>
          <w:tcPr>
            <w:tcW w:w="1418" w:type="pct"/>
            <w:tcBorders>
              <w:left w:val="single" w:sz="4" w:space="0" w:color="auto"/>
            </w:tcBorders>
            <w:tcMar>
              <w:left w:w="11" w:type="dxa"/>
              <w:right w:w="11" w:type="dxa"/>
            </w:tcMar>
            <w:vAlign w:val="center"/>
          </w:tcPr>
          <w:p>
            <w:pPr>
              <w:widowControl/>
              <w:adjustRightInd w:val="0"/>
              <w:snapToGrid w:val="0"/>
              <w:jc w:val="center"/>
              <w:rPr>
                <w:rFonts w:ascii="Times New Roman" w:eastAsia="宋体" w:cs="Times New Roman" w:hAnsi="Times New Roman" w:hint="eastAsia"/>
                <w:color w:val="auto"/>
                <w:kern w:val="2"/>
                <w:sz w:val="24"/>
                <w:szCs w:val="24"/>
                <w:lang w:val="zh-CN" w:eastAsia="zh-CN" w:bidi="ar-SA"/>
                <w:highlight w:val="none"/>
              </w:rPr>
            </w:pPr>
            <w:r>
              <w:rPr>
                <w:rFonts w:hint="eastAsia"/>
                <w:color w:val="auto"/>
                <w:sz w:val="24"/>
                <w:lang w:val="zh-CN"/>
                <w:highlight w:val="none"/>
              </w:rPr>
              <w:t>/</w:t>
            </w:r>
          </w:p>
        </w:tc>
      </w:tr>
      <w:tr>
        <w:trPr>
          <w:trHeight w:val="1619"/>
        </w:trPr>
        <w:tc>
          <w:tcPr>
            <w:tcW w:w="473" w:type="pct"/>
            <w:tcBorders>
              <w:bottom w:val="single" w:sz="4" w:space="0" w:color="auto"/>
            </w:tcBorders>
            <w:tcMar>
              <w:left w:w="11" w:type="dxa"/>
              <w:right w:w="11" w:type="dxa"/>
            </w:tcMar>
            <w:vAlign w:val="center"/>
          </w:tcPr>
          <w:p>
            <w:pPr>
              <w:widowControl/>
              <w:jc w:val="center"/>
              <w:textAlignment w:val="center"/>
              <w:rPr>
                <w:color w:val="auto"/>
                <w:sz w:val="24"/>
                <w:highlight w:val="none"/>
              </w:rPr>
            </w:pPr>
            <w:r>
              <w:rPr>
                <w:rFonts w:hint="eastAsia"/>
                <w:color w:val="auto"/>
                <w:sz w:val="24"/>
                <w:highlight w:val="none"/>
              </w:rPr>
              <w:t>声环境</w:t>
            </w:r>
          </w:p>
        </w:tc>
        <w:tc>
          <w:tcPr>
            <w:tcW w:w="884" w:type="pct"/>
            <w:tcBorders>
              <w:bottom w:val="single" w:sz="4" w:space="0" w:color="auto"/>
            </w:tcBorders>
            <w:tcMar>
              <w:left w:w="11" w:type="dxa"/>
              <w:right w:w="11" w:type="dxa"/>
            </w:tcMar>
            <w:vAlign w:val="center"/>
          </w:tcPr>
          <w:p>
            <w:pPr>
              <w:widowControl/>
              <w:jc w:val="center"/>
              <w:textAlignment w:val="center"/>
              <w:rPr>
                <w:color w:val="auto"/>
                <w:sz w:val="24"/>
                <w:highlight w:val="none"/>
              </w:rPr>
            </w:pPr>
            <w:r>
              <w:rPr>
                <w:rFonts w:hint="eastAsia"/>
                <w:color w:val="auto"/>
                <w:sz w:val="24"/>
                <w:highlight w:val="none"/>
              </w:rPr>
              <w:t>设备噪声</w:t>
            </w:r>
          </w:p>
        </w:tc>
        <w:tc>
          <w:tcPr>
            <w:tcW w:w="854" w:type="pct"/>
            <w:tcBorders>
              <w:bottom w:val="single" w:sz="4" w:space="0" w:color="auto"/>
            </w:tcBorders>
            <w:tcMar>
              <w:left w:w="11" w:type="dxa"/>
              <w:right w:w="11" w:type="dxa"/>
            </w:tcMar>
            <w:vAlign w:val="center"/>
          </w:tcPr>
          <w:p>
            <w:pPr>
              <w:adjustRightInd w:val="0"/>
              <w:snapToGrid w:val="0"/>
              <w:jc w:val="center"/>
              <w:rPr>
                <w:color w:val="auto"/>
                <w:sz w:val="24"/>
                <w:highlight w:val="none"/>
              </w:rPr>
            </w:pPr>
            <w:r>
              <w:rPr>
                <w:rFonts w:hint="eastAsia"/>
                <w:color w:val="auto"/>
                <w:sz w:val="24"/>
                <w:highlight w:val="none"/>
              </w:rPr>
              <w:t>Leq（A）</w:t>
            </w:r>
          </w:p>
        </w:tc>
        <w:tc>
          <w:tcPr>
            <w:tcW w:w="1369" w:type="pct"/>
            <w:tcBorders>
              <w:bottom w:val="single" w:sz="4" w:space="0" w:color="auto"/>
            </w:tcBorders>
            <w:tcMar>
              <w:left w:w="11" w:type="dxa"/>
              <w:right w:w="11" w:type="dxa"/>
            </w:tcMar>
            <w:vAlign w:val="center"/>
          </w:tcPr>
          <w:p>
            <w:pPr>
              <w:widowControl/>
              <w:adjustRightInd w:val="0"/>
              <w:snapToGrid w:val="0"/>
              <w:jc w:val="center"/>
              <w:rPr>
                <w:bCs/>
                <w:color w:val="auto"/>
                <w:kern w:val="0"/>
                <w:sz w:val="24"/>
                <w:highlight w:val="none"/>
              </w:rPr>
            </w:pPr>
            <w:r>
              <w:rPr>
                <w:rFonts w:hint="eastAsia"/>
                <w:bCs/>
                <w:color w:val="auto"/>
                <w:kern w:val="0"/>
                <w:sz w:val="24"/>
                <w:lang w:val="zh-CN"/>
                <w:highlight w:val="none"/>
              </w:rPr>
              <w:t>选用低噪声设备，采取基础减振、隔声、距离衰减等措施</w:t>
            </w:r>
          </w:p>
        </w:tc>
        <w:tc>
          <w:tcPr>
            <w:tcW w:w="1418" w:type="pct"/>
            <w:tcBorders>
              <w:bottom w:val="single" w:sz="4" w:space="0" w:color="auto"/>
            </w:tcBorders>
            <w:tcMar>
              <w:left w:w="11" w:type="dxa"/>
              <w:right w:w="11" w:type="dxa"/>
            </w:tcMar>
            <w:vAlign w:val="center"/>
          </w:tcPr>
          <w:p>
            <w:pPr>
              <w:widowControl/>
              <w:jc w:val="center"/>
              <w:textAlignment w:val="center"/>
              <w:rPr>
                <w:color w:val="auto"/>
                <w:sz w:val="24"/>
                <w:highlight w:val="none"/>
              </w:rPr>
            </w:pPr>
            <w:r>
              <w:rPr>
                <w:rFonts w:hint="eastAsia"/>
                <w:color w:val="auto"/>
                <w:sz w:val="24"/>
                <w:highlight w:val="none"/>
              </w:rPr>
              <w:t>《工业企业厂界环境噪声排放标准》（GB12348-2008）3类</w:t>
            </w:r>
          </w:p>
        </w:tc>
      </w:tr>
      <w:tr>
        <w:trPr>
          <w:trHeight w:val="1176"/>
        </w:trPr>
        <w:tc>
          <w:tcPr>
            <w:tcW w:w="473" w:type="pct"/>
            <w:tcBorders>
              <w:bottom w:val="single" w:sz="4" w:space="0" w:color="auto"/>
            </w:tcBorders>
            <w:tcMar>
              <w:left w:w="11" w:type="dxa"/>
              <w:right w:w="11" w:type="dxa"/>
            </w:tcMar>
            <w:vAlign w:val="center"/>
          </w:tcPr>
          <w:p>
            <w:pPr>
              <w:widowControl/>
              <w:jc w:val="center"/>
              <w:textAlignment w:val="center"/>
              <w:rPr>
                <w:color w:val="auto"/>
                <w:sz w:val="24"/>
                <w:highlight w:val="none"/>
              </w:rPr>
            </w:pPr>
            <w:r>
              <w:rPr>
                <w:rFonts w:hint="eastAsia"/>
                <w:color w:val="auto"/>
                <w:sz w:val="24"/>
                <w:highlight w:val="none"/>
              </w:rPr>
              <w:t>电磁辐射</w:t>
            </w:r>
          </w:p>
        </w:tc>
        <w:tc>
          <w:tcPr>
            <w:tcW w:w="4526" w:type="pct"/>
            <w:gridSpan w:val="4"/>
            <w:tcBorders>
              <w:bottom w:val="single" w:sz="4" w:space="0" w:color="auto"/>
            </w:tcBorders>
            <w:tcMar>
              <w:left w:w="11" w:type="dxa"/>
              <w:right w:w="11" w:type="dxa"/>
            </w:tcMar>
            <w:vAlign w:val="center"/>
          </w:tcPr>
          <w:p>
            <w:pPr>
              <w:adjustRightInd w:val="0"/>
              <w:snapToGrid w:val="0"/>
              <w:jc w:val="center"/>
              <w:rPr>
                <w:rFonts w:ascii="宋体" w:cs="宋体" w:hAnsi="宋体" w:hint="eastAsia"/>
                <w:color w:val="auto"/>
                <w:kern w:val="0"/>
                <w:sz w:val="24"/>
                <w:highlight w:val="none"/>
              </w:rPr>
            </w:pPr>
            <w:r>
              <w:rPr>
                <w:rFonts w:hint="eastAsia"/>
                <w:color w:val="auto"/>
                <w:sz w:val="24"/>
                <w:lang w:val="zh-CN"/>
                <w:highlight w:val="none"/>
              </w:rPr>
              <w:t>/</w:t>
            </w:r>
          </w:p>
        </w:tc>
      </w:tr>
      <w:tr>
        <w:trPr>
          <w:trHeight w:val="2493"/>
        </w:trPr>
        <w:tc>
          <w:tcPr>
            <w:tcW w:w="473" w:type="pct"/>
            <w:tcMar>
              <w:left w:w="11" w:type="dxa"/>
              <w:right w:w="11" w:type="dxa"/>
            </w:tcMar>
            <w:vAlign w:val="center"/>
          </w:tcPr>
          <w:p>
            <w:pPr>
              <w:adjustRightInd w:val="0"/>
              <w:snapToGrid w:val="0"/>
              <w:jc w:val="center"/>
              <w:rPr>
                <w:color w:val="auto"/>
                <w:sz w:val="24"/>
                <w:highlight w:val="none"/>
              </w:rPr>
            </w:pPr>
            <w:r>
              <w:rPr>
                <w:rFonts w:hint="eastAsia"/>
                <w:color w:val="auto"/>
                <w:sz w:val="24"/>
                <w:highlight w:val="none"/>
              </w:rPr>
              <w:t>固体废物</w:t>
            </w:r>
          </w:p>
        </w:tc>
        <w:tc>
          <w:tcPr>
            <w:tcW w:w="4526" w:type="pct"/>
            <w:gridSpan w:val="4"/>
            <w:tcBorders>
              <w:left w:val="single" w:sz="4" w:space="0" w:color="auto"/>
            </w:tcBorders>
            <w:tcMar>
              <w:left w:w="11" w:type="dxa"/>
              <w:right w:w="11" w:type="dxa"/>
            </w:tcMar>
            <w:vAlign w:val="center"/>
          </w:tcPr>
          <w:p>
            <w:pPr>
              <w:rPr>
                <w:rFonts w:ascii="Times New Roman" w:eastAsia="宋体" w:cs="Times New Roman" w:hAnsi="Times New Roman"/>
                <w:bCs/>
                <w:color w:val="auto"/>
                <w:kern w:val="0"/>
                <w:sz w:val="24"/>
                <w:lang w:val="en-US" w:eastAsia="zh-CN"/>
                <w:highlight w:val="none"/>
              </w:rPr>
            </w:pPr>
            <w:r>
              <w:rPr>
                <w:rFonts w:ascii="Times New Roman" w:eastAsia="宋体" w:cs="Times New Roman" w:hAnsi="Times New Roman" w:hint="eastAsia"/>
                <w:bCs/>
                <w:color w:val="auto"/>
                <w:kern w:val="0"/>
                <w:sz w:val="24"/>
                <w:highlight w:val="none"/>
              </w:rPr>
              <w:t>项目运营期产生的固废主要</w:t>
            </w:r>
            <w:r>
              <w:rPr>
                <w:rFonts w:ascii="Times New Roman" w:eastAsia="宋体" w:cs="Times New Roman" w:hAnsi="Times New Roman" w:hint="eastAsia"/>
                <w:bCs/>
                <w:color w:val="auto"/>
                <w:kern w:val="0"/>
                <w:sz w:val="24"/>
                <w:lang w:val="en-US" w:eastAsia="zh-CN"/>
                <w:highlight w:val="none"/>
              </w:rPr>
              <w:t>为危险废物和生活垃圾。</w:t>
            </w:r>
          </w:p>
          <w:p>
            <w:pPr>
              <w:rPr>
                <w:rFonts w:ascii="Times New Roman" w:eastAsia="宋体" w:cs="Times New Roman" w:hAnsi="Times New Roman"/>
                <w:bCs/>
                <w:color w:val="auto"/>
                <w:kern w:val="0"/>
                <w:sz w:val="24"/>
                <w:lang w:val="en-US" w:eastAsia="zh-CN"/>
                <w:highlight w:val="none"/>
              </w:rPr>
            </w:pPr>
            <w:r>
              <w:rPr>
                <w:rFonts w:ascii="Times New Roman" w:eastAsia="宋体" w:cs="Times New Roman" w:hAnsi="Times New Roman" w:hint="eastAsia"/>
                <w:bCs/>
                <w:color w:val="auto"/>
                <w:kern w:val="0"/>
                <w:sz w:val="24"/>
                <w:lang w:val="en-US" w:eastAsia="zh-CN"/>
                <w:highlight w:val="none"/>
              </w:rPr>
              <w:t>①危险废物</w:t>
            </w:r>
          </w:p>
          <w:p>
            <w:pPr>
              <w:rPr>
                <w:rFonts w:ascii="Times New Roman" w:eastAsia="宋体" w:cs="Times New Roman" w:hAnsi="Times New Roman" w:hint="eastAsia"/>
                <w:bCs/>
                <w:color w:val="auto"/>
                <w:kern w:val="0"/>
                <w:sz w:val="24"/>
                <w:lang w:eastAsia="zh-CN"/>
                <w:highlight w:val="none"/>
              </w:rPr>
            </w:pPr>
            <w:r>
              <w:rPr>
                <w:rFonts w:ascii="Times New Roman" w:eastAsia="宋体" w:cs="Times New Roman" w:hAnsi="Times New Roman" w:hint="eastAsia"/>
                <w:bCs/>
                <w:color w:val="auto"/>
                <w:kern w:val="0"/>
                <w:sz w:val="24"/>
                <w:lang w:val="en-US" w:eastAsia="zh-CN"/>
                <w:highlight w:val="none"/>
              </w:rPr>
              <w:t>项目危险废物主要为</w:t>
            </w:r>
            <w:r>
              <w:rPr>
                <w:rFonts w:cs="Times New Roman" w:hint="eastAsia"/>
                <w:bCs/>
                <w:color w:val="auto"/>
                <w:kern w:val="0"/>
                <w:sz w:val="24"/>
                <w:lang w:val="en-US" w:eastAsia="zh-CN"/>
                <w:highlight w:val="none"/>
              </w:rPr>
              <w:t>废电解液、废碱液、废防护用具、废抹布</w:t>
            </w:r>
            <w:r>
              <w:rPr>
                <w:rFonts w:ascii="Times New Roman" w:eastAsia="宋体" w:cs="Times New Roman" w:hAnsi="Times New Roman" w:hint="eastAsia"/>
                <w:bCs/>
                <w:color w:val="auto"/>
                <w:kern w:val="0"/>
                <w:sz w:val="24"/>
                <w:lang w:val="zh-CN"/>
                <w:highlight w:val="none"/>
              </w:rPr>
              <w:t>，</w:t>
            </w:r>
            <w:r>
              <w:rPr>
                <w:rFonts w:ascii="Times New Roman" w:eastAsia="宋体" w:cs="Times New Roman" w:hAnsi="Times New Roman" w:hint="eastAsia"/>
                <w:bCs/>
                <w:color w:val="auto"/>
                <w:kern w:val="0"/>
                <w:sz w:val="24"/>
                <w:highlight w:val="none"/>
              </w:rPr>
              <w:t>分类</w:t>
            </w:r>
            <w:r>
              <w:rPr>
                <w:rFonts w:ascii="Times New Roman" w:eastAsia="宋体" w:cs="Times New Roman" w:hAnsi="Times New Roman" w:hint="eastAsia"/>
                <w:bCs/>
                <w:color w:val="auto"/>
                <w:kern w:val="0"/>
                <w:sz w:val="24"/>
                <w:lang w:val="zh-CN"/>
                <w:highlight w:val="none"/>
              </w:rPr>
              <w:t>收集后暂存于</w:t>
            </w:r>
            <w:r>
              <w:rPr>
                <w:rFonts w:cs="Times New Roman" w:hint="eastAsia"/>
                <w:bCs/>
                <w:color w:val="auto"/>
                <w:kern w:val="0"/>
                <w:sz w:val="24"/>
                <w:lang w:val="zh-CN"/>
                <w:highlight w:val="none"/>
              </w:rPr>
              <w:t>危废暂存间</w:t>
            </w:r>
            <w:r>
              <w:rPr>
                <w:rFonts w:ascii="Times New Roman" w:eastAsia="宋体" w:cs="Times New Roman" w:hAnsi="Times New Roman" w:hint="eastAsia"/>
                <w:bCs/>
                <w:color w:val="auto"/>
                <w:kern w:val="0"/>
                <w:sz w:val="24"/>
                <w:lang w:val="zh-CN"/>
                <w:highlight w:val="none"/>
              </w:rPr>
              <w:t>，定期交由有资质的单位处理</w:t>
            </w:r>
            <w:r>
              <w:rPr>
                <w:rFonts w:ascii="Times New Roman" w:eastAsia="宋体" w:cs="Times New Roman" w:hAnsi="Times New Roman" w:hint="eastAsia"/>
                <w:bCs/>
                <w:color w:val="auto"/>
                <w:kern w:val="0"/>
                <w:sz w:val="24"/>
                <w:lang w:eastAsia="zh-CN"/>
                <w:highlight w:val="none"/>
              </w:rPr>
              <w:t>。</w:t>
            </w:r>
          </w:p>
          <w:p>
            <w:pPr>
              <w:rPr>
                <w:rFonts w:ascii="Times New Roman" w:eastAsia="宋体" w:cs="Times New Roman" w:hAnsi="Times New Roman"/>
                <w:bCs/>
                <w:color w:val="auto"/>
                <w:kern w:val="0"/>
                <w:sz w:val="24"/>
                <w:lang w:val="en-US" w:eastAsia="zh-CN"/>
                <w:highlight w:val="none"/>
              </w:rPr>
            </w:pPr>
            <w:r>
              <w:rPr>
                <w:rFonts w:cs="Times New Roman" w:hint="eastAsia"/>
                <w:bCs/>
                <w:color w:val="auto"/>
                <w:kern w:val="0"/>
                <w:sz w:val="24"/>
                <w:lang w:val="en-US" w:eastAsia="zh-CN"/>
                <w:highlight w:val="none"/>
              </w:rPr>
              <w:t>②</w:t>
            </w:r>
            <w:r>
              <w:rPr>
                <w:rFonts w:ascii="Times New Roman" w:eastAsia="宋体" w:cs="Times New Roman" w:hAnsi="Times New Roman" w:hint="eastAsia"/>
                <w:bCs/>
                <w:color w:val="auto"/>
                <w:kern w:val="0"/>
                <w:sz w:val="24"/>
                <w:lang w:val="en-US" w:eastAsia="zh-CN"/>
                <w:highlight w:val="none"/>
              </w:rPr>
              <w:t>生活垃圾</w:t>
            </w:r>
          </w:p>
          <w:p>
            <w:pPr>
              <w:rPr>
                <w:color w:val="auto"/>
                <w:sz w:val="24"/>
                <w:highlight w:val="none"/>
              </w:rPr>
            </w:pPr>
            <w:r>
              <w:rPr>
                <w:rFonts w:ascii="Times New Roman" w:eastAsia="宋体" w:cs="Times New Roman" w:hAnsi="Times New Roman" w:hint="eastAsia"/>
                <w:bCs/>
                <w:color w:val="auto"/>
                <w:kern w:val="0"/>
                <w:sz w:val="24"/>
                <w:highlight w:val="none"/>
              </w:rPr>
              <w:t>职工生活垃圾由环卫部门统一清运处理</w:t>
            </w:r>
            <w:r>
              <w:rPr>
                <w:rFonts w:ascii="Times New Roman" w:eastAsia="宋体" w:cs="Times New Roman" w:hAnsi="Times New Roman" w:hint="eastAsia"/>
                <w:bCs/>
                <w:color w:val="auto"/>
                <w:kern w:val="0"/>
                <w:sz w:val="24"/>
                <w:lang w:val="zh-CN"/>
                <w:highlight w:val="none"/>
              </w:rPr>
              <w:t>。</w:t>
            </w:r>
          </w:p>
        </w:tc>
      </w:tr>
      <w:tr>
        <w:trPr>
          <w:trHeight w:val="2914"/>
        </w:trPr>
        <w:tc>
          <w:tcPr>
            <w:tcW w:w="473" w:type="pct"/>
            <w:tcMar>
              <w:left w:w="11" w:type="dxa"/>
              <w:right w:w="11" w:type="dxa"/>
            </w:tcMar>
            <w:vAlign w:val="center"/>
          </w:tcPr>
          <w:p>
            <w:pPr>
              <w:widowControl/>
              <w:jc w:val="center"/>
              <w:textAlignment w:val="center"/>
              <w:rPr>
                <w:color w:val="auto"/>
                <w:sz w:val="24"/>
                <w:highlight w:val="none"/>
              </w:rPr>
            </w:pPr>
            <w:r>
              <w:rPr>
                <w:rFonts w:hint="eastAsia"/>
                <w:color w:val="auto"/>
                <w:sz w:val="24"/>
                <w:highlight w:val="none"/>
              </w:rPr>
              <w:t>土壤及地下水污染防治措施</w:t>
            </w:r>
          </w:p>
        </w:tc>
        <w:tc>
          <w:tcPr>
            <w:tcW w:w="4526" w:type="pct"/>
            <w:gridSpan w:val="4"/>
            <w:tcBorders>
              <w:left w:val="single" w:sz="4" w:space="0" w:color="auto"/>
            </w:tcBorders>
            <w:tcMar>
              <w:left w:w="11" w:type="dxa"/>
              <w:right w:w="11" w:type="dxa"/>
            </w:tcMar>
            <w:vAlign w:val="center"/>
          </w:tcPr>
          <w:p>
            <w:pPr>
              <w:rPr>
                <w:rFonts w:ascii="宋体" w:eastAsia="宋体" w:cs="宋体" w:hAnsi="宋体" w:hint="eastAsia"/>
                <w:color w:val="auto"/>
                <w:kern w:val="0"/>
                <w:sz w:val="24"/>
                <w:lang w:val="en-US" w:eastAsia="zh-CN"/>
                <w:highlight w:val="none"/>
              </w:rPr>
            </w:pPr>
            <w:r>
              <w:rPr>
                <w:rFonts w:ascii="Times New Roman" w:eastAsia="宋体" w:cs="Times New Roman" w:hAnsi="Times New Roman" w:hint="eastAsia"/>
                <w:bCs/>
                <w:color w:val="auto"/>
                <w:kern w:val="0"/>
                <w:sz w:val="24"/>
                <w:lang w:val="en-US" w:eastAsia="zh-CN"/>
                <w:highlight w:val="none"/>
              </w:rPr>
              <w:t>项目租赁闲置</w:t>
            </w:r>
            <w:r>
              <w:rPr>
                <w:rFonts w:cs="Times New Roman" w:hint="eastAsia"/>
                <w:bCs/>
                <w:color w:val="auto"/>
                <w:kern w:val="0"/>
                <w:sz w:val="24"/>
                <w:lang w:val="en-US" w:eastAsia="zh-CN"/>
                <w:highlight w:val="none"/>
              </w:rPr>
              <w:t>库房改造后用于废电池贮存</w:t>
            </w:r>
            <w:r>
              <w:rPr>
                <w:rFonts w:ascii="Times New Roman" w:eastAsia="宋体" w:cs="Times New Roman" w:hAnsi="Times New Roman" w:hint="eastAsia"/>
                <w:bCs/>
                <w:color w:val="auto"/>
                <w:kern w:val="0"/>
                <w:sz w:val="24"/>
                <w:lang w:val="en-US" w:eastAsia="zh-CN"/>
                <w:highlight w:val="none"/>
              </w:rPr>
              <w:t>，</w:t>
            </w:r>
            <w:r>
              <w:rPr>
                <w:rFonts w:cs="Times New Roman" w:hint="eastAsia"/>
                <w:bCs/>
                <w:color w:val="auto"/>
                <w:kern w:val="0"/>
                <w:sz w:val="24"/>
                <w:lang w:val="en-US" w:eastAsia="zh-CN"/>
                <w:highlight w:val="none"/>
              </w:rPr>
              <w:t>库房整体均</w:t>
            </w:r>
            <w:r>
              <w:rPr>
                <w:rFonts w:ascii="Times New Roman" w:eastAsia="宋体" w:cs="Times New Roman" w:hAnsi="Times New Roman" w:hint="eastAsia"/>
                <w:bCs/>
                <w:color w:val="auto"/>
                <w:kern w:val="0"/>
                <w:sz w:val="24"/>
                <w:highlight w:val="none"/>
              </w:rPr>
              <w:t>采取重点防渗</w:t>
            </w:r>
            <w:r>
              <w:rPr>
                <w:rFonts w:hint="eastAsia"/>
                <w:bCs/>
                <w:color w:val="auto"/>
                <w:sz w:val="24"/>
                <w:lang w:eastAsia="zh-CN"/>
                <w:highlight w:val="none"/>
              </w:rPr>
              <w:t>（</w:t>
            </w:r>
            <w:r>
              <w:rPr>
                <w:rFonts w:ascii="Times New Roman" w:eastAsia="宋体" w:cs="Times New Roman" w:hAnsi="Times New Roman" w:hint="eastAsia"/>
                <w:color w:val="auto"/>
                <w:spacing w:val="-1"/>
                <w:kern w:val="2"/>
                <w:sz w:val="24"/>
                <w:szCs w:val="24"/>
                <w:lang w:val="en-US" w:eastAsia="zh-CN" w:bidi="ar-SA"/>
                <w:highlight w:val="none"/>
              </w:rPr>
              <w:t>废铅蓄电池贮存区</w:t>
            </w:r>
            <w:r>
              <w:rPr>
                <w:rFonts w:cs="Times New Roman" w:hint="eastAsia"/>
                <w:color w:val="auto"/>
                <w:spacing w:val="-1"/>
                <w:kern w:val="2"/>
                <w:sz w:val="24"/>
                <w:szCs w:val="24"/>
                <w:lang w:val="en-US" w:eastAsia="zh-CN" w:bidi="ar-SA"/>
                <w:highlight w:val="none"/>
              </w:rPr>
              <w:t>及破损电池贮存区的</w:t>
            </w:r>
            <w:r>
              <w:rPr>
                <w:rFonts w:ascii="Times New Roman" w:eastAsia="宋体" w:cs="Times New Roman" w:hAnsi="Times New Roman" w:hint="eastAsia"/>
                <w:color w:val="auto"/>
                <w:spacing w:val="-1"/>
                <w:kern w:val="2"/>
                <w:sz w:val="24"/>
                <w:szCs w:val="24"/>
                <w:lang w:val="en-US" w:eastAsia="zh-CN" w:bidi="ar-SA"/>
                <w:highlight w:val="none"/>
              </w:rPr>
              <w:t>地面</w:t>
            </w:r>
            <w:r>
              <w:rPr>
                <w:rFonts w:cs="Times New Roman" w:hint="eastAsia"/>
                <w:color w:val="auto"/>
                <w:spacing w:val="-1"/>
                <w:kern w:val="2"/>
                <w:sz w:val="24"/>
                <w:szCs w:val="24"/>
                <w:lang w:val="en-US" w:eastAsia="zh-CN" w:bidi="ar-SA"/>
                <w:highlight w:val="none"/>
              </w:rPr>
              <w:t>和</w:t>
            </w:r>
            <w:r>
              <w:rPr>
                <w:rFonts w:ascii="Times New Roman" w:eastAsia="宋体" w:cs="Times New Roman" w:hAnsi="Times New Roman" w:hint="eastAsia"/>
                <w:color w:val="auto"/>
                <w:spacing w:val="-1"/>
                <w:kern w:val="2"/>
                <w:sz w:val="24"/>
                <w:szCs w:val="24"/>
                <w:lang w:val="en-US" w:eastAsia="zh-CN" w:bidi="ar-SA"/>
                <w:highlight w:val="none"/>
              </w:rPr>
              <w:t>墙裙</w:t>
            </w:r>
            <w:r>
              <w:rPr>
                <w:rFonts w:cs="Times New Roman" w:hint="eastAsia"/>
                <w:color w:val="auto"/>
                <w:spacing w:val="-1"/>
                <w:kern w:val="2"/>
                <w:sz w:val="24"/>
                <w:szCs w:val="24"/>
                <w:lang w:val="en-US" w:eastAsia="zh-CN" w:bidi="ar-SA"/>
                <w:highlight w:val="none"/>
              </w:rPr>
              <w:t>、废电解液导流槽和收集池、危废间等</w:t>
            </w:r>
            <w:r>
              <w:rPr>
                <w:rFonts w:hint="eastAsia"/>
                <w:bCs/>
                <w:color w:val="auto"/>
                <w:sz w:val="24"/>
                <w:lang w:eastAsia="zh-CN"/>
                <w:highlight w:val="none"/>
              </w:rPr>
              <w:t>）</w:t>
            </w:r>
            <w:r>
              <w:rPr>
                <w:rFonts w:ascii="Times New Roman" w:eastAsia="宋体" w:cs="Times New Roman" w:hAnsi="Times New Roman" w:hint="eastAsia"/>
                <w:bCs/>
                <w:color w:val="auto"/>
                <w:kern w:val="0"/>
                <w:sz w:val="24"/>
                <w:highlight w:val="none"/>
              </w:rPr>
              <w:t>。重点防渗区按</w:t>
            </w:r>
            <w:r>
              <w:rPr>
                <w:rFonts w:ascii="Times New Roman" w:eastAsia="宋体" w:cs="Times New Roman" w:hAnsi="Times New Roman" w:hint="eastAsia"/>
                <w:bCs/>
                <w:color w:val="auto"/>
                <w:kern w:val="0"/>
                <w:sz w:val="24"/>
                <w:lang w:val="zh-CN"/>
                <w:highlight w:val="none"/>
              </w:rPr>
              <w:t>《危险废物贮存污染控制标准》（GB 18597-2023）</w:t>
            </w:r>
            <w:r>
              <w:rPr>
                <w:rFonts w:ascii="Times New Roman" w:eastAsia="宋体" w:cs="Times New Roman" w:hAnsi="Times New Roman" w:hint="eastAsia"/>
                <w:bCs/>
                <w:color w:val="auto"/>
                <w:kern w:val="0"/>
                <w:sz w:val="24"/>
                <w:highlight w:val="none"/>
              </w:rPr>
              <w:t>中相关标准进行防渗处理</w:t>
            </w:r>
            <w:r>
              <w:rPr>
                <w:rFonts w:cs="Times New Roman" w:hint="eastAsia"/>
                <w:bCs/>
                <w:color w:val="auto"/>
                <w:kern w:val="0"/>
                <w:sz w:val="24"/>
                <w:lang w:eastAsia="zh-CN"/>
                <w:highlight w:val="none"/>
              </w:rPr>
              <w:t>。</w:t>
            </w:r>
            <w:r>
              <w:rPr>
                <w:rFonts w:ascii="Times New Roman" w:eastAsia="宋体" w:cs="Times New Roman" w:hAnsi="Times New Roman" w:hint="eastAsia"/>
                <w:bCs/>
                <w:color w:val="auto"/>
                <w:kern w:val="0"/>
                <w:sz w:val="24"/>
                <w:highlight w:val="none"/>
              </w:rPr>
              <w:t>地面防渗层为</w:t>
            </w:r>
            <w:r>
              <w:rPr>
                <w:rFonts w:cs="Times New Roman" w:hint="eastAsia"/>
                <w:bCs/>
                <w:color w:val="auto"/>
                <w:kern w:val="0"/>
                <w:sz w:val="24"/>
                <w:lang w:eastAsia="zh-CN"/>
                <w:highlight w:val="none"/>
              </w:rPr>
              <w:t>环氧防腐自流平，地面处理后基层采用环氧树脂涂装，检查后铺设砂浆层和腻子层，地面平整后进行环氧面层施工，</w:t>
            </w:r>
            <w:r>
              <w:rPr>
                <w:rFonts w:ascii="Times New Roman" w:eastAsia="宋体" w:cs="Times New Roman" w:hAnsi="Times New Roman" w:hint="eastAsia"/>
                <w:bCs/>
                <w:color w:val="auto"/>
                <w:kern w:val="0"/>
                <w:sz w:val="24"/>
                <w:highlight w:val="none"/>
              </w:rPr>
              <w:t>渗透系数不大于10</w:t>
            </w:r>
            <w:r>
              <w:rPr>
                <w:rFonts w:ascii="Times New Roman" w:eastAsia="宋体" w:cs="Times New Roman" w:hAnsi="Times New Roman" w:hint="eastAsia"/>
                <w:bCs/>
                <w:color w:val="auto"/>
                <w:kern w:val="0"/>
                <w:sz w:val="24"/>
                <w:vertAlign w:val="superscript"/>
                <w:highlight w:val="none"/>
              </w:rPr>
              <w:t>-10</w:t>
            </w:r>
            <w:r>
              <w:rPr>
                <w:rFonts w:ascii="Times New Roman" w:eastAsia="宋体" w:cs="Times New Roman" w:hAnsi="Times New Roman" w:hint="eastAsia"/>
                <w:bCs/>
                <w:color w:val="auto"/>
                <w:kern w:val="0"/>
                <w:sz w:val="24"/>
                <w:highlight w:val="none"/>
              </w:rPr>
              <w:t>cm/s。</w:t>
            </w:r>
          </w:p>
        </w:tc>
      </w:tr>
      <w:tr>
        <w:trPr>
          <w:trHeight w:val="900"/>
        </w:trPr>
        <w:tc>
          <w:tcPr>
            <w:tcW w:w="473" w:type="pct"/>
            <w:tcMar>
              <w:left w:w="11" w:type="dxa"/>
              <w:right w:w="11" w:type="dxa"/>
            </w:tcMar>
            <w:vAlign w:val="center"/>
          </w:tcPr>
          <w:p>
            <w:pPr>
              <w:widowControl/>
              <w:jc w:val="center"/>
              <w:textAlignment w:val="center"/>
              <w:rPr>
                <w:color w:val="auto"/>
                <w:sz w:val="24"/>
                <w:highlight w:val="none"/>
              </w:rPr>
            </w:pPr>
            <w:r>
              <w:rPr>
                <w:rFonts w:hint="eastAsia"/>
                <w:color w:val="auto"/>
                <w:sz w:val="24"/>
                <w:highlight w:val="none"/>
              </w:rPr>
              <w:t>生态保护措施</w:t>
            </w:r>
          </w:p>
        </w:tc>
        <w:tc>
          <w:tcPr>
            <w:tcW w:w="4526" w:type="pct"/>
            <w:gridSpan w:val="4"/>
            <w:tcBorders>
              <w:left w:val="single" w:sz="4" w:space="0" w:color="auto"/>
            </w:tcBorders>
            <w:tcMar>
              <w:left w:w="11" w:type="dxa"/>
              <w:right w:w="11" w:type="dxa"/>
            </w:tcMar>
            <w:vAlign w:val="center"/>
          </w:tcPr>
          <w:p>
            <w:pPr>
              <w:keepNext w:val="0"/>
              <w:keepLines w:val="0"/>
              <w:pageBreakBefore w:val="0"/>
              <w:widowControl w:val="0"/>
              <w:kinsoku/>
              <w:wordWrap/>
              <w:overflowPunct/>
              <w:topLinePunct w:val="0"/>
              <w:autoSpaceDE/>
              <w:autoSpaceDN/>
              <w:bidi w:val="0"/>
              <w:snapToGrid/>
              <w:spacing w:line="240" w:lineRule="auto"/>
              <w:jc w:val="center"/>
              <w:rPr>
                <w:bCs/>
                <w:color w:val="auto"/>
                <w:sz w:val="24"/>
                <w:highlight w:val="none"/>
              </w:rPr>
            </w:pPr>
            <w:r>
              <w:rPr>
                <w:rFonts w:hint="eastAsia"/>
                <w:bCs/>
                <w:color w:val="auto"/>
                <w:sz w:val="24"/>
                <w:highlight w:val="none"/>
              </w:rPr>
              <w:t>/</w:t>
            </w:r>
          </w:p>
        </w:tc>
      </w:tr>
      <w:tr>
        <w:trPr>
          <w:trHeight w:val="5584"/>
        </w:trPr>
        <w:tc>
          <w:tcPr>
            <w:tcW w:w="473" w:type="pct"/>
            <w:tcMar>
              <w:left w:w="11" w:type="dxa"/>
              <w:right w:w="11" w:type="dxa"/>
            </w:tcMar>
            <w:vAlign w:val="center"/>
          </w:tcPr>
          <w:p>
            <w:pPr>
              <w:widowControl/>
              <w:jc w:val="center"/>
              <w:textAlignment w:val="center"/>
              <w:rPr>
                <w:color w:val="auto"/>
                <w:sz w:val="24"/>
                <w:highlight w:val="none"/>
              </w:rPr>
            </w:pPr>
            <w:r>
              <w:rPr>
                <w:rFonts w:hint="eastAsia"/>
                <w:color w:val="auto"/>
                <w:sz w:val="24"/>
                <w:highlight w:val="none"/>
              </w:rPr>
              <w:t>环境风险防范措施</w:t>
            </w:r>
          </w:p>
        </w:tc>
        <w:tc>
          <w:tcPr>
            <w:tcW w:w="4526" w:type="pct"/>
            <w:gridSpan w:val="4"/>
            <w:tcBorders>
              <w:left w:val="single" w:sz="4" w:space="0" w:color="auto"/>
            </w:tcBorders>
            <w:tcMar>
              <w:left w:w="11" w:type="dxa"/>
              <w:right w:w="11" w:type="dxa"/>
            </w:tcMar>
            <w:vAlign w:val="center"/>
          </w:tcPr>
          <w:p>
            <w:pPr>
              <w:rPr>
                <w:rFonts w:ascii="Times New Roman" w:eastAsia="宋体" w:cs="Times New Roman" w:hAnsi="Times New Roman" w:hint="eastAsia"/>
                <w:bCs/>
                <w:color w:val="auto"/>
                <w:kern w:val="0"/>
                <w:sz w:val="24"/>
                <w:highlight w:val="none"/>
              </w:rPr>
            </w:pPr>
            <w:r>
              <w:rPr>
                <w:rFonts w:ascii="Times New Roman" w:eastAsia="宋体" w:cs="Times New Roman" w:hAnsi="Times New Roman" w:hint="eastAsia"/>
                <w:bCs/>
                <w:color w:val="auto"/>
                <w:kern w:val="0"/>
                <w:sz w:val="24"/>
                <w:highlight w:val="none"/>
              </w:rPr>
              <w:t xml:space="preserve">为使环境风险减小到最低限度，必须加强劳动安全卫生管理，制定完备、有效的风险防范措施，尽可能降低环境风险事故发生的概率。 </w:t>
            </w:r>
          </w:p>
          <w:p>
            <w:pPr>
              <w:rPr>
                <w:rFonts w:ascii="Times New Roman" w:eastAsia="宋体" w:cs="Times New Roman" w:hAnsi="Times New Roman" w:hint="eastAsia"/>
                <w:bCs/>
                <w:color w:val="auto"/>
                <w:kern w:val="0"/>
                <w:sz w:val="24"/>
                <w:highlight w:val="none"/>
              </w:rPr>
            </w:pPr>
            <w:r>
              <w:rPr>
                <w:rFonts w:ascii="Times New Roman" w:eastAsia="宋体" w:cs="Times New Roman" w:hAnsi="Times New Roman" w:hint="eastAsia"/>
                <w:bCs/>
                <w:color w:val="auto"/>
                <w:kern w:val="0"/>
                <w:sz w:val="24"/>
                <w:highlight w:val="none"/>
              </w:rPr>
              <w:t>①危废暂存间必须由专人管理，按</w:t>
            </w:r>
            <w:r>
              <w:rPr>
                <w:rFonts w:ascii="Times New Roman" w:eastAsia="宋体" w:cs="Times New Roman" w:hAnsi="Times New Roman" w:hint="eastAsia"/>
                <w:bCs/>
                <w:color w:val="auto"/>
                <w:kern w:val="0"/>
                <w:sz w:val="24"/>
                <w:lang w:val="zh-CN"/>
                <w:highlight w:val="none"/>
              </w:rPr>
              <w:t>《危险废物贮存污染控制标准》（GB 18597-2023）</w:t>
            </w:r>
            <w:r>
              <w:rPr>
                <w:rFonts w:ascii="Times New Roman" w:eastAsia="宋体" w:cs="Times New Roman" w:hAnsi="Times New Roman" w:hint="eastAsia"/>
                <w:bCs/>
                <w:color w:val="auto"/>
                <w:kern w:val="0"/>
                <w:sz w:val="24"/>
                <w:highlight w:val="none"/>
              </w:rPr>
              <w:t>规定</w:t>
            </w:r>
            <w:r>
              <w:rPr>
                <w:rFonts w:ascii="Times New Roman" w:eastAsia="宋体" w:cs="Times New Roman" w:hAnsi="Times New Roman" w:hint="eastAsia"/>
                <w:bCs/>
                <w:color w:val="auto"/>
                <w:kern w:val="0"/>
                <w:sz w:val="24"/>
                <w:lang w:val="en-US" w:eastAsia="zh-CN"/>
                <w:highlight w:val="none"/>
              </w:rPr>
              <w:t>进行贮存，</w:t>
            </w:r>
            <w:r>
              <w:rPr>
                <w:rFonts w:ascii="Times New Roman" w:eastAsia="宋体" w:cs="Times New Roman" w:hAnsi="Times New Roman" w:hint="eastAsia"/>
                <w:bCs/>
                <w:color w:val="auto"/>
                <w:kern w:val="0"/>
                <w:sz w:val="24"/>
                <w:highlight w:val="none"/>
              </w:rPr>
              <w:t>防止无关人员进入。</w:t>
            </w:r>
          </w:p>
          <w:p>
            <w:pPr>
              <w:rPr>
                <w:rFonts w:ascii="Times New Roman" w:eastAsia="宋体" w:cs="Times New Roman" w:hAnsi="Times New Roman" w:hint="eastAsia"/>
                <w:bCs/>
                <w:color w:val="auto"/>
                <w:kern w:val="0"/>
                <w:sz w:val="24"/>
                <w:highlight w:val="none"/>
              </w:rPr>
            </w:pPr>
            <w:r>
              <w:rPr>
                <w:rFonts w:ascii="Times New Roman" w:eastAsia="宋体" w:cs="Times New Roman" w:hAnsi="Times New Roman" w:hint="eastAsia"/>
                <w:bCs/>
                <w:color w:val="auto"/>
                <w:kern w:val="0"/>
                <w:sz w:val="24"/>
                <w:highlight w:val="none"/>
              </w:rPr>
              <w:t xml:space="preserve">②在建筑物设计中严格按照《建筑设计防火规范》等规定，并按照《建筑灭火器配置设计规范》等要求配置相应的消防器材。 </w:t>
            </w:r>
          </w:p>
          <w:p>
            <w:pPr>
              <w:rPr>
                <w:rFonts w:ascii="Times New Roman" w:eastAsia="宋体" w:cs="Times New Roman" w:hAnsi="Times New Roman" w:hint="eastAsia"/>
                <w:bCs/>
                <w:color w:val="auto"/>
                <w:kern w:val="0"/>
                <w:sz w:val="24"/>
                <w:highlight w:val="none"/>
              </w:rPr>
            </w:pPr>
            <w:r>
              <w:rPr>
                <w:rFonts w:ascii="Times New Roman" w:eastAsia="宋体" w:cs="Times New Roman" w:hAnsi="Times New Roman" w:hint="eastAsia"/>
                <w:bCs/>
                <w:color w:val="auto"/>
                <w:kern w:val="0"/>
                <w:sz w:val="24"/>
                <w:highlight w:val="none"/>
              </w:rPr>
              <w:t>③项目</w:t>
            </w:r>
            <w:r>
              <w:rPr>
                <w:rFonts w:ascii="Times New Roman" w:eastAsia="宋体" w:cs="Times New Roman" w:hAnsi="Times New Roman" w:hint="eastAsia"/>
                <w:color w:val="auto"/>
                <w:spacing w:val="-1"/>
                <w:kern w:val="2"/>
                <w:sz w:val="24"/>
                <w:szCs w:val="24"/>
                <w:lang w:val="en-US" w:eastAsia="zh-CN" w:bidi="ar-SA"/>
                <w:highlight w:val="none"/>
              </w:rPr>
              <w:t>废铅蓄电池贮存区</w:t>
            </w:r>
            <w:r>
              <w:rPr>
                <w:rFonts w:cs="Times New Roman" w:hint="eastAsia"/>
                <w:color w:val="auto"/>
                <w:spacing w:val="-1"/>
                <w:kern w:val="2"/>
                <w:sz w:val="24"/>
                <w:szCs w:val="24"/>
                <w:lang w:val="en-US" w:eastAsia="zh-CN" w:bidi="ar-SA"/>
                <w:highlight w:val="none"/>
              </w:rPr>
              <w:t>、破损电池贮存区、危废间等</w:t>
            </w:r>
            <w:r>
              <w:rPr>
                <w:rFonts w:ascii="Times New Roman" w:eastAsia="宋体" w:cs="Times New Roman" w:hAnsi="Times New Roman" w:hint="eastAsia"/>
                <w:bCs/>
                <w:color w:val="auto"/>
                <w:kern w:val="0"/>
                <w:sz w:val="24"/>
                <w:highlight w:val="none"/>
              </w:rPr>
              <w:t>周围做好围堰</w:t>
            </w:r>
            <w:r>
              <w:rPr>
                <w:rFonts w:cs="Times New Roman" w:hint="eastAsia"/>
                <w:bCs/>
                <w:color w:val="auto"/>
                <w:kern w:val="0"/>
                <w:sz w:val="24"/>
                <w:lang w:eastAsia="zh-CN"/>
                <w:highlight w:val="none"/>
              </w:rPr>
              <w:t>，</w:t>
            </w:r>
            <w:r>
              <w:rPr>
                <w:rFonts w:ascii="Times New Roman" w:eastAsia="宋体" w:cs="Times New Roman" w:hAnsi="Times New Roman" w:hint="eastAsia"/>
                <w:bCs/>
                <w:color w:val="auto"/>
                <w:kern w:val="0"/>
                <w:sz w:val="24"/>
                <w:highlight w:val="none"/>
              </w:rPr>
              <w:t>地面做好防渗，设置堵截渗漏的裙脚。</w:t>
            </w:r>
            <w:r>
              <w:rPr>
                <w:rFonts w:cs="Times New Roman" w:hint="eastAsia"/>
                <w:bCs/>
                <w:color w:val="auto"/>
                <w:kern w:val="0"/>
                <w:sz w:val="24"/>
                <w:lang w:val="en-US" w:eastAsia="zh-CN"/>
                <w:highlight w:val="none"/>
              </w:rPr>
              <w:t>库房整体均</w:t>
            </w:r>
            <w:r>
              <w:rPr>
                <w:rFonts w:ascii="Times New Roman" w:eastAsia="宋体" w:cs="Times New Roman" w:hAnsi="Times New Roman" w:hint="eastAsia"/>
                <w:bCs/>
                <w:color w:val="auto"/>
                <w:kern w:val="0"/>
                <w:sz w:val="24"/>
                <w:highlight w:val="none"/>
              </w:rPr>
              <w:t>采取重点防渗</w:t>
            </w:r>
            <w:r>
              <w:rPr>
                <w:rFonts w:hint="eastAsia"/>
                <w:bCs/>
                <w:color w:val="auto"/>
                <w:sz w:val="24"/>
                <w:lang w:eastAsia="zh-CN"/>
                <w:highlight w:val="none"/>
              </w:rPr>
              <w:t>（</w:t>
            </w:r>
            <w:r>
              <w:rPr>
                <w:rFonts w:ascii="Times New Roman" w:eastAsia="宋体" w:cs="Times New Roman" w:hAnsi="Times New Roman" w:hint="eastAsia"/>
                <w:color w:val="auto"/>
                <w:spacing w:val="-1"/>
                <w:kern w:val="2"/>
                <w:sz w:val="24"/>
                <w:szCs w:val="24"/>
                <w:lang w:val="en-US" w:eastAsia="zh-CN" w:bidi="ar-SA"/>
                <w:highlight w:val="none"/>
              </w:rPr>
              <w:t>废铅蓄电池贮存区</w:t>
            </w:r>
            <w:r>
              <w:rPr>
                <w:rFonts w:cs="Times New Roman" w:hint="eastAsia"/>
                <w:color w:val="auto"/>
                <w:spacing w:val="-1"/>
                <w:kern w:val="2"/>
                <w:sz w:val="24"/>
                <w:szCs w:val="24"/>
                <w:lang w:val="en-US" w:eastAsia="zh-CN" w:bidi="ar-SA"/>
                <w:highlight w:val="none"/>
              </w:rPr>
              <w:t>及破损电池贮存区的</w:t>
            </w:r>
            <w:r>
              <w:rPr>
                <w:rFonts w:ascii="Times New Roman" w:eastAsia="宋体" w:cs="Times New Roman" w:hAnsi="Times New Roman" w:hint="eastAsia"/>
                <w:color w:val="auto"/>
                <w:spacing w:val="-1"/>
                <w:kern w:val="2"/>
                <w:sz w:val="24"/>
                <w:szCs w:val="24"/>
                <w:lang w:val="en-US" w:eastAsia="zh-CN" w:bidi="ar-SA"/>
                <w:highlight w:val="none"/>
              </w:rPr>
              <w:t>地面</w:t>
            </w:r>
            <w:r>
              <w:rPr>
                <w:rFonts w:cs="Times New Roman" w:hint="eastAsia"/>
                <w:color w:val="auto"/>
                <w:spacing w:val="-1"/>
                <w:kern w:val="2"/>
                <w:sz w:val="24"/>
                <w:szCs w:val="24"/>
                <w:lang w:val="en-US" w:eastAsia="zh-CN" w:bidi="ar-SA"/>
                <w:highlight w:val="none"/>
              </w:rPr>
              <w:t>和</w:t>
            </w:r>
            <w:r>
              <w:rPr>
                <w:rFonts w:ascii="Times New Roman" w:eastAsia="宋体" w:cs="Times New Roman" w:hAnsi="Times New Roman" w:hint="eastAsia"/>
                <w:color w:val="auto"/>
                <w:spacing w:val="-1"/>
                <w:kern w:val="2"/>
                <w:sz w:val="24"/>
                <w:szCs w:val="24"/>
                <w:lang w:val="en-US" w:eastAsia="zh-CN" w:bidi="ar-SA"/>
                <w:highlight w:val="none"/>
              </w:rPr>
              <w:t>墙裙</w:t>
            </w:r>
            <w:r>
              <w:rPr>
                <w:rFonts w:cs="Times New Roman" w:hint="eastAsia"/>
                <w:color w:val="auto"/>
                <w:spacing w:val="-1"/>
                <w:kern w:val="2"/>
                <w:sz w:val="24"/>
                <w:szCs w:val="24"/>
                <w:lang w:val="en-US" w:eastAsia="zh-CN" w:bidi="ar-SA"/>
                <w:highlight w:val="none"/>
              </w:rPr>
              <w:t>、废电解液导流槽和收集池、危废间等</w:t>
            </w:r>
            <w:r>
              <w:rPr>
                <w:rFonts w:hint="eastAsia"/>
                <w:bCs/>
                <w:color w:val="auto"/>
                <w:sz w:val="24"/>
                <w:lang w:eastAsia="zh-CN"/>
                <w:highlight w:val="none"/>
              </w:rPr>
              <w:t>），</w:t>
            </w:r>
            <w:r>
              <w:rPr>
                <w:rFonts w:ascii="Times New Roman" w:eastAsia="宋体" w:cs="Times New Roman" w:hAnsi="Times New Roman" w:hint="eastAsia"/>
                <w:bCs/>
                <w:color w:val="auto"/>
                <w:kern w:val="0"/>
                <w:sz w:val="24"/>
                <w:highlight w:val="none"/>
              </w:rPr>
              <w:t>地面防渗层为</w:t>
            </w:r>
            <w:r>
              <w:rPr>
                <w:rFonts w:cs="Times New Roman" w:hint="eastAsia"/>
                <w:bCs/>
                <w:color w:val="auto"/>
                <w:kern w:val="0"/>
                <w:sz w:val="24"/>
                <w:lang w:eastAsia="zh-CN"/>
                <w:highlight w:val="none"/>
              </w:rPr>
              <w:t>环氧防腐自流平，地面处理后基层采用环氧树脂涂装，检查后铺设砂浆层和腻子层，地面平整后进行环氧面层施工，</w:t>
            </w:r>
            <w:r>
              <w:rPr>
                <w:rFonts w:ascii="Times New Roman" w:eastAsia="宋体" w:cs="Times New Roman" w:hAnsi="Times New Roman" w:hint="eastAsia"/>
                <w:bCs/>
                <w:color w:val="auto"/>
                <w:kern w:val="0"/>
                <w:sz w:val="24"/>
                <w:highlight w:val="none"/>
              </w:rPr>
              <w:t>渗透系数不大于10</w:t>
            </w:r>
            <w:r>
              <w:rPr>
                <w:rFonts w:ascii="Times New Roman" w:eastAsia="宋体" w:cs="Times New Roman" w:hAnsi="Times New Roman" w:hint="eastAsia"/>
                <w:bCs/>
                <w:color w:val="auto"/>
                <w:kern w:val="0"/>
                <w:sz w:val="24"/>
                <w:vertAlign w:val="superscript"/>
                <w:highlight w:val="none"/>
              </w:rPr>
              <w:t>-10</w:t>
            </w:r>
            <w:r>
              <w:rPr>
                <w:rFonts w:ascii="Times New Roman" w:eastAsia="宋体" w:cs="Times New Roman" w:hAnsi="Times New Roman" w:hint="eastAsia"/>
                <w:bCs/>
                <w:color w:val="auto"/>
                <w:kern w:val="0"/>
                <w:sz w:val="24"/>
                <w:highlight w:val="none"/>
              </w:rPr>
              <w:t>cm/s。</w:t>
            </w:r>
          </w:p>
          <w:p>
            <w:pPr>
              <w:rPr>
                <w:color w:val="auto"/>
                <w:highlight w:val="none"/>
              </w:rPr>
            </w:pPr>
            <w:r>
              <w:rPr>
                <w:rFonts w:ascii="Times New Roman" w:eastAsia="宋体" w:cs="Times New Roman" w:hAnsi="Times New Roman" w:hint="eastAsia"/>
                <w:bCs/>
                <w:color w:val="auto"/>
                <w:kern w:val="0"/>
                <w:sz w:val="24"/>
                <w:highlight w:val="none"/>
              </w:rPr>
              <w:t>④按照要求制定《突发环境事件应急预案》，一旦发生突发事故，应及时发出警报，立即启动《突发环境事件应急预案》，并在救援小组的领导下，紧急隔离危险物品，切断电源，疏散人群，抢救受害人员，同时启动灭火、消防设备。</w:t>
            </w:r>
          </w:p>
        </w:tc>
      </w:tr>
      <w:tr>
        <w:trPr>
          <w:trHeight w:val="7833"/>
        </w:trPr>
        <w:tc>
          <w:tcPr>
            <w:tcW w:w="473" w:type="pct"/>
            <w:tcMar>
              <w:left w:w="11" w:type="dxa"/>
              <w:right w:w="11" w:type="dxa"/>
            </w:tcMar>
            <w:vAlign w:val="center"/>
          </w:tcPr>
          <w:p>
            <w:pPr>
              <w:widowControl/>
              <w:jc w:val="center"/>
              <w:textAlignment w:val="center"/>
              <w:rPr>
                <w:color w:val="auto"/>
                <w:sz w:val="24"/>
                <w:highlight w:val="none"/>
              </w:rPr>
            </w:pPr>
            <w:r>
              <w:rPr>
                <w:rFonts w:hint="eastAsia"/>
                <w:color w:val="auto"/>
                <w:sz w:val="24"/>
                <w:highlight w:val="none"/>
              </w:rPr>
              <w:t>其他环境管理要求</w:t>
            </w:r>
          </w:p>
        </w:tc>
        <w:tc>
          <w:tcPr>
            <w:tcW w:w="4526" w:type="pct"/>
            <w:gridSpan w:val="4"/>
            <w:tcBorders>
              <w:left w:val="single" w:sz="4" w:space="0" w:color="auto"/>
            </w:tcBorders>
            <w:tcMar>
              <w:left w:w="11" w:type="dxa"/>
              <w:right w:w="11" w:type="dxa"/>
            </w:tcMar>
            <w:vAlign w:val="center"/>
          </w:tcPr>
          <w:p>
            <w:pPr>
              <w:rPr>
                <w:color w:val="auto"/>
                <w:highlight w:val="none"/>
              </w:rPr>
            </w:pPr>
            <w:r>
              <w:rPr>
                <w:rFonts w:hint="eastAsia"/>
                <w:bCs/>
                <w:color w:val="auto"/>
                <w:sz w:val="24"/>
                <w:highlight w:val="none"/>
              </w:rPr>
              <w:t>公司设立环境管理人员，履行环保管理职责，按污染源监测计划实施定期监测。</w:t>
            </w:r>
          </w:p>
        </w:tc>
      </w:tr>
    </w:tbl>
    <w:p>
      <w:pPr>
        <w:pStyle w:val="35"/>
        <w:jc w:val="center"/>
        <w:outlineLvl w:val="0"/>
        <w:rPr>
          <w:rFonts w:ascii="黑体" w:eastAsia="黑体" w:hAnsi="黑体" w:hint="eastAsia"/>
          <w:snapToGrid w:val="0"/>
          <w:color w:val="auto"/>
          <w:sz w:val="30"/>
          <w:szCs w:val="30"/>
          <w:highlight w:val="none"/>
        </w:rPr>
      </w:pPr>
      <w:r>
        <w:rPr>
          <w:snapToGrid w:val="0"/>
          <w:color w:val="auto"/>
          <w:highlight w:val="none"/>
        </w:rPr>
        <w:br w:type="page"/>
      </w:r>
      <w:bookmarkStart w:id="61" w:name="_Toc10424"/>
      <w:bookmarkStart w:id="62" w:name="_Toc4605"/>
      <w:bookmarkStart w:id="63" w:name="_Toc19158"/>
      <w:bookmarkStart w:id="64" w:name="_Toc7108"/>
      <w:bookmarkStart w:id="65" w:name="_Toc20322"/>
      <w:r>
        <w:rPr>
          <w:rFonts w:ascii="黑体" w:eastAsia="黑体" w:hAnsi="黑体" w:hint="eastAsia"/>
          <w:snapToGrid w:val="0"/>
          <w:color w:val="auto"/>
          <w:sz w:val="30"/>
          <w:szCs w:val="30"/>
          <w:highlight w:val="none"/>
        </w:rPr>
        <w:t>六、结论</w:t>
      </w:r>
      <w:bookmarkEnd w:id="61"/>
      <w:bookmarkEnd w:id="62"/>
      <w:bookmarkEnd w:id="63"/>
      <w:bookmarkEnd w:id="64"/>
      <w:bookmarkEnd w:id="65"/>
    </w:p>
    <w:tbl>
      <w:tblPr>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0" w:type="dxa"/>
          <w:left w:w="108" w:type="dxa"/>
          <w:bottom w:w="0" w:type="dxa"/>
          <w:right w:w="108" w:type="dxa"/>
        </w:tblCellMar>
        <w:tblLook w:val="0600" w:firstRow="0" w:lastRow="0" w:firstColumn="0" w:lastColumn="0" w:noHBand="1" w:noVBand="1"/>
      </w:tblPr>
      <w:tblGrid>
        <w:gridCol w:w="8865"/>
      </w:tblGrid>
      <w:tr>
        <w:trPr>
          <w:trHeight w:val="11991"/>
        </w:trPr>
        <w:tc>
          <w:tcPr>
            <w:tcW w:w="8865" w:type="dxa"/>
            <w:vAlign w:val="center"/>
          </w:tcPr>
          <w:p>
            <w:pPr>
              <w:adjustRightInd w:val="0"/>
              <w:snapToGrid w:val="0"/>
              <w:ind w:firstLineChars="200" w:firstLine="420"/>
              <w:jc w:val="left"/>
              <w:rPr>
                <w:rFonts w:ascii="宋体" w:cs="宋体" w:hAnsi="宋体" w:hint="eastAsia"/>
                <w:color w:val="auto"/>
                <w:kern w:val="0"/>
                <w:szCs w:val="21"/>
                <w:highlight w:val="none"/>
              </w:rPr>
            </w:pPr>
          </w:p>
          <w:p>
            <w:pPr>
              <w:adjustRightInd w:val="0"/>
              <w:snapToGrid w:val="0"/>
              <w:ind w:firstLineChars="200" w:firstLine="420"/>
              <w:jc w:val="left"/>
              <w:rPr>
                <w:rFonts w:ascii="宋体" w:cs="宋体" w:hAnsi="宋体" w:hint="eastAsia"/>
                <w:color w:val="auto"/>
                <w:kern w:val="0"/>
                <w:szCs w:val="21"/>
                <w:highlight w:val="none"/>
              </w:rPr>
            </w:pPr>
          </w:p>
          <w:p>
            <w:pPr>
              <w:adjustRightInd w:val="0"/>
              <w:snapToGrid w:val="0"/>
              <w:ind w:firstLineChars="200" w:firstLine="420"/>
              <w:jc w:val="left"/>
              <w:rPr>
                <w:rFonts w:ascii="宋体" w:cs="宋体" w:hAnsi="宋体" w:hint="eastAsia"/>
                <w:color w:val="auto"/>
                <w:kern w:val="0"/>
                <w:szCs w:val="21"/>
                <w:highlight w:val="none"/>
              </w:rPr>
            </w:pPr>
          </w:p>
          <w:p>
            <w:pPr>
              <w:adjustRightInd w:val="0"/>
              <w:snapToGrid w:val="0"/>
              <w:ind w:firstLineChars="200" w:firstLine="420"/>
              <w:jc w:val="left"/>
              <w:rPr>
                <w:rFonts w:ascii="宋体" w:cs="宋体" w:hAnsi="宋体" w:hint="eastAsia"/>
                <w:color w:val="auto"/>
                <w:kern w:val="0"/>
                <w:szCs w:val="21"/>
                <w:highlight w:val="none"/>
              </w:rPr>
            </w:pPr>
          </w:p>
          <w:p>
            <w:pPr>
              <w:adjustRightInd w:val="0"/>
              <w:snapToGrid w:val="0"/>
              <w:ind w:firstLineChars="200" w:firstLine="420"/>
              <w:jc w:val="left"/>
              <w:rPr>
                <w:rFonts w:ascii="宋体" w:cs="宋体" w:hAnsi="宋体" w:hint="eastAsia"/>
                <w:color w:val="auto"/>
                <w:kern w:val="0"/>
                <w:szCs w:val="21"/>
                <w:highlight w:val="none"/>
              </w:rPr>
            </w:pPr>
          </w:p>
          <w:p>
            <w:pPr>
              <w:adjustRightInd w:val="0"/>
              <w:snapToGrid w:val="0"/>
              <w:ind w:firstLineChars="200" w:firstLine="420"/>
              <w:jc w:val="left"/>
              <w:rPr>
                <w:rFonts w:ascii="宋体" w:cs="宋体" w:hAnsi="宋体" w:hint="eastAsia"/>
                <w:color w:val="auto"/>
                <w:kern w:val="0"/>
                <w:szCs w:val="21"/>
                <w:highlight w:val="none"/>
              </w:rPr>
            </w:pPr>
          </w:p>
          <w:p>
            <w:pPr>
              <w:adjustRightInd w:val="0"/>
              <w:snapToGrid w:val="0"/>
              <w:ind w:firstLineChars="200" w:firstLine="420"/>
              <w:jc w:val="left"/>
              <w:rPr>
                <w:rFonts w:ascii="宋体" w:cs="宋体" w:hAnsi="宋体" w:hint="eastAsia"/>
                <w:color w:val="auto"/>
                <w:kern w:val="0"/>
                <w:szCs w:val="21"/>
                <w:highlight w:val="none"/>
              </w:rPr>
            </w:pPr>
          </w:p>
          <w:p>
            <w:pPr>
              <w:adjustRightInd w:val="0"/>
              <w:snapToGrid w:val="0"/>
              <w:ind w:firstLineChars="200" w:firstLine="420"/>
              <w:jc w:val="left"/>
              <w:rPr>
                <w:rFonts w:ascii="宋体" w:cs="宋体" w:hAnsi="宋体" w:hint="eastAsia"/>
                <w:color w:val="auto"/>
                <w:kern w:val="0"/>
                <w:szCs w:val="21"/>
                <w:highlight w:val="none"/>
              </w:rPr>
            </w:pPr>
          </w:p>
          <w:p>
            <w:pPr>
              <w:adjustRightInd w:val="0"/>
              <w:snapToGrid w:val="0"/>
              <w:ind w:firstLineChars="200" w:firstLine="420"/>
              <w:jc w:val="left"/>
              <w:rPr>
                <w:rFonts w:ascii="宋体" w:cs="宋体" w:hAnsi="宋体" w:hint="eastAsia"/>
                <w:color w:val="auto"/>
                <w:kern w:val="0"/>
                <w:szCs w:val="21"/>
                <w:highlight w:val="none"/>
              </w:rPr>
            </w:pPr>
          </w:p>
          <w:p>
            <w:pPr>
              <w:adjustRightInd w:val="0"/>
              <w:snapToGrid w:val="0"/>
              <w:ind w:firstLineChars="200" w:firstLine="420"/>
              <w:jc w:val="left"/>
              <w:rPr>
                <w:rFonts w:ascii="宋体" w:cs="宋体" w:hAnsi="宋体" w:hint="eastAsia"/>
                <w:color w:val="auto"/>
                <w:kern w:val="0"/>
                <w:szCs w:val="21"/>
                <w:highlight w:val="none"/>
              </w:rPr>
            </w:pPr>
          </w:p>
          <w:p>
            <w:pPr>
              <w:adjustRightInd w:val="0"/>
              <w:snapToGrid w:val="0"/>
              <w:ind w:firstLineChars="200" w:firstLine="420"/>
              <w:jc w:val="left"/>
              <w:rPr>
                <w:rFonts w:ascii="宋体" w:cs="宋体" w:hAnsi="宋体" w:hint="eastAsia"/>
                <w:color w:val="auto"/>
                <w:kern w:val="0"/>
                <w:szCs w:val="21"/>
                <w:highlight w:val="none"/>
              </w:rPr>
            </w:pPr>
          </w:p>
          <w:p>
            <w:pPr>
              <w:adjustRightInd w:val="0"/>
              <w:snapToGrid w:val="0"/>
              <w:ind w:firstLineChars="200" w:firstLine="420"/>
              <w:jc w:val="left"/>
              <w:rPr>
                <w:rFonts w:ascii="宋体" w:cs="宋体" w:hAnsi="宋体" w:hint="eastAsia"/>
                <w:color w:val="auto"/>
                <w:kern w:val="0"/>
                <w:szCs w:val="21"/>
                <w:highlight w:val="none"/>
              </w:rPr>
            </w:pPr>
          </w:p>
          <w:p>
            <w:pPr>
              <w:adjustRightInd w:val="0"/>
              <w:snapToGrid w:val="0"/>
              <w:ind w:firstLineChars="200" w:firstLine="420"/>
              <w:jc w:val="left"/>
              <w:rPr>
                <w:rFonts w:ascii="宋体" w:cs="宋体" w:hAnsi="宋体" w:hint="eastAsia"/>
                <w:color w:val="auto"/>
                <w:kern w:val="0"/>
                <w:szCs w:val="21"/>
                <w:highlight w:val="none"/>
              </w:rPr>
            </w:pPr>
          </w:p>
          <w:p>
            <w:pPr>
              <w:adjustRightInd w:val="0"/>
              <w:snapToGrid w:val="0"/>
              <w:ind w:firstLineChars="200" w:firstLine="420"/>
              <w:jc w:val="left"/>
              <w:rPr>
                <w:rFonts w:ascii="宋体" w:cs="宋体" w:hAnsi="宋体" w:hint="eastAsia"/>
                <w:color w:val="auto"/>
                <w:kern w:val="0"/>
                <w:szCs w:val="21"/>
                <w:highlight w:val="none"/>
              </w:rPr>
            </w:pPr>
          </w:p>
          <w:p>
            <w:pPr>
              <w:adjustRightInd w:val="0"/>
              <w:snapToGrid w:val="0"/>
              <w:ind w:firstLineChars="200" w:firstLine="420"/>
              <w:jc w:val="left"/>
              <w:rPr>
                <w:rFonts w:ascii="宋体" w:cs="宋体" w:hAnsi="宋体" w:hint="eastAsia"/>
                <w:color w:val="auto"/>
                <w:kern w:val="0"/>
                <w:szCs w:val="21"/>
                <w:highlight w:val="none"/>
              </w:rPr>
            </w:pPr>
          </w:p>
          <w:p>
            <w:pPr>
              <w:adjustRightInd w:val="0"/>
              <w:snapToGrid w:val="0"/>
              <w:ind w:firstLineChars="200" w:firstLine="420"/>
              <w:jc w:val="left"/>
              <w:rPr>
                <w:rFonts w:ascii="宋体" w:cs="宋体" w:hAnsi="宋体" w:hint="eastAsia"/>
                <w:color w:val="auto"/>
                <w:kern w:val="0"/>
                <w:szCs w:val="21"/>
                <w:highlight w:val="none"/>
              </w:rPr>
            </w:pPr>
          </w:p>
          <w:p>
            <w:pPr>
              <w:adjustRightInd w:val="0"/>
              <w:snapToGrid w:val="0"/>
              <w:ind w:firstLineChars="200" w:firstLine="420"/>
              <w:jc w:val="left"/>
              <w:rPr>
                <w:rFonts w:ascii="宋体" w:cs="宋体" w:hAnsi="宋体" w:hint="eastAsia"/>
                <w:color w:val="auto"/>
                <w:kern w:val="0"/>
                <w:szCs w:val="21"/>
                <w:highlight w:val="none"/>
              </w:rPr>
            </w:pPr>
          </w:p>
          <w:p>
            <w:pPr>
              <w:adjustRightInd w:val="0"/>
              <w:snapToGrid w:val="0"/>
              <w:ind w:firstLineChars="200" w:firstLine="420"/>
              <w:jc w:val="left"/>
              <w:rPr>
                <w:rFonts w:ascii="宋体" w:cs="宋体" w:hAnsi="宋体" w:hint="eastAsia"/>
                <w:color w:val="auto"/>
                <w:kern w:val="0"/>
                <w:szCs w:val="21"/>
                <w:highlight w:val="none"/>
              </w:rPr>
            </w:pPr>
          </w:p>
          <w:p>
            <w:pPr>
              <w:adjustRightInd w:val="0"/>
              <w:snapToGrid w:val="0"/>
              <w:ind w:firstLineChars="200" w:firstLine="420"/>
              <w:jc w:val="left"/>
              <w:rPr>
                <w:rFonts w:ascii="宋体" w:cs="宋体" w:hAnsi="宋体" w:hint="eastAsia"/>
                <w:color w:val="auto"/>
                <w:kern w:val="0"/>
                <w:szCs w:val="21"/>
                <w:highlight w:val="none"/>
              </w:rPr>
            </w:pPr>
          </w:p>
          <w:p>
            <w:pPr>
              <w:adjustRightInd w:val="0"/>
              <w:snapToGrid w:val="0"/>
              <w:spacing w:line="460" w:lineRule="exact"/>
              <w:ind w:firstLineChars="200" w:firstLine="480"/>
              <w:rPr>
                <w:rFonts w:ascii="宋体" w:cs="宋体" w:hAnsi="宋体" w:hint="eastAsia"/>
                <w:color w:val="auto"/>
                <w:kern w:val="0"/>
                <w:sz w:val="24"/>
                <w:highlight w:val="none"/>
              </w:rPr>
            </w:pPr>
            <w:r>
              <w:rPr>
                <w:rFonts w:ascii="宋体" w:cs="宋体" w:hAnsi="宋体" w:hint="eastAsia"/>
                <w:color w:val="auto"/>
                <w:kern w:val="0"/>
                <w:sz w:val="24"/>
                <w:highlight w:val="none"/>
              </w:rPr>
              <w:t>项目符合国家及地方产业政策，选址合理，污染源治理措施可靠有效，污染物均能够达标排放，固体废物能得到合理处置；环境风险在落实各项措施和加强管理的条件下，在可接受范围之内；污染物排放总量符合污染物总量控制要求。在全面加强监督管理，执行环保</w:t>
            </w:r>
            <w:r>
              <w:rPr>
                <w:rFonts w:ascii="宋体" w:cs="宋体" w:hAnsi="宋体" w:hint="eastAsia"/>
                <w:color w:val="auto"/>
                <w:kern w:val="0"/>
                <w:sz w:val="24"/>
                <w:lang w:eastAsia="zh-CN"/>
                <w:highlight w:val="none"/>
              </w:rPr>
              <w:t>“</w:t>
            </w:r>
            <w:r>
              <w:rPr>
                <w:rFonts w:ascii="宋体" w:cs="宋体" w:hAnsi="宋体" w:hint="eastAsia"/>
                <w:color w:val="auto"/>
                <w:kern w:val="0"/>
                <w:sz w:val="24"/>
                <w:highlight w:val="none"/>
              </w:rPr>
              <w:t>三同时</w:t>
            </w:r>
            <w:r>
              <w:rPr>
                <w:rFonts w:ascii="宋体" w:cs="宋体" w:hAnsi="宋体" w:hint="eastAsia"/>
                <w:color w:val="auto"/>
                <w:kern w:val="0"/>
                <w:sz w:val="24"/>
                <w:lang w:eastAsia="zh-CN"/>
                <w:highlight w:val="none"/>
              </w:rPr>
              <w:t>”</w:t>
            </w:r>
            <w:r>
              <w:rPr>
                <w:rFonts w:ascii="宋体" w:cs="宋体" w:hAnsi="宋体" w:hint="eastAsia"/>
                <w:color w:val="auto"/>
                <w:kern w:val="0"/>
                <w:sz w:val="24"/>
                <w:highlight w:val="none"/>
              </w:rPr>
              <w:t>制度和认真落实各项环保措施的条件下，从环境保护角度分析，项目建设可行。</w:t>
            </w:r>
          </w:p>
          <w:p>
            <w:pPr>
              <w:adjustRightInd w:val="0"/>
              <w:snapToGrid w:val="0"/>
              <w:ind w:firstLineChars="200" w:firstLine="420"/>
              <w:jc w:val="left"/>
              <w:rPr>
                <w:rFonts w:ascii="宋体" w:cs="宋体" w:hAnsi="宋体" w:hint="eastAsia"/>
                <w:color w:val="auto"/>
                <w:kern w:val="0"/>
                <w:szCs w:val="21"/>
                <w:highlight w:val="none"/>
              </w:rPr>
            </w:pPr>
          </w:p>
          <w:p>
            <w:pPr>
              <w:adjustRightInd w:val="0"/>
              <w:snapToGrid w:val="0"/>
              <w:ind w:firstLineChars="200" w:firstLine="420"/>
              <w:jc w:val="left"/>
              <w:rPr>
                <w:rFonts w:ascii="宋体" w:cs="宋体" w:hAnsi="宋体" w:hint="eastAsia"/>
                <w:color w:val="auto"/>
                <w:kern w:val="0"/>
                <w:szCs w:val="21"/>
                <w:highlight w:val="none"/>
              </w:rPr>
            </w:pPr>
          </w:p>
          <w:p>
            <w:pPr>
              <w:adjustRightInd w:val="0"/>
              <w:snapToGrid w:val="0"/>
              <w:ind w:firstLineChars="200" w:firstLine="420"/>
              <w:jc w:val="left"/>
              <w:rPr>
                <w:rFonts w:ascii="宋体" w:cs="宋体" w:hAnsi="宋体" w:hint="eastAsia"/>
                <w:color w:val="auto"/>
                <w:kern w:val="0"/>
                <w:szCs w:val="21"/>
                <w:highlight w:val="none"/>
              </w:rPr>
            </w:pPr>
          </w:p>
          <w:p>
            <w:pPr>
              <w:adjustRightInd w:val="0"/>
              <w:snapToGrid w:val="0"/>
              <w:ind w:firstLineChars="200" w:firstLine="420"/>
              <w:jc w:val="left"/>
              <w:rPr>
                <w:rFonts w:ascii="宋体" w:cs="宋体" w:hAnsi="宋体" w:hint="eastAsia"/>
                <w:color w:val="auto"/>
                <w:kern w:val="0"/>
                <w:szCs w:val="21"/>
                <w:highlight w:val="none"/>
              </w:rPr>
            </w:pPr>
          </w:p>
          <w:p>
            <w:pPr>
              <w:adjustRightInd w:val="0"/>
              <w:snapToGrid w:val="0"/>
              <w:ind w:firstLineChars="200" w:firstLine="420"/>
              <w:jc w:val="left"/>
              <w:rPr>
                <w:rFonts w:ascii="宋体" w:cs="宋体" w:hAnsi="宋体" w:hint="eastAsia"/>
                <w:color w:val="auto"/>
                <w:kern w:val="0"/>
                <w:szCs w:val="21"/>
                <w:highlight w:val="none"/>
              </w:rPr>
            </w:pPr>
          </w:p>
          <w:p>
            <w:pPr>
              <w:adjustRightInd w:val="0"/>
              <w:snapToGrid w:val="0"/>
              <w:ind w:firstLineChars="200" w:firstLine="420"/>
              <w:jc w:val="left"/>
              <w:rPr>
                <w:rFonts w:ascii="宋体" w:cs="宋体" w:hAnsi="宋体" w:hint="eastAsia"/>
                <w:color w:val="auto"/>
                <w:kern w:val="0"/>
                <w:szCs w:val="21"/>
                <w:highlight w:val="none"/>
              </w:rPr>
            </w:pPr>
          </w:p>
          <w:p>
            <w:pPr>
              <w:adjustRightInd w:val="0"/>
              <w:snapToGrid w:val="0"/>
              <w:ind w:firstLineChars="200" w:firstLine="420"/>
              <w:jc w:val="left"/>
              <w:rPr>
                <w:rFonts w:ascii="宋体" w:cs="宋体" w:hAnsi="宋体" w:hint="eastAsia"/>
                <w:color w:val="auto"/>
                <w:kern w:val="0"/>
                <w:szCs w:val="21"/>
                <w:highlight w:val="none"/>
              </w:rPr>
            </w:pPr>
          </w:p>
          <w:p>
            <w:pPr>
              <w:adjustRightInd w:val="0"/>
              <w:snapToGrid w:val="0"/>
              <w:ind w:firstLineChars="200" w:firstLine="420"/>
              <w:jc w:val="left"/>
              <w:rPr>
                <w:rFonts w:ascii="宋体" w:cs="宋体" w:hAnsi="宋体" w:hint="eastAsia"/>
                <w:color w:val="auto"/>
                <w:kern w:val="0"/>
                <w:szCs w:val="21"/>
                <w:highlight w:val="none"/>
              </w:rPr>
            </w:pPr>
          </w:p>
          <w:p>
            <w:pPr>
              <w:adjustRightInd w:val="0"/>
              <w:snapToGrid w:val="0"/>
              <w:ind w:firstLineChars="200" w:firstLine="420"/>
              <w:jc w:val="left"/>
              <w:rPr>
                <w:rFonts w:ascii="宋体" w:cs="宋体" w:hAnsi="宋体" w:hint="eastAsia"/>
                <w:color w:val="auto"/>
                <w:kern w:val="0"/>
                <w:szCs w:val="21"/>
                <w:highlight w:val="none"/>
              </w:rPr>
            </w:pPr>
          </w:p>
          <w:p>
            <w:pPr>
              <w:adjustRightInd w:val="0"/>
              <w:snapToGrid w:val="0"/>
              <w:ind w:firstLineChars="200" w:firstLine="420"/>
              <w:jc w:val="left"/>
              <w:rPr>
                <w:rFonts w:ascii="宋体" w:cs="宋体" w:hAnsi="宋体" w:hint="eastAsia"/>
                <w:color w:val="auto"/>
                <w:kern w:val="0"/>
                <w:szCs w:val="21"/>
                <w:highlight w:val="none"/>
              </w:rPr>
            </w:pPr>
          </w:p>
          <w:p>
            <w:pPr>
              <w:adjustRightInd w:val="0"/>
              <w:snapToGrid w:val="0"/>
              <w:ind w:firstLineChars="200" w:firstLine="420"/>
              <w:jc w:val="left"/>
              <w:rPr>
                <w:rFonts w:ascii="宋体" w:cs="宋体" w:hAnsi="宋体" w:hint="eastAsia"/>
                <w:color w:val="auto"/>
                <w:kern w:val="0"/>
                <w:szCs w:val="21"/>
                <w:highlight w:val="none"/>
              </w:rPr>
            </w:pPr>
          </w:p>
          <w:p>
            <w:pPr>
              <w:adjustRightInd w:val="0"/>
              <w:snapToGrid w:val="0"/>
              <w:ind w:firstLineChars="200" w:firstLine="420"/>
              <w:jc w:val="left"/>
              <w:rPr>
                <w:rFonts w:ascii="宋体" w:cs="宋体" w:hAnsi="宋体" w:hint="eastAsia"/>
                <w:color w:val="auto"/>
                <w:kern w:val="0"/>
                <w:szCs w:val="21"/>
                <w:highlight w:val="none"/>
              </w:rPr>
            </w:pPr>
          </w:p>
          <w:p>
            <w:pPr>
              <w:adjustRightInd w:val="0"/>
              <w:snapToGrid w:val="0"/>
              <w:ind w:firstLineChars="200" w:firstLine="420"/>
              <w:jc w:val="left"/>
              <w:rPr>
                <w:rFonts w:ascii="宋体" w:cs="宋体" w:hAnsi="宋体" w:hint="eastAsia"/>
                <w:color w:val="auto"/>
                <w:kern w:val="0"/>
                <w:szCs w:val="21"/>
                <w:highlight w:val="none"/>
              </w:rPr>
            </w:pPr>
          </w:p>
          <w:p>
            <w:pPr>
              <w:adjustRightInd w:val="0"/>
              <w:snapToGrid w:val="0"/>
              <w:ind w:firstLineChars="200" w:firstLine="420"/>
              <w:jc w:val="left"/>
              <w:rPr>
                <w:rFonts w:ascii="宋体" w:cs="宋体" w:hAnsi="宋体" w:hint="eastAsia"/>
                <w:color w:val="auto"/>
                <w:kern w:val="0"/>
                <w:szCs w:val="21"/>
                <w:highlight w:val="none"/>
              </w:rPr>
            </w:pPr>
          </w:p>
          <w:p>
            <w:pPr>
              <w:adjustRightInd w:val="0"/>
              <w:snapToGrid w:val="0"/>
              <w:ind w:firstLineChars="200" w:firstLine="420"/>
              <w:jc w:val="left"/>
              <w:rPr>
                <w:rFonts w:ascii="宋体" w:cs="宋体" w:hAnsi="宋体" w:hint="eastAsia"/>
                <w:color w:val="auto"/>
                <w:kern w:val="0"/>
                <w:szCs w:val="21"/>
                <w:highlight w:val="none"/>
              </w:rPr>
            </w:pPr>
          </w:p>
          <w:p>
            <w:pPr>
              <w:pStyle w:val="16"/>
              <w:rPr>
                <w:rFonts w:ascii="宋体" w:cs="宋体" w:hAnsi="宋体" w:hint="eastAsia"/>
                <w:color w:val="auto"/>
                <w:szCs w:val="21"/>
                <w:highlight w:val="none"/>
              </w:rPr>
            </w:pPr>
          </w:p>
          <w:p>
            <w:pPr>
              <w:pStyle w:val="15"/>
              <w:rPr>
                <w:rFonts w:cs="宋体" w:hAnsi="宋体" w:hint="eastAsia"/>
                <w:color w:val="auto"/>
                <w:szCs w:val="21"/>
                <w:highlight w:val="none"/>
              </w:rPr>
            </w:pPr>
          </w:p>
          <w:p>
            <w:pPr>
              <w:rPr>
                <w:rFonts w:ascii="宋体" w:cs="宋体" w:hAnsi="宋体" w:hint="eastAsia"/>
                <w:color w:val="auto"/>
                <w:kern w:val="0"/>
                <w:szCs w:val="21"/>
                <w:highlight w:val="none"/>
              </w:rPr>
            </w:pPr>
          </w:p>
          <w:p>
            <w:pPr>
              <w:pStyle w:val="16"/>
              <w:rPr>
                <w:color w:val="auto"/>
                <w:highlight w:val="none"/>
              </w:rPr>
            </w:pPr>
          </w:p>
          <w:p>
            <w:pPr>
              <w:adjustRightInd w:val="0"/>
              <w:snapToGrid w:val="0"/>
              <w:jc w:val="left"/>
              <w:rPr>
                <w:rFonts w:ascii="宋体" w:cs="宋体"/>
                <w:color w:val="auto"/>
                <w:sz w:val="24"/>
                <w:highlight w:val="none"/>
              </w:rPr>
            </w:pPr>
          </w:p>
        </w:tc>
      </w:tr>
    </w:tbl>
    <w:p>
      <w:pPr>
        <w:rPr>
          <w:rFonts w:ascii="宋体"/>
          <w:color w:val="auto"/>
          <w:highlight w:val="none"/>
        </w:rPr>
        <w:sectPr>
          <w:footerReference w:type="default" r:id="rId5"/>
          <w:pgSz w:w="11906" w:h="16838"/>
          <w:pgMar w:top="1134" w:right="1134" w:bottom="1134" w:left="1134" w:header="851" w:footer="851" w:gutter="0"/>
          <w:pgBorders>
            <w:top w:val="none" w:sz="0" w:space="0" w:color="auto"/>
            <w:left w:val="none" w:sz="0" w:space="0" w:color="auto"/>
            <w:bottom w:val="none" w:sz="0" w:space="0" w:color="auto"/>
            <w:right w:val="none" w:sz="0" w:space="0" w:color="auto"/>
          </w:pgBorders>
          <w:pgNumType/>
          <w:cols w:num="1" w:space="720"/>
          <w:docGrid w:linePitch="312" w:charSpace="0"/>
        </w:sectPr>
      </w:pPr>
    </w:p>
    <w:p>
      <w:pPr>
        <w:pStyle w:val="35"/>
        <w:adjustRightInd w:val="0"/>
        <w:snapToGrid w:val="0"/>
        <w:spacing w:before="0" w:beforeAutospacing="0" w:after="0" w:afterAutospacing="0"/>
        <w:outlineLvl w:val="0"/>
        <w:rPr>
          <w:rFonts w:ascii="黑体" w:eastAsia="黑体" w:hAnsi="黑体" w:hint="eastAsia"/>
          <w:snapToGrid w:val="0"/>
          <w:color w:val="auto"/>
          <w:sz w:val="32"/>
          <w:szCs w:val="32"/>
          <w:highlight w:val="none"/>
        </w:rPr>
      </w:pPr>
      <w:bookmarkStart w:id="66" w:name="_Toc3723"/>
      <w:bookmarkStart w:id="67" w:name="_Toc10215"/>
      <w:bookmarkStart w:id="68" w:name="_Toc18692"/>
      <w:bookmarkStart w:id="69" w:name="_Toc271"/>
      <w:bookmarkStart w:id="70" w:name="_Toc14316"/>
      <w:r>
        <w:rPr>
          <w:rFonts w:ascii="黑体" w:eastAsia="黑体" w:hAnsi="黑体" w:hint="eastAsia"/>
          <w:snapToGrid w:val="0"/>
          <w:color w:val="auto"/>
          <w:sz w:val="32"/>
          <w:szCs w:val="32"/>
          <w:highlight w:val="none"/>
        </w:rPr>
        <w:t>附表</w:t>
      </w:r>
    </w:p>
    <w:p>
      <w:pPr>
        <w:pStyle w:val="35"/>
        <w:adjustRightInd w:val="0"/>
        <w:snapToGrid w:val="0"/>
        <w:spacing w:before="0" w:beforeAutospacing="0" w:after="0" w:afterAutospacing="0"/>
        <w:jc w:val="center"/>
        <w:rPr>
          <w:rFonts w:ascii="Times New Roman" w:eastAsia="方正小标宋_GBK" w:cs="Times New Roman" w:hAnsi="Times New Roman"/>
          <w:snapToGrid w:val="0"/>
          <w:color w:val="auto"/>
          <w:sz w:val="38"/>
          <w:szCs w:val="38"/>
          <w:lang w:val="en-US" w:eastAsia="zh-CN"/>
          <w:highlight w:val="none"/>
        </w:rPr>
      </w:pPr>
      <w:bookmarkStart w:id="71" w:name="_Toc14871"/>
      <w:bookmarkStart w:id="72" w:name="_Toc11004"/>
      <w:bookmarkStart w:id="73" w:name="_Toc12649"/>
      <w:bookmarkStart w:id="74" w:name="_Toc5945"/>
      <w:r>
        <w:rPr>
          <w:rFonts w:ascii="Times New Roman" w:eastAsia="方正小标宋_GBK" w:cs="Times New Roman" w:hAnsi="Times New Roman"/>
          <w:snapToGrid w:val="0"/>
          <w:color w:val="auto"/>
          <w:sz w:val="38"/>
          <w:szCs w:val="38"/>
          <w:highlight w:val="none"/>
        </w:rPr>
        <w:t>建设项目污染物排放量汇总表</w:t>
      </w:r>
      <w:bookmarkEnd w:id="71"/>
      <w:bookmarkEnd w:id="72"/>
      <w:bookmarkEnd w:id="73"/>
      <w:bookmarkEnd w:id="74"/>
      <w:r>
        <w:rPr>
          <w:rFonts w:ascii="Times New Roman" w:eastAsia="方正小标宋_GBK" w:cs="Times New Roman" w:hAnsi="Times New Roman"/>
          <w:snapToGrid w:val="0"/>
          <w:color w:val="auto"/>
          <w:sz w:val="38"/>
          <w:szCs w:val="38"/>
          <w:lang w:val="en-US" w:eastAsia="zh-CN"/>
          <w:highlight w:val="none"/>
        </w:rPr>
        <w:t xml:space="preserve">    单位：t/a</w:t>
      </w:r>
    </w:p>
    <w:tbl>
      <w:tblPr>
        <w:jc w:val="center"/>
        <w:tblW w:w="4987" w:type="pct"/>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top w:w="0" w:type="dxa"/>
          <w:left w:w="108" w:type="dxa"/>
          <w:bottom w:w="0" w:type="dxa"/>
          <w:right w:w="108" w:type="dxa"/>
        </w:tblCellMar>
        <w:tblLook w:val="0600" w:firstRow="0" w:lastRow="0" w:firstColumn="0" w:lastColumn="0" w:noHBand="1" w:noVBand="1"/>
      </w:tblPr>
      <w:tblGrid>
        <w:gridCol w:w="847"/>
        <w:gridCol w:w="5101"/>
        <w:gridCol w:w="2338"/>
        <w:gridCol w:w="1202"/>
        <w:gridCol w:w="1770"/>
        <w:gridCol w:w="2221"/>
        <w:gridCol w:w="476"/>
        <w:gridCol w:w="689"/>
        <w:gridCol w:w="689"/>
      </w:tblGrid>
      <w:tr>
        <w:trPr>
          <w:trHeight w:val="340"/>
        </w:trPr>
        <w:tc>
          <w:tcPr>
            <w:tcW w:w="276" w:type="pct"/>
            <w:tcBorders>
              <w:tl2br w:val="single" w:sz="4" w:space="0" w:color="auto"/>
            </w:tcBorders>
            <w:tcMar>
              <w:left w:w="28" w:type="dxa"/>
              <w:right w:w="28" w:type="dxa"/>
            </w:tcMar>
            <w:vAlign w:val="center"/>
          </w:tcPr>
          <w:p>
            <w:pPr>
              <w:pStyle w:val="55"/>
              <w:keepNext w:val="0"/>
              <w:keepLines w:val="0"/>
              <w:pageBreakBefore w:val="0"/>
              <w:kinsoku/>
              <w:wordWrap/>
              <w:overflowPunct/>
              <w:topLinePunct w:val="0"/>
              <w:bidi w:val="0"/>
              <w:spacing w:beforeLines="0" w:before="10" w:afterLines="0" w:after="0" w:line="240" w:lineRule="auto"/>
              <w:ind w:firstLineChars="0" w:firstLine="0"/>
              <w:jc w:val="center"/>
              <w:rPr>
                <w:rFonts w:ascii="Times New Roman" w:hAnsi="Times New Roman"/>
                <w:snapToGrid w:val="0"/>
                <w:color w:val="auto"/>
                <w:kern w:val="21"/>
                <w:szCs w:val="21"/>
                <w:highlight w:val="none"/>
              </w:rPr>
            </w:pPr>
            <w:r>
              <w:rPr>
                <w:rFonts w:ascii="Times New Roman" w:hAnsi="Times New Roman" w:hint="eastAsia"/>
                <w:snapToGrid w:val="0"/>
                <w:color w:val="auto"/>
                <w:kern w:val="21"/>
                <w:szCs w:val="21"/>
                <w:highlight w:val="none"/>
              </w:rPr>
              <w:t xml:space="preserve">     项目</w:t>
            </w:r>
          </w:p>
          <w:p>
            <w:pPr>
              <w:pStyle w:val="55"/>
              <w:keepNext w:val="0"/>
              <w:keepLines w:val="0"/>
              <w:pageBreakBefore w:val="0"/>
              <w:kinsoku/>
              <w:wordWrap/>
              <w:overflowPunct/>
              <w:topLinePunct w:val="0"/>
              <w:bidi w:val="0"/>
              <w:spacing w:beforeLines="0" w:before="10" w:afterLines="0" w:after="0" w:line="240" w:lineRule="auto"/>
              <w:ind w:firstLineChars="0" w:firstLine="0"/>
              <w:jc w:val="both"/>
              <w:rPr>
                <w:rFonts w:ascii="Times New Roman" w:hAnsi="Times New Roman"/>
                <w:snapToGrid w:val="0"/>
                <w:color w:val="auto"/>
                <w:kern w:val="21"/>
                <w:szCs w:val="21"/>
                <w:highlight w:val="none"/>
              </w:rPr>
            </w:pPr>
            <w:r>
              <w:rPr>
                <w:rFonts w:ascii="Times New Roman" w:hAnsi="Times New Roman" w:hint="eastAsia"/>
                <w:snapToGrid w:val="0"/>
                <w:color w:val="auto"/>
                <w:kern w:val="21"/>
                <w:szCs w:val="21"/>
                <w:highlight w:val="none"/>
              </w:rPr>
              <w:t>分类</w:t>
            </w:r>
          </w:p>
        </w:tc>
        <w:tc>
          <w:tcPr>
            <w:tcW w:w="1663" w:type="pct"/>
            <w:tcMar>
              <w:left w:w="28" w:type="dxa"/>
              <w:right w:w="28" w:type="dxa"/>
            </w:tcMar>
            <w:vAlign w:val="center"/>
          </w:tcPr>
          <w:p>
            <w:pPr>
              <w:pStyle w:val="55"/>
              <w:keepNext w:val="0"/>
              <w:keepLines w:val="0"/>
              <w:pageBreakBefore w:val="0"/>
              <w:kinsoku/>
              <w:wordWrap/>
              <w:overflowPunct/>
              <w:topLinePunct w:val="0"/>
              <w:bidi w:val="0"/>
              <w:spacing w:beforeLines="0" w:before="10" w:afterLines="0" w:after="0" w:line="240" w:lineRule="auto"/>
              <w:ind w:firstLineChars="0" w:firstLine="0"/>
              <w:jc w:val="center"/>
              <w:rPr>
                <w:rFonts w:ascii="Times New Roman" w:hAnsi="Times New Roman"/>
                <w:snapToGrid w:val="0"/>
                <w:color w:val="auto"/>
                <w:kern w:val="21"/>
                <w:szCs w:val="21"/>
                <w:highlight w:val="none"/>
              </w:rPr>
            </w:pPr>
            <w:r>
              <w:rPr>
                <w:rFonts w:ascii="Times New Roman" w:hAnsi="Times New Roman" w:hint="eastAsia"/>
                <w:snapToGrid w:val="0"/>
                <w:color w:val="auto"/>
                <w:kern w:val="21"/>
                <w:szCs w:val="21"/>
                <w:highlight w:val="none"/>
              </w:rPr>
              <w:t>污染物名称</w:t>
            </w:r>
          </w:p>
        </w:tc>
        <w:tc>
          <w:tcPr>
            <w:tcW w:w="762" w:type="pct"/>
            <w:tcMar>
              <w:left w:w="28" w:type="dxa"/>
              <w:right w:w="28" w:type="dxa"/>
            </w:tcMar>
            <w:vAlign w:val="center"/>
          </w:tcPr>
          <w:p>
            <w:pPr>
              <w:pStyle w:val="55"/>
              <w:keepNext w:val="0"/>
              <w:keepLines w:val="0"/>
              <w:pageBreakBefore w:val="0"/>
              <w:kinsoku/>
              <w:wordWrap/>
              <w:overflowPunct/>
              <w:topLinePunct w:val="0"/>
              <w:bidi w:val="0"/>
              <w:spacing w:beforeLines="0" w:before="10" w:afterLines="0" w:after="0" w:line="240" w:lineRule="auto"/>
              <w:ind w:firstLineChars="0" w:firstLine="0"/>
              <w:jc w:val="center"/>
              <w:rPr>
                <w:rFonts w:ascii="Times New Roman" w:hAnsi="Times New Roman"/>
                <w:snapToGrid w:val="0"/>
                <w:color w:val="auto"/>
                <w:kern w:val="21"/>
                <w:szCs w:val="21"/>
                <w:highlight w:val="none"/>
              </w:rPr>
            </w:pPr>
            <w:r>
              <w:rPr>
                <w:rFonts w:ascii="Times New Roman" w:hAnsi="Times New Roman" w:hint="eastAsia"/>
                <w:snapToGrid w:val="0"/>
                <w:color w:val="auto"/>
                <w:kern w:val="21"/>
                <w:szCs w:val="21"/>
                <w:highlight w:val="none"/>
              </w:rPr>
              <w:t>现有工程</w:t>
            </w:r>
          </w:p>
          <w:p>
            <w:pPr>
              <w:pStyle w:val="55"/>
              <w:keepNext w:val="0"/>
              <w:keepLines w:val="0"/>
              <w:pageBreakBefore w:val="0"/>
              <w:kinsoku/>
              <w:wordWrap/>
              <w:overflowPunct/>
              <w:topLinePunct w:val="0"/>
              <w:bidi w:val="0"/>
              <w:spacing w:beforeLines="0" w:before="10" w:afterLines="0" w:after="0" w:line="240" w:lineRule="auto"/>
              <w:ind w:firstLineChars="0" w:firstLine="0"/>
              <w:jc w:val="center"/>
              <w:rPr>
                <w:rFonts w:ascii="Times New Roman" w:hAnsi="Times New Roman"/>
                <w:snapToGrid w:val="0"/>
                <w:color w:val="auto"/>
                <w:kern w:val="21"/>
                <w:szCs w:val="21"/>
                <w:highlight w:val="none"/>
              </w:rPr>
            </w:pPr>
            <w:r>
              <w:rPr>
                <w:rFonts w:ascii="Times New Roman" w:hAnsi="Times New Roman" w:hint="eastAsia"/>
                <w:snapToGrid w:val="0"/>
                <w:color w:val="auto"/>
                <w:kern w:val="21"/>
                <w:szCs w:val="21"/>
                <w:highlight w:val="none"/>
              </w:rPr>
              <w:t>排放量（固体废物产生量）</w:t>
            </w:r>
            <w:r>
              <w:rPr>
                <w:rFonts w:ascii="Times New Roman" w:hAnsi="Times New Roman" w:hint="eastAsia"/>
                <w:snapToGrid w:val="0"/>
                <w:color w:val="auto"/>
                <w:kern w:val="21"/>
                <w:szCs w:val="21"/>
                <w:highlight w:val="none"/>
              </w:rPr>
              <w:fldChar w:fldCharType="begin"/>
            </w:r>
            <w:r>
              <w:rPr>
                <w:rFonts w:ascii="Times New Roman" w:hAnsi="Times New Roman" w:hint="eastAsia"/>
                <w:snapToGrid w:val="0"/>
                <w:color w:val="auto"/>
                <w:kern w:val="21"/>
                <w:szCs w:val="21"/>
                <w:highlight w:val="none"/>
              </w:rPr>
              <w:instrText xml:space="preserve"> = 1 \* GB3 \* MERGEFORMAT </w:instrText>
            </w:r>
            <w:r>
              <w:rPr>
                <w:rFonts w:ascii="Times New Roman" w:hAnsi="Times New Roman" w:hint="eastAsia"/>
                <w:snapToGrid w:val="0"/>
                <w:color w:val="auto"/>
                <w:kern w:val="21"/>
                <w:szCs w:val="21"/>
                <w:highlight w:val="none"/>
              </w:rPr>
              <w:fldChar w:fldCharType="separate"/>
            </w:r>
            <w:r>
              <w:rPr>
                <w:rFonts w:ascii="Times New Roman" w:hAnsi="Times New Roman" w:hint="eastAsia"/>
                <w:color w:val="auto"/>
                <w:kern w:val="2"/>
                <w:szCs w:val="21"/>
                <w:highlight w:val="none"/>
              </w:rPr>
              <w:t>①</w:t>
            </w:r>
            <w:r>
              <w:rPr>
                <w:rFonts w:ascii="Times New Roman" w:hAnsi="Times New Roman" w:hint="eastAsia"/>
                <w:snapToGrid w:val="0"/>
                <w:color w:val="auto"/>
                <w:kern w:val="21"/>
                <w:szCs w:val="21"/>
                <w:highlight w:val="none"/>
              </w:rPr>
              <w:fldChar w:fldCharType="end"/>
            </w:r>
          </w:p>
        </w:tc>
        <w:tc>
          <w:tcPr>
            <w:tcW w:w="392" w:type="pct"/>
            <w:tcMar>
              <w:left w:w="28" w:type="dxa"/>
              <w:right w:w="28" w:type="dxa"/>
            </w:tcMar>
            <w:vAlign w:val="center"/>
          </w:tcPr>
          <w:p>
            <w:pPr>
              <w:pStyle w:val="55"/>
              <w:keepNext w:val="0"/>
              <w:keepLines w:val="0"/>
              <w:pageBreakBefore w:val="0"/>
              <w:kinsoku/>
              <w:wordWrap/>
              <w:overflowPunct/>
              <w:topLinePunct w:val="0"/>
              <w:bidi w:val="0"/>
              <w:spacing w:beforeLines="0" w:before="10" w:afterLines="0" w:after="0" w:line="240" w:lineRule="auto"/>
              <w:ind w:firstLineChars="0" w:firstLine="0"/>
              <w:jc w:val="center"/>
              <w:rPr>
                <w:rFonts w:ascii="Times New Roman" w:hAnsi="Times New Roman"/>
                <w:snapToGrid w:val="0"/>
                <w:color w:val="auto"/>
                <w:kern w:val="21"/>
                <w:szCs w:val="21"/>
                <w:highlight w:val="none"/>
              </w:rPr>
            </w:pPr>
            <w:r>
              <w:rPr>
                <w:rFonts w:ascii="Times New Roman" w:hAnsi="Times New Roman" w:hint="eastAsia"/>
                <w:snapToGrid w:val="0"/>
                <w:color w:val="auto"/>
                <w:kern w:val="21"/>
                <w:szCs w:val="21"/>
                <w:highlight w:val="none"/>
              </w:rPr>
              <w:t>现有工程</w:t>
            </w:r>
          </w:p>
          <w:p>
            <w:pPr>
              <w:pStyle w:val="55"/>
              <w:keepNext w:val="0"/>
              <w:keepLines w:val="0"/>
              <w:pageBreakBefore w:val="0"/>
              <w:kinsoku/>
              <w:wordWrap/>
              <w:overflowPunct/>
              <w:topLinePunct w:val="0"/>
              <w:bidi w:val="0"/>
              <w:spacing w:beforeLines="0" w:before="10" w:afterLines="0" w:after="0" w:line="240" w:lineRule="auto"/>
              <w:ind w:firstLineChars="0" w:firstLine="0"/>
              <w:jc w:val="center"/>
              <w:rPr>
                <w:rFonts w:ascii="Times New Roman" w:hAnsi="Times New Roman"/>
                <w:snapToGrid w:val="0"/>
                <w:color w:val="auto"/>
                <w:kern w:val="21"/>
                <w:szCs w:val="21"/>
                <w:highlight w:val="none"/>
              </w:rPr>
            </w:pPr>
            <w:r>
              <w:rPr>
                <w:rFonts w:ascii="Times New Roman" w:hAnsi="Times New Roman" w:hint="eastAsia"/>
                <w:snapToGrid w:val="0"/>
                <w:color w:val="auto"/>
                <w:kern w:val="21"/>
                <w:szCs w:val="21"/>
                <w:highlight w:val="none"/>
              </w:rPr>
              <w:t>许可排放量</w:t>
            </w:r>
          </w:p>
          <w:p>
            <w:pPr>
              <w:pStyle w:val="55"/>
              <w:keepNext w:val="0"/>
              <w:keepLines w:val="0"/>
              <w:pageBreakBefore w:val="0"/>
              <w:kinsoku/>
              <w:wordWrap/>
              <w:overflowPunct/>
              <w:topLinePunct w:val="0"/>
              <w:bidi w:val="0"/>
              <w:spacing w:beforeLines="0" w:before="10" w:afterLines="0" w:after="0" w:line="240" w:lineRule="auto"/>
              <w:ind w:firstLineChars="0" w:firstLine="0"/>
              <w:jc w:val="center"/>
              <w:rPr>
                <w:rFonts w:ascii="Times New Roman" w:hAnsi="Times New Roman"/>
                <w:snapToGrid w:val="0"/>
                <w:color w:val="auto"/>
                <w:kern w:val="21"/>
                <w:szCs w:val="21"/>
                <w:highlight w:val="none"/>
              </w:rPr>
            </w:pPr>
            <w:r>
              <w:rPr>
                <w:rFonts w:ascii="Times New Roman" w:hAnsi="Times New Roman" w:hint="eastAsia"/>
                <w:snapToGrid w:val="0"/>
                <w:color w:val="auto"/>
                <w:kern w:val="21"/>
                <w:szCs w:val="21"/>
                <w:highlight w:val="none"/>
              </w:rPr>
              <w:fldChar w:fldCharType="begin"/>
            </w:r>
            <w:r>
              <w:rPr>
                <w:rFonts w:ascii="Times New Roman" w:hAnsi="Times New Roman" w:hint="eastAsia"/>
                <w:snapToGrid w:val="0"/>
                <w:color w:val="auto"/>
                <w:kern w:val="21"/>
                <w:szCs w:val="21"/>
                <w:highlight w:val="none"/>
              </w:rPr>
              <w:instrText xml:space="preserve"> = 2 \* GB3 \* MERGEFORMAT </w:instrText>
            </w:r>
            <w:r>
              <w:rPr>
                <w:rFonts w:ascii="Times New Roman" w:hAnsi="Times New Roman" w:hint="eastAsia"/>
                <w:snapToGrid w:val="0"/>
                <w:color w:val="auto"/>
                <w:kern w:val="21"/>
                <w:szCs w:val="21"/>
                <w:highlight w:val="none"/>
              </w:rPr>
              <w:fldChar w:fldCharType="separate"/>
            </w:r>
            <w:r>
              <w:rPr>
                <w:rFonts w:ascii="Times New Roman" w:hAnsi="Times New Roman" w:hint="eastAsia"/>
                <w:snapToGrid w:val="0"/>
                <w:color w:val="auto"/>
                <w:kern w:val="21"/>
                <w:szCs w:val="21"/>
                <w:highlight w:val="none"/>
              </w:rPr>
              <w:t>②</w:t>
            </w:r>
            <w:r>
              <w:rPr>
                <w:rFonts w:ascii="Times New Roman" w:hAnsi="Times New Roman" w:hint="eastAsia"/>
                <w:snapToGrid w:val="0"/>
                <w:color w:val="auto"/>
                <w:kern w:val="21"/>
                <w:szCs w:val="21"/>
                <w:highlight w:val="none"/>
              </w:rPr>
              <w:fldChar w:fldCharType="end"/>
            </w:r>
          </w:p>
        </w:tc>
        <w:tc>
          <w:tcPr>
            <w:tcW w:w="577" w:type="pct"/>
            <w:tcMar>
              <w:left w:w="28" w:type="dxa"/>
              <w:right w:w="28" w:type="dxa"/>
            </w:tcMar>
            <w:vAlign w:val="center"/>
          </w:tcPr>
          <w:p>
            <w:pPr>
              <w:pStyle w:val="55"/>
              <w:keepNext w:val="0"/>
              <w:keepLines w:val="0"/>
              <w:pageBreakBefore w:val="0"/>
              <w:kinsoku/>
              <w:wordWrap/>
              <w:overflowPunct/>
              <w:topLinePunct w:val="0"/>
              <w:bidi w:val="0"/>
              <w:spacing w:beforeLines="0" w:before="10" w:afterLines="0" w:after="0" w:line="240" w:lineRule="auto"/>
              <w:ind w:firstLineChars="0" w:firstLine="0"/>
              <w:jc w:val="center"/>
              <w:rPr>
                <w:rFonts w:ascii="Times New Roman" w:hAnsi="Times New Roman"/>
                <w:snapToGrid w:val="0"/>
                <w:color w:val="auto"/>
                <w:kern w:val="21"/>
                <w:szCs w:val="21"/>
                <w:highlight w:val="none"/>
              </w:rPr>
            </w:pPr>
            <w:r>
              <w:rPr>
                <w:rFonts w:ascii="Times New Roman" w:hAnsi="Times New Roman" w:hint="eastAsia"/>
                <w:snapToGrid w:val="0"/>
                <w:color w:val="auto"/>
                <w:kern w:val="21"/>
                <w:szCs w:val="21"/>
                <w:highlight w:val="none"/>
              </w:rPr>
              <w:t>在建工程</w:t>
            </w:r>
          </w:p>
          <w:p>
            <w:pPr>
              <w:pStyle w:val="55"/>
              <w:keepNext w:val="0"/>
              <w:keepLines w:val="0"/>
              <w:pageBreakBefore w:val="0"/>
              <w:kinsoku/>
              <w:wordWrap/>
              <w:overflowPunct/>
              <w:topLinePunct w:val="0"/>
              <w:bidi w:val="0"/>
              <w:spacing w:beforeLines="0" w:before="10" w:afterLines="0" w:after="0" w:line="240" w:lineRule="auto"/>
              <w:ind w:firstLineChars="0" w:firstLine="0"/>
              <w:jc w:val="center"/>
              <w:rPr>
                <w:rFonts w:ascii="Times New Roman" w:hAnsi="Times New Roman"/>
                <w:snapToGrid w:val="0"/>
                <w:color w:val="auto"/>
                <w:kern w:val="21"/>
                <w:szCs w:val="21"/>
                <w:highlight w:val="none"/>
              </w:rPr>
            </w:pPr>
            <w:r>
              <w:rPr>
                <w:rFonts w:ascii="Times New Roman" w:hAnsi="Times New Roman" w:hint="eastAsia"/>
                <w:snapToGrid w:val="0"/>
                <w:color w:val="auto"/>
                <w:kern w:val="21"/>
                <w:szCs w:val="21"/>
                <w:highlight w:val="none"/>
              </w:rPr>
              <w:t>排放量（固体废物产生量）</w:t>
            </w:r>
            <w:r>
              <w:rPr>
                <w:rFonts w:ascii="Times New Roman" w:hAnsi="Times New Roman" w:hint="eastAsia"/>
                <w:snapToGrid w:val="0"/>
                <w:color w:val="auto"/>
                <w:kern w:val="21"/>
                <w:szCs w:val="21"/>
                <w:highlight w:val="none"/>
              </w:rPr>
              <w:fldChar w:fldCharType="begin"/>
            </w:r>
            <w:r>
              <w:rPr>
                <w:rFonts w:ascii="Times New Roman" w:hAnsi="Times New Roman" w:hint="eastAsia"/>
                <w:snapToGrid w:val="0"/>
                <w:color w:val="auto"/>
                <w:kern w:val="21"/>
                <w:szCs w:val="21"/>
                <w:highlight w:val="none"/>
              </w:rPr>
              <w:instrText xml:space="preserve"> = 3 \* GB3 \* MERGEFORMAT </w:instrText>
            </w:r>
            <w:r>
              <w:rPr>
                <w:rFonts w:ascii="Times New Roman" w:hAnsi="Times New Roman" w:hint="eastAsia"/>
                <w:snapToGrid w:val="0"/>
                <w:color w:val="auto"/>
                <w:kern w:val="21"/>
                <w:szCs w:val="21"/>
                <w:highlight w:val="none"/>
              </w:rPr>
              <w:fldChar w:fldCharType="separate"/>
            </w:r>
            <w:r>
              <w:rPr>
                <w:rFonts w:ascii="Times New Roman" w:hAnsi="Times New Roman" w:hint="eastAsia"/>
                <w:color w:val="auto"/>
                <w:kern w:val="2"/>
                <w:szCs w:val="21"/>
                <w:highlight w:val="none"/>
              </w:rPr>
              <w:t>③</w:t>
            </w:r>
            <w:r>
              <w:rPr>
                <w:rFonts w:ascii="Times New Roman" w:hAnsi="Times New Roman" w:hint="eastAsia"/>
                <w:snapToGrid w:val="0"/>
                <w:color w:val="auto"/>
                <w:kern w:val="21"/>
                <w:szCs w:val="21"/>
                <w:highlight w:val="none"/>
              </w:rPr>
              <w:fldChar w:fldCharType="end"/>
            </w:r>
          </w:p>
        </w:tc>
        <w:tc>
          <w:tcPr>
            <w:tcW w:w="724" w:type="pct"/>
            <w:tcMar>
              <w:left w:w="28" w:type="dxa"/>
              <w:right w:w="28" w:type="dxa"/>
            </w:tcMar>
            <w:vAlign w:val="center"/>
          </w:tcPr>
          <w:p>
            <w:pPr>
              <w:pStyle w:val="55"/>
              <w:keepNext w:val="0"/>
              <w:keepLines w:val="0"/>
              <w:pageBreakBefore w:val="0"/>
              <w:kinsoku/>
              <w:wordWrap/>
              <w:overflowPunct/>
              <w:topLinePunct w:val="0"/>
              <w:bidi w:val="0"/>
              <w:spacing w:beforeLines="0" w:before="10" w:afterLines="0" w:after="0" w:line="240" w:lineRule="auto"/>
              <w:ind w:firstLineChars="0" w:firstLine="0"/>
              <w:jc w:val="center"/>
              <w:rPr>
                <w:rFonts w:ascii="Times New Roman" w:hAnsi="Times New Roman"/>
                <w:snapToGrid w:val="0"/>
                <w:color w:val="auto"/>
                <w:kern w:val="21"/>
                <w:szCs w:val="21"/>
                <w:highlight w:val="none"/>
              </w:rPr>
            </w:pPr>
            <w:r>
              <w:rPr>
                <w:rFonts w:ascii="Times New Roman" w:hAnsi="Times New Roman" w:hint="eastAsia"/>
                <w:snapToGrid w:val="0"/>
                <w:color w:val="auto"/>
                <w:kern w:val="21"/>
                <w:szCs w:val="21"/>
                <w:highlight w:val="none"/>
              </w:rPr>
              <w:t>本项目</w:t>
            </w:r>
          </w:p>
          <w:p>
            <w:pPr>
              <w:pStyle w:val="55"/>
              <w:keepNext w:val="0"/>
              <w:keepLines w:val="0"/>
              <w:pageBreakBefore w:val="0"/>
              <w:kinsoku/>
              <w:wordWrap/>
              <w:overflowPunct/>
              <w:topLinePunct w:val="0"/>
              <w:bidi w:val="0"/>
              <w:spacing w:beforeLines="0" w:before="10" w:afterLines="0" w:after="0" w:line="240" w:lineRule="auto"/>
              <w:ind w:firstLineChars="0" w:firstLine="0"/>
              <w:jc w:val="center"/>
              <w:rPr>
                <w:rFonts w:ascii="Times New Roman" w:hAnsi="Times New Roman"/>
                <w:snapToGrid w:val="0"/>
                <w:color w:val="auto"/>
                <w:kern w:val="21"/>
                <w:szCs w:val="21"/>
                <w:highlight w:val="none"/>
              </w:rPr>
            </w:pPr>
            <w:r>
              <w:rPr>
                <w:rFonts w:ascii="Times New Roman" w:hAnsi="Times New Roman" w:hint="eastAsia"/>
                <w:snapToGrid w:val="0"/>
                <w:color w:val="auto"/>
                <w:kern w:val="21"/>
                <w:szCs w:val="21"/>
                <w:highlight w:val="none"/>
              </w:rPr>
              <w:t>排放量（固体废物产生量）</w:t>
            </w:r>
            <w:r>
              <w:rPr>
                <w:rFonts w:ascii="Times New Roman" w:hAnsi="Times New Roman" w:hint="eastAsia"/>
                <w:snapToGrid w:val="0"/>
                <w:color w:val="auto"/>
                <w:kern w:val="21"/>
                <w:szCs w:val="21"/>
                <w:highlight w:val="none"/>
              </w:rPr>
              <w:fldChar w:fldCharType="begin"/>
            </w:r>
            <w:r>
              <w:rPr>
                <w:rFonts w:ascii="Times New Roman" w:hAnsi="Times New Roman" w:hint="eastAsia"/>
                <w:snapToGrid w:val="0"/>
                <w:color w:val="auto"/>
                <w:kern w:val="21"/>
                <w:szCs w:val="21"/>
                <w:highlight w:val="none"/>
              </w:rPr>
              <w:instrText xml:space="preserve"> = 4 \* GB3 \* MERGEFORMAT </w:instrText>
            </w:r>
            <w:r>
              <w:rPr>
                <w:rFonts w:ascii="Times New Roman" w:hAnsi="Times New Roman" w:hint="eastAsia"/>
                <w:snapToGrid w:val="0"/>
                <w:color w:val="auto"/>
                <w:kern w:val="21"/>
                <w:szCs w:val="21"/>
                <w:highlight w:val="none"/>
              </w:rPr>
              <w:fldChar w:fldCharType="separate"/>
            </w:r>
            <w:r>
              <w:rPr>
                <w:rFonts w:ascii="Times New Roman" w:hAnsi="Times New Roman" w:hint="eastAsia"/>
                <w:color w:val="auto"/>
                <w:kern w:val="2"/>
                <w:szCs w:val="21"/>
                <w:highlight w:val="none"/>
              </w:rPr>
              <w:t>④</w:t>
            </w:r>
            <w:r>
              <w:rPr>
                <w:rFonts w:ascii="Times New Roman" w:hAnsi="Times New Roman" w:hint="eastAsia"/>
                <w:snapToGrid w:val="0"/>
                <w:color w:val="auto"/>
                <w:kern w:val="21"/>
                <w:szCs w:val="21"/>
                <w:highlight w:val="none"/>
              </w:rPr>
              <w:fldChar w:fldCharType="end"/>
            </w:r>
          </w:p>
        </w:tc>
        <w:tc>
          <w:tcPr>
            <w:tcW w:w="155" w:type="pct"/>
            <w:tcMar>
              <w:left w:w="28" w:type="dxa"/>
              <w:right w:w="28" w:type="dxa"/>
            </w:tcMar>
            <w:vAlign w:val="center"/>
          </w:tcPr>
          <w:p>
            <w:pPr>
              <w:pStyle w:val="55"/>
              <w:keepNext w:val="0"/>
              <w:keepLines w:val="0"/>
              <w:pageBreakBefore w:val="0"/>
              <w:kinsoku/>
              <w:wordWrap/>
              <w:overflowPunct/>
              <w:topLinePunct w:val="0"/>
              <w:bidi w:val="0"/>
              <w:spacing w:beforeLines="0" w:before="10" w:afterLines="0" w:after="0" w:line="240" w:lineRule="auto"/>
              <w:ind w:firstLineChars="0" w:firstLine="0"/>
              <w:jc w:val="center"/>
              <w:rPr>
                <w:rFonts w:ascii="Times New Roman" w:hAnsi="Times New Roman"/>
                <w:snapToGrid w:val="0"/>
                <w:color w:val="auto"/>
                <w:kern w:val="21"/>
                <w:szCs w:val="21"/>
                <w:highlight w:val="none"/>
              </w:rPr>
            </w:pPr>
            <w:r>
              <w:rPr>
                <w:rFonts w:ascii="Times New Roman" w:hAnsi="Times New Roman" w:hint="eastAsia"/>
                <w:snapToGrid w:val="0"/>
                <w:color w:val="auto"/>
                <w:kern w:val="21"/>
                <w:szCs w:val="21"/>
                <w:highlight w:val="none"/>
              </w:rPr>
              <w:t>以新带老削减量（新建项目不填）</w:t>
            </w:r>
            <w:r>
              <w:rPr>
                <w:rFonts w:ascii="Times New Roman" w:hAnsi="Times New Roman" w:hint="eastAsia"/>
                <w:snapToGrid w:val="0"/>
                <w:color w:val="auto"/>
                <w:kern w:val="21"/>
                <w:szCs w:val="21"/>
                <w:highlight w:val="none"/>
              </w:rPr>
              <w:fldChar w:fldCharType="begin"/>
            </w:r>
            <w:r>
              <w:rPr>
                <w:rFonts w:ascii="Times New Roman" w:hAnsi="Times New Roman" w:hint="eastAsia"/>
                <w:snapToGrid w:val="0"/>
                <w:color w:val="auto"/>
                <w:kern w:val="21"/>
                <w:szCs w:val="21"/>
                <w:highlight w:val="none"/>
              </w:rPr>
              <w:instrText xml:space="preserve"> = 5 \* GB3 \* MERGEFORMAT </w:instrText>
            </w:r>
            <w:r>
              <w:rPr>
                <w:rFonts w:ascii="Times New Roman" w:hAnsi="Times New Roman" w:hint="eastAsia"/>
                <w:snapToGrid w:val="0"/>
                <w:color w:val="auto"/>
                <w:kern w:val="21"/>
                <w:szCs w:val="21"/>
                <w:highlight w:val="none"/>
              </w:rPr>
              <w:fldChar w:fldCharType="separate"/>
            </w:r>
            <w:r>
              <w:rPr>
                <w:rFonts w:ascii="Times New Roman" w:hAnsi="Times New Roman" w:hint="eastAsia"/>
                <w:color w:val="auto"/>
                <w:kern w:val="2"/>
                <w:szCs w:val="21"/>
                <w:highlight w:val="none"/>
              </w:rPr>
              <w:t>⑤</w:t>
            </w:r>
            <w:r>
              <w:rPr>
                <w:rFonts w:ascii="Times New Roman" w:hAnsi="Times New Roman" w:hint="eastAsia"/>
                <w:snapToGrid w:val="0"/>
                <w:color w:val="auto"/>
                <w:kern w:val="21"/>
                <w:szCs w:val="21"/>
                <w:highlight w:val="none"/>
              </w:rPr>
              <w:fldChar w:fldCharType="end"/>
            </w:r>
          </w:p>
        </w:tc>
        <w:tc>
          <w:tcPr>
            <w:tcW w:w="224" w:type="pct"/>
            <w:tcMar>
              <w:left w:w="28" w:type="dxa"/>
              <w:right w:w="28" w:type="dxa"/>
            </w:tcMar>
            <w:vAlign w:val="center"/>
          </w:tcPr>
          <w:p>
            <w:pPr>
              <w:pStyle w:val="55"/>
              <w:keepNext w:val="0"/>
              <w:keepLines w:val="0"/>
              <w:pageBreakBefore w:val="0"/>
              <w:kinsoku/>
              <w:wordWrap/>
              <w:overflowPunct/>
              <w:topLinePunct w:val="0"/>
              <w:bidi w:val="0"/>
              <w:spacing w:beforeLines="0" w:before="10" w:afterLines="0" w:after="0" w:line="240" w:lineRule="auto"/>
              <w:ind w:firstLineChars="0" w:firstLine="0"/>
              <w:jc w:val="center"/>
              <w:rPr>
                <w:rFonts w:ascii="Times New Roman" w:hAnsi="Times New Roman"/>
                <w:snapToGrid w:val="0"/>
                <w:color w:val="auto"/>
                <w:kern w:val="21"/>
                <w:szCs w:val="21"/>
                <w:highlight w:val="none"/>
              </w:rPr>
            </w:pPr>
            <w:r>
              <w:rPr>
                <w:rFonts w:ascii="Times New Roman" w:hAnsi="Times New Roman" w:hint="eastAsia"/>
                <w:snapToGrid w:val="0"/>
                <w:color w:val="auto"/>
                <w:kern w:val="21"/>
                <w:szCs w:val="21"/>
                <w:highlight w:val="none"/>
              </w:rPr>
              <w:t>本项目建成后</w:t>
            </w:r>
          </w:p>
          <w:p>
            <w:pPr>
              <w:pStyle w:val="55"/>
              <w:keepNext w:val="0"/>
              <w:keepLines w:val="0"/>
              <w:pageBreakBefore w:val="0"/>
              <w:kinsoku/>
              <w:wordWrap/>
              <w:overflowPunct/>
              <w:topLinePunct w:val="0"/>
              <w:bidi w:val="0"/>
              <w:spacing w:beforeLines="0" w:before="10" w:afterLines="0" w:after="0" w:line="240" w:lineRule="auto"/>
              <w:ind w:firstLineChars="0" w:firstLine="0"/>
              <w:jc w:val="center"/>
              <w:rPr>
                <w:rFonts w:ascii="Times New Roman" w:hAnsi="Times New Roman"/>
                <w:snapToGrid w:val="0"/>
                <w:color w:val="auto"/>
                <w:kern w:val="21"/>
                <w:szCs w:val="21"/>
                <w:highlight w:val="none"/>
              </w:rPr>
            </w:pPr>
            <w:r>
              <w:rPr>
                <w:rFonts w:ascii="Times New Roman" w:hAnsi="Times New Roman" w:hint="eastAsia"/>
                <w:snapToGrid w:val="0"/>
                <w:color w:val="auto"/>
                <w:kern w:val="21"/>
                <w:szCs w:val="21"/>
                <w:highlight w:val="none"/>
              </w:rPr>
              <w:t>全厂排放量（固体废物产生量）</w:t>
            </w:r>
            <w:r>
              <w:rPr>
                <w:rFonts w:ascii="Times New Roman" w:hAnsi="Times New Roman" w:hint="eastAsia"/>
                <w:snapToGrid w:val="0"/>
                <w:color w:val="auto"/>
                <w:kern w:val="21"/>
                <w:szCs w:val="21"/>
                <w:highlight w:val="none"/>
              </w:rPr>
              <w:fldChar w:fldCharType="begin"/>
            </w:r>
            <w:r>
              <w:rPr>
                <w:rFonts w:ascii="Times New Roman" w:hAnsi="Times New Roman" w:hint="eastAsia"/>
                <w:snapToGrid w:val="0"/>
                <w:color w:val="auto"/>
                <w:kern w:val="21"/>
                <w:szCs w:val="21"/>
                <w:highlight w:val="none"/>
              </w:rPr>
              <w:instrText xml:space="preserve"> = 6 \* GB3 \* MERGEFORMAT </w:instrText>
            </w:r>
            <w:r>
              <w:rPr>
                <w:rFonts w:ascii="Times New Roman" w:hAnsi="Times New Roman" w:hint="eastAsia"/>
                <w:snapToGrid w:val="0"/>
                <w:color w:val="auto"/>
                <w:kern w:val="21"/>
                <w:szCs w:val="21"/>
                <w:highlight w:val="none"/>
              </w:rPr>
              <w:fldChar w:fldCharType="separate"/>
            </w:r>
            <w:r>
              <w:rPr>
                <w:rFonts w:ascii="Times New Roman" w:hAnsi="Times New Roman" w:hint="eastAsia"/>
                <w:color w:val="auto"/>
                <w:kern w:val="2"/>
                <w:szCs w:val="21"/>
                <w:highlight w:val="none"/>
              </w:rPr>
              <w:t>⑥</w:t>
            </w:r>
            <w:r>
              <w:rPr>
                <w:rFonts w:ascii="Times New Roman" w:hAnsi="Times New Roman" w:hint="eastAsia"/>
                <w:snapToGrid w:val="0"/>
                <w:color w:val="auto"/>
                <w:kern w:val="21"/>
                <w:szCs w:val="21"/>
                <w:highlight w:val="none"/>
              </w:rPr>
              <w:fldChar w:fldCharType="end"/>
            </w:r>
          </w:p>
        </w:tc>
        <w:tc>
          <w:tcPr>
            <w:tcW w:w="224" w:type="pct"/>
            <w:tcMar>
              <w:left w:w="28" w:type="dxa"/>
              <w:right w:w="28" w:type="dxa"/>
            </w:tcMar>
            <w:vAlign w:val="center"/>
          </w:tcPr>
          <w:p>
            <w:pPr>
              <w:pStyle w:val="55"/>
              <w:keepNext w:val="0"/>
              <w:keepLines w:val="0"/>
              <w:pageBreakBefore w:val="0"/>
              <w:kinsoku/>
              <w:wordWrap/>
              <w:overflowPunct/>
              <w:topLinePunct w:val="0"/>
              <w:bidi w:val="0"/>
              <w:spacing w:beforeLines="0" w:before="10" w:afterLines="0" w:after="0" w:line="240" w:lineRule="auto"/>
              <w:ind w:firstLineChars="0" w:firstLine="0"/>
              <w:jc w:val="center"/>
              <w:rPr>
                <w:rFonts w:ascii="Times New Roman" w:hAnsi="Times New Roman"/>
                <w:snapToGrid w:val="0"/>
                <w:color w:val="auto"/>
                <w:kern w:val="21"/>
                <w:szCs w:val="21"/>
                <w:highlight w:val="none"/>
              </w:rPr>
            </w:pPr>
            <w:r>
              <w:rPr>
                <w:rFonts w:ascii="Times New Roman" w:hAnsi="Times New Roman" w:hint="eastAsia"/>
                <w:snapToGrid w:val="0"/>
                <w:color w:val="auto"/>
                <w:kern w:val="21"/>
                <w:szCs w:val="21"/>
                <w:highlight w:val="none"/>
              </w:rPr>
              <w:t>变化量</w:t>
            </w:r>
          </w:p>
          <w:p>
            <w:pPr>
              <w:pStyle w:val="55"/>
              <w:keepNext w:val="0"/>
              <w:keepLines w:val="0"/>
              <w:pageBreakBefore w:val="0"/>
              <w:kinsoku/>
              <w:wordWrap/>
              <w:overflowPunct/>
              <w:topLinePunct w:val="0"/>
              <w:bidi w:val="0"/>
              <w:spacing w:beforeLines="0" w:before="10" w:afterLines="0" w:after="0" w:line="240" w:lineRule="auto"/>
              <w:ind w:firstLineChars="0" w:firstLine="0"/>
              <w:jc w:val="center"/>
              <w:rPr>
                <w:rFonts w:ascii="Times New Roman" w:hAnsi="Times New Roman"/>
                <w:snapToGrid w:val="0"/>
                <w:color w:val="auto"/>
                <w:kern w:val="21"/>
                <w:szCs w:val="21"/>
                <w:highlight w:val="none"/>
              </w:rPr>
            </w:pPr>
            <w:r>
              <w:rPr>
                <w:rFonts w:ascii="Times New Roman" w:hAnsi="Times New Roman" w:hint="eastAsia"/>
                <w:snapToGrid w:val="0"/>
                <w:color w:val="auto"/>
                <w:kern w:val="21"/>
                <w:szCs w:val="21"/>
                <w:highlight w:val="none"/>
              </w:rPr>
              <w:fldChar w:fldCharType="begin"/>
            </w:r>
            <w:r>
              <w:rPr>
                <w:rFonts w:ascii="Times New Roman" w:hAnsi="Times New Roman" w:hint="eastAsia"/>
                <w:snapToGrid w:val="0"/>
                <w:color w:val="auto"/>
                <w:kern w:val="21"/>
                <w:szCs w:val="21"/>
                <w:highlight w:val="none"/>
              </w:rPr>
              <w:instrText xml:space="preserve"> = 7 \* GB3 \* MERGEFORMAT </w:instrText>
            </w:r>
            <w:r>
              <w:rPr>
                <w:rFonts w:ascii="Times New Roman" w:hAnsi="Times New Roman" w:hint="eastAsia"/>
                <w:snapToGrid w:val="0"/>
                <w:color w:val="auto"/>
                <w:kern w:val="21"/>
                <w:szCs w:val="21"/>
                <w:highlight w:val="none"/>
              </w:rPr>
              <w:fldChar w:fldCharType="separate"/>
            </w:r>
            <w:r>
              <w:rPr>
                <w:rFonts w:ascii="Times New Roman" w:hAnsi="Times New Roman" w:hint="eastAsia"/>
                <w:color w:val="auto"/>
                <w:kern w:val="2"/>
                <w:szCs w:val="21"/>
                <w:highlight w:val="none"/>
              </w:rPr>
              <w:t>⑦</w:t>
            </w:r>
            <w:r>
              <w:rPr>
                <w:rFonts w:ascii="Times New Roman" w:hAnsi="Times New Roman" w:hint="eastAsia"/>
                <w:snapToGrid w:val="0"/>
                <w:color w:val="auto"/>
                <w:kern w:val="21"/>
                <w:szCs w:val="21"/>
                <w:highlight w:val="none"/>
              </w:rPr>
              <w:fldChar w:fldCharType="end"/>
            </w:r>
          </w:p>
        </w:tc>
      </w:tr>
      <w:tr>
        <w:trPr>
          <w:trHeight w:val="397"/>
        </w:trPr>
        <w:tc>
          <w:tcPr>
            <w:tcW w:w="276" w:type="pct"/>
            <w:vAlign w:val="center"/>
          </w:tcPr>
          <w:p>
            <w:pPr>
              <w:pStyle w:val="55"/>
              <w:keepNext w:val="0"/>
              <w:keepLines w:val="0"/>
              <w:pageBreakBefore w:val="0"/>
              <w:kinsoku/>
              <w:wordWrap/>
              <w:overflowPunct/>
              <w:topLinePunct w:val="0"/>
              <w:bidi w:val="0"/>
              <w:spacing w:beforeLines="0" w:before="10" w:afterLines="0" w:after="0" w:line="240" w:lineRule="auto"/>
              <w:ind w:firstLineChars="0" w:firstLine="0"/>
              <w:jc w:val="center"/>
              <w:rPr>
                <w:rFonts w:ascii="Times New Roman" w:hAnsi="Times New Roman"/>
                <w:snapToGrid w:val="0"/>
                <w:color w:val="auto"/>
                <w:kern w:val="21"/>
                <w:szCs w:val="21"/>
                <w:highlight w:val="none"/>
              </w:rPr>
            </w:pPr>
            <w:r>
              <w:rPr>
                <w:rFonts w:ascii="Times New Roman" w:hAnsi="Times New Roman" w:hint="eastAsia"/>
                <w:snapToGrid w:val="0"/>
                <w:color w:val="auto"/>
                <w:kern w:val="21"/>
                <w:szCs w:val="21"/>
                <w:highlight w:val="none"/>
              </w:rPr>
              <w:t>废气</w:t>
            </w:r>
          </w:p>
        </w:tc>
        <w:tc>
          <w:tcPr>
            <w:tcW w:w="1663" w:type="pct"/>
            <w:tcBorders>
              <w:left w:val="single" w:sz="4" w:space="0" w:color="auto"/>
            </w:tcBorders>
            <w:vAlign w:val="center"/>
          </w:tcPr>
          <w:p>
            <w:pPr>
              <w:jc w:val="center"/>
              <w:rPr>
                <w:rFonts w:eastAsia="宋体" w:hint="eastAsia"/>
                <w:snapToGrid w:val="0"/>
                <w:color w:val="auto"/>
                <w:kern w:val="21"/>
                <w:szCs w:val="21"/>
                <w:lang w:eastAsia="zh-CN"/>
                <w:highlight w:val="none"/>
              </w:rPr>
            </w:pPr>
            <w:r>
              <w:rPr>
                <w:rFonts w:hint="eastAsia"/>
                <w:color w:val="auto"/>
                <w:sz w:val="21"/>
                <w:szCs w:val="21"/>
                <w:lang w:val="en-US" w:eastAsia="zh-CN"/>
                <w:highlight w:val="none"/>
              </w:rPr>
              <w:t>硫酸雾</w:t>
            </w:r>
          </w:p>
        </w:tc>
        <w:tc>
          <w:tcPr>
            <w:tcW w:w="762" w:type="pct"/>
            <w:tcBorders>
              <w:left w:val="single" w:sz="4" w:space="0" w:color="auto"/>
            </w:tcBorders>
            <w:vAlign w:val="center"/>
          </w:tcPr>
          <w:p>
            <w:pPr>
              <w:keepNext w:val="0"/>
              <w:keepLines w:val="0"/>
              <w:pageBreakBefore w:val="0"/>
              <w:widowControl/>
              <w:kinsoku/>
              <w:wordWrap/>
              <w:overflowPunct/>
              <w:topLinePunct w:val="0"/>
              <w:bidi w:val="0"/>
              <w:adjustRightInd w:val="0"/>
              <w:snapToGrid w:val="0"/>
              <w:ind w:firstLine="0"/>
              <w:jc w:val="center"/>
              <w:rPr>
                <w:snapToGrid w:val="0"/>
                <w:color w:val="auto"/>
                <w:kern w:val="21"/>
                <w:szCs w:val="21"/>
                <w:highlight w:val="none"/>
              </w:rPr>
            </w:pPr>
            <w:r>
              <w:rPr>
                <w:rFonts w:hint="eastAsia"/>
                <w:snapToGrid w:val="0"/>
                <w:color w:val="auto"/>
                <w:kern w:val="21"/>
                <w:szCs w:val="21"/>
                <w:highlight w:val="none"/>
              </w:rPr>
              <w:t>/</w:t>
            </w:r>
          </w:p>
        </w:tc>
        <w:tc>
          <w:tcPr>
            <w:tcW w:w="392" w:type="pct"/>
            <w:tcBorders>
              <w:left w:val="single" w:sz="4" w:space="0" w:color="auto"/>
            </w:tcBorders>
            <w:vAlign w:val="center"/>
          </w:tcPr>
          <w:p>
            <w:pPr>
              <w:keepNext w:val="0"/>
              <w:keepLines w:val="0"/>
              <w:pageBreakBefore w:val="0"/>
              <w:widowControl/>
              <w:kinsoku/>
              <w:wordWrap/>
              <w:overflowPunct/>
              <w:topLinePunct w:val="0"/>
              <w:bidi w:val="0"/>
              <w:adjustRightInd w:val="0"/>
              <w:snapToGrid w:val="0"/>
              <w:ind w:firstLine="0"/>
              <w:jc w:val="center"/>
              <w:rPr>
                <w:snapToGrid w:val="0"/>
                <w:color w:val="auto"/>
                <w:kern w:val="21"/>
                <w:szCs w:val="21"/>
                <w:highlight w:val="none"/>
              </w:rPr>
            </w:pPr>
            <w:r>
              <w:rPr>
                <w:rFonts w:hint="eastAsia"/>
                <w:snapToGrid w:val="0"/>
                <w:color w:val="auto"/>
                <w:kern w:val="21"/>
                <w:szCs w:val="21"/>
                <w:highlight w:val="none"/>
              </w:rPr>
              <w:t>/</w:t>
            </w:r>
          </w:p>
        </w:tc>
        <w:tc>
          <w:tcPr>
            <w:tcW w:w="577" w:type="pct"/>
            <w:tcBorders>
              <w:left w:val="single" w:sz="4" w:space="0" w:color="auto"/>
            </w:tcBorders>
            <w:vAlign w:val="center"/>
          </w:tcPr>
          <w:p>
            <w:pPr>
              <w:keepNext w:val="0"/>
              <w:keepLines w:val="0"/>
              <w:pageBreakBefore w:val="0"/>
              <w:kinsoku/>
              <w:wordWrap/>
              <w:overflowPunct/>
              <w:topLinePunct w:val="0"/>
              <w:bidi w:val="0"/>
              <w:ind w:firstLine="0"/>
              <w:jc w:val="center"/>
              <w:rPr>
                <w:snapToGrid w:val="0"/>
                <w:color w:val="auto"/>
                <w:kern w:val="21"/>
                <w:szCs w:val="21"/>
                <w:highlight w:val="none"/>
              </w:rPr>
            </w:pPr>
            <w:r>
              <w:rPr>
                <w:rFonts w:hint="eastAsia"/>
                <w:snapToGrid w:val="0"/>
                <w:color w:val="auto"/>
                <w:kern w:val="21"/>
                <w:szCs w:val="21"/>
                <w:highlight w:val="none"/>
              </w:rPr>
              <w:t>/</w:t>
            </w:r>
          </w:p>
        </w:tc>
        <w:tc>
          <w:tcPr>
            <w:tcW w:w="724" w:type="pct"/>
            <w:tcBorders>
              <w:left w:val="single" w:sz="4" w:space="0" w:color="auto"/>
            </w:tcBorders>
            <w:vAlign w:val="center"/>
          </w:tcPr>
          <w:p>
            <w:pPr>
              <w:keepNext w:val="0"/>
              <w:keepLines w:val="0"/>
              <w:pageBreakBefore w:val="0"/>
              <w:widowControl/>
              <w:kinsoku/>
              <w:wordWrap/>
              <w:overflowPunct/>
              <w:topLinePunct w:val="0"/>
              <w:bidi w:val="0"/>
              <w:adjustRightInd w:val="0"/>
              <w:snapToGrid w:val="0"/>
              <w:ind w:firstLine="0"/>
              <w:jc w:val="center"/>
              <w:rPr>
                <w:rFonts w:eastAsia="宋体"/>
                <w:snapToGrid w:val="0"/>
                <w:color w:val="auto"/>
                <w:kern w:val="21"/>
                <w:szCs w:val="21"/>
                <w:lang w:val="en-US" w:eastAsia="zh-CN"/>
                <w:highlight w:val="none"/>
              </w:rPr>
            </w:pPr>
            <w:r>
              <w:rPr>
                <w:rFonts w:hint="eastAsia"/>
                <w:snapToGrid w:val="0"/>
                <w:color w:val="auto"/>
                <w:kern w:val="21"/>
                <w:szCs w:val="21"/>
                <w:lang w:val="en-US" w:eastAsia="zh-CN"/>
                <w:highlight w:val="none"/>
              </w:rPr>
              <w:t>0.009</w:t>
            </w:r>
          </w:p>
        </w:tc>
        <w:tc>
          <w:tcPr>
            <w:tcW w:w="155" w:type="pct"/>
            <w:tcBorders>
              <w:left w:val="single" w:sz="4" w:space="0" w:color="auto"/>
            </w:tcBorders>
            <w:vAlign w:val="center"/>
          </w:tcPr>
          <w:p>
            <w:pPr>
              <w:keepNext w:val="0"/>
              <w:keepLines w:val="0"/>
              <w:pageBreakBefore w:val="0"/>
              <w:widowControl/>
              <w:kinsoku/>
              <w:wordWrap/>
              <w:overflowPunct/>
              <w:topLinePunct w:val="0"/>
              <w:bidi w:val="0"/>
              <w:adjustRightInd w:val="0"/>
              <w:snapToGrid w:val="0"/>
              <w:ind w:firstLine="0"/>
              <w:jc w:val="center"/>
              <w:rPr>
                <w:color w:val="auto"/>
                <w:highlight w:val="none"/>
              </w:rPr>
            </w:pPr>
            <w:r>
              <w:rPr>
                <w:rFonts w:hint="eastAsia"/>
                <w:snapToGrid w:val="0"/>
                <w:color w:val="auto"/>
                <w:kern w:val="21"/>
                <w:szCs w:val="21"/>
                <w:highlight w:val="none"/>
              </w:rPr>
              <w:t>/</w:t>
            </w:r>
          </w:p>
        </w:tc>
        <w:tc>
          <w:tcPr>
            <w:tcW w:w="224" w:type="pct"/>
            <w:tcBorders>
              <w:left w:val="single" w:sz="4" w:space="0" w:color="auto"/>
            </w:tcBorders>
            <w:vAlign w:val="center"/>
          </w:tcPr>
          <w:p>
            <w:pPr>
              <w:keepNext w:val="0"/>
              <w:keepLines w:val="0"/>
              <w:pageBreakBefore w:val="0"/>
              <w:widowControl/>
              <w:kinsoku/>
              <w:wordWrap/>
              <w:overflowPunct/>
              <w:topLinePunct w:val="0"/>
              <w:bidi w:val="0"/>
              <w:adjustRightInd w:val="0"/>
              <w:snapToGrid w:val="0"/>
              <w:ind w:firstLine="0"/>
              <w:jc w:val="center"/>
              <w:rPr>
                <w:snapToGrid w:val="0"/>
                <w:color w:val="auto"/>
                <w:kern w:val="21"/>
                <w:szCs w:val="21"/>
                <w:highlight w:val="none"/>
              </w:rPr>
            </w:pPr>
            <w:r>
              <w:rPr>
                <w:rFonts w:hint="eastAsia"/>
                <w:snapToGrid w:val="0"/>
                <w:color w:val="auto"/>
                <w:kern w:val="21"/>
                <w:szCs w:val="21"/>
                <w:lang w:val="en-US" w:eastAsia="zh-CN"/>
                <w:highlight w:val="none"/>
              </w:rPr>
              <w:t>0.009</w:t>
            </w:r>
          </w:p>
        </w:tc>
        <w:tc>
          <w:tcPr>
            <w:tcW w:w="224" w:type="pct"/>
            <w:tcBorders>
              <w:left w:val="single" w:sz="4" w:space="0" w:color="auto"/>
            </w:tcBorders>
            <w:vAlign w:val="center"/>
          </w:tcPr>
          <w:p>
            <w:pPr>
              <w:keepNext w:val="0"/>
              <w:keepLines w:val="0"/>
              <w:pageBreakBefore w:val="0"/>
              <w:widowControl/>
              <w:kinsoku/>
              <w:wordWrap/>
              <w:overflowPunct/>
              <w:topLinePunct w:val="0"/>
              <w:bidi w:val="0"/>
              <w:adjustRightInd w:val="0"/>
              <w:snapToGrid w:val="0"/>
              <w:ind w:firstLine="0"/>
              <w:jc w:val="center"/>
              <w:rPr>
                <w:rFonts w:eastAsia="宋体" w:hint="eastAsia"/>
                <w:snapToGrid w:val="0"/>
                <w:color w:val="auto"/>
                <w:kern w:val="21"/>
                <w:szCs w:val="21"/>
                <w:lang w:eastAsia="zh-CN"/>
                <w:highlight w:val="none"/>
              </w:rPr>
            </w:pPr>
            <w:r>
              <w:rPr>
                <w:rFonts w:hint="eastAsia"/>
                <w:snapToGrid w:val="0"/>
                <w:color w:val="auto"/>
                <w:kern w:val="21"/>
                <w:szCs w:val="21"/>
                <w:lang w:val="en-US" w:eastAsia="zh-CN"/>
                <w:highlight w:val="none"/>
              </w:rPr>
              <w:t>+0.009</w:t>
            </w:r>
          </w:p>
        </w:tc>
      </w:tr>
      <w:tr>
        <w:trPr>
          <w:trHeight w:val="397"/>
        </w:trPr>
        <w:tc>
          <w:tcPr>
            <w:tcW w:w="276" w:type="pct"/>
            <w:vMerge w:val="restart"/>
            <w:vAlign w:val="center"/>
          </w:tcPr>
          <w:p>
            <w:pPr>
              <w:pStyle w:val="55"/>
              <w:keepNext w:val="0"/>
              <w:keepLines w:val="0"/>
              <w:pageBreakBefore w:val="0"/>
              <w:kinsoku/>
              <w:wordWrap/>
              <w:overflowPunct/>
              <w:topLinePunct w:val="0"/>
              <w:bidi w:val="0"/>
              <w:spacing w:beforeLines="0" w:before="10" w:afterLines="0" w:after="0" w:line="240" w:lineRule="auto"/>
              <w:ind w:firstLineChars="0" w:firstLine="0"/>
              <w:jc w:val="center"/>
              <w:rPr>
                <w:rFonts w:ascii="Times New Roman" w:eastAsia="宋体" w:hAnsi="Times New Roman" w:hint="eastAsia"/>
                <w:snapToGrid w:val="0"/>
                <w:color w:val="auto"/>
                <w:kern w:val="21"/>
                <w:szCs w:val="21"/>
                <w:lang w:val="en-US" w:eastAsia="zh-CN"/>
                <w:highlight w:val="none"/>
              </w:rPr>
            </w:pPr>
            <w:r>
              <w:rPr>
                <w:rFonts w:ascii="Times New Roman" w:hAnsi="Times New Roman" w:hint="eastAsia"/>
                <w:snapToGrid w:val="0"/>
                <w:color w:val="auto"/>
                <w:kern w:val="21"/>
                <w:szCs w:val="21"/>
                <w:lang w:val="en-US" w:eastAsia="zh-CN"/>
                <w:highlight w:val="none"/>
              </w:rPr>
              <w:t>废水</w:t>
            </w:r>
          </w:p>
        </w:tc>
        <w:tc>
          <w:tcPr>
            <w:tcW w:w="1663" w:type="pct"/>
            <w:tcBorders>
              <w:left w:val="single" w:sz="4" w:space="0" w:color="auto"/>
            </w:tcBorders>
            <w:shd w:val="clear" w:color="auto" w:fill="auto"/>
            <w:vAlign w:val="center"/>
          </w:tcPr>
          <w:p>
            <w:pPr>
              <w:pStyle w:val="16"/>
              <w:spacing w:line="240" w:lineRule="auto"/>
              <w:ind w:firstLineChars="0" w:firstLine="0"/>
              <w:jc w:val="center"/>
              <w:rPr>
                <w:rFonts w:ascii="Times New Roman" w:eastAsia="Segoe UI" w:cs="Times New Roman" w:hAnsi="Times New Roman" w:hint="eastAsia"/>
                <w:b w:val="0"/>
                <w:bCs w:val="0"/>
                <w:i w:val="0"/>
                <w:iCs w:val="0"/>
                <w:caps w:val="0"/>
                <w:smallCaps w:val="0"/>
                <w:color w:val="auto"/>
                <w:spacing w:val="0"/>
                <w:kern w:val="0"/>
                <w:sz w:val="21"/>
                <w:szCs w:val="21"/>
                <w:shd w:val="clear" w:color="auto" w:fill="FFFFFF"/>
                <w:lang w:val="en-US" w:eastAsia="zh-CN" w:bidi="ar-SA"/>
                <w:highlight w:val="none"/>
              </w:rPr>
            </w:pPr>
            <w:r>
              <w:rPr>
                <w:rFonts w:ascii="Times New Roman" w:eastAsia="宋体" w:cs="Times New Roman" w:hAnsi="Times New Roman"/>
                <w:color w:val="auto"/>
                <w:sz w:val="21"/>
                <w:szCs w:val="21"/>
                <w:lang w:val="en-US" w:eastAsia="zh-CN"/>
                <w:highlight w:val="none"/>
              </w:rPr>
              <w:t>COD</w:t>
            </w:r>
          </w:p>
        </w:tc>
        <w:tc>
          <w:tcPr>
            <w:tcW w:w="762" w:type="pct"/>
            <w:tcBorders>
              <w:left w:val="single" w:sz="4" w:space="0" w:color="auto"/>
            </w:tcBorders>
            <w:vAlign w:val="center"/>
          </w:tcPr>
          <w:p>
            <w:pPr>
              <w:keepNext w:val="0"/>
              <w:keepLines w:val="0"/>
              <w:pageBreakBefore w:val="0"/>
              <w:widowControl/>
              <w:kinsoku/>
              <w:wordWrap/>
              <w:overflowPunct/>
              <w:topLinePunct w:val="0"/>
              <w:bidi w:val="0"/>
              <w:adjustRightInd w:val="0"/>
              <w:snapToGrid w:val="0"/>
              <w:ind w:firstLine="0"/>
              <w:jc w:val="center"/>
              <w:rPr>
                <w:rFonts w:hint="eastAsia"/>
                <w:snapToGrid w:val="0"/>
                <w:color w:val="auto"/>
                <w:kern w:val="21"/>
                <w:szCs w:val="21"/>
                <w:highlight w:val="none"/>
              </w:rPr>
            </w:pPr>
            <w:r>
              <w:rPr>
                <w:rFonts w:hint="eastAsia"/>
                <w:snapToGrid w:val="0"/>
                <w:color w:val="auto"/>
                <w:kern w:val="21"/>
                <w:szCs w:val="21"/>
                <w:highlight w:val="none"/>
              </w:rPr>
              <w:t>/</w:t>
            </w:r>
          </w:p>
        </w:tc>
        <w:tc>
          <w:tcPr>
            <w:tcW w:w="392" w:type="pct"/>
            <w:tcBorders>
              <w:left w:val="single" w:sz="4" w:space="0" w:color="auto"/>
            </w:tcBorders>
            <w:vAlign w:val="center"/>
          </w:tcPr>
          <w:p>
            <w:pPr>
              <w:keepNext w:val="0"/>
              <w:keepLines w:val="0"/>
              <w:pageBreakBefore w:val="0"/>
              <w:widowControl/>
              <w:kinsoku/>
              <w:wordWrap/>
              <w:overflowPunct/>
              <w:topLinePunct w:val="0"/>
              <w:bidi w:val="0"/>
              <w:adjustRightInd w:val="0"/>
              <w:snapToGrid w:val="0"/>
              <w:ind w:firstLine="0"/>
              <w:jc w:val="center"/>
              <w:rPr>
                <w:rFonts w:hint="eastAsia"/>
                <w:snapToGrid w:val="0"/>
                <w:color w:val="auto"/>
                <w:kern w:val="21"/>
                <w:szCs w:val="21"/>
                <w:highlight w:val="none"/>
              </w:rPr>
            </w:pPr>
            <w:r>
              <w:rPr>
                <w:rFonts w:hint="eastAsia"/>
                <w:snapToGrid w:val="0"/>
                <w:color w:val="auto"/>
                <w:kern w:val="21"/>
                <w:szCs w:val="21"/>
                <w:highlight w:val="none"/>
              </w:rPr>
              <w:t>/</w:t>
            </w:r>
          </w:p>
        </w:tc>
        <w:tc>
          <w:tcPr>
            <w:tcW w:w="577" w:type="pct"/>
            <w:tcBorders>
              <w:left w:val="single" w:sz="4" w:space="0" w:color="auto"/>
            </w:tcBorders>
            <w:vAlign w:val="center"/>
          </w:tcPr>
          <w:p>
            <w:pPr>
              <w:keepNext w:val="0"/>
              <w:keepLines w:val="0"/>
              <w:pageBreakBefore w:val="0"/>
              <w:kinsoku/>
              <w:wordWrap/>
              <w:overflowPunct/>
              <w:topLinePunct w:val="0"/>
              <w:bidi w:val="0"/>
              <w:ind w:firstLine="0"/>
              <w:jc w:val="center"/>
              <w:rPr>
                <w:rFonts w:hint="eastAsia"/>
                <w:snapToGrid w:val="0"/>
                <w:color w:val="auto"/>
                <w:kern w:val="21"/>
                <w:szCs w:val="21"/>
                <w:highlight w:val="none"/>
              </w:rPr>
            </w:pPr>
            <w:r>
              <w:rPr>
                <w:rFonts w:hint="eastAsia"/>
                <w:snapToGrid w:val="0"/>
                <w:color w:val="auto"/>
                <w:kern w:val="21"/>
                <w:szCs w:val="21"/>
                <w:highlight w:val="none"/>
              </w:rPr>
              <w:t>/</w:t>
            </w:r>
          </w:p>
        </w:tc>
        <w:tc>
          <w:tcPr>
            <w:tcW w:w="724" w:type="pct"/>
            <w:tcBorders>
              <w:left w:val="single" w:sz="4" w:space="0" w:color="auto"/>
            </w:tcBorders>
            <w:vAlign w:val="center"/>
          </w:tcPr>
          <w:p>
            <w:pPr>
              <w:tabs>
                <w:tab w:val="center" w:pos="4153"/>
                <w:tab w:val="right" w:pos="8306"/>
              </w:tabs>
              <w:snapToGrid w:val="0"/>
              <w:jc w:val="center"/>
              <w:rPr>
                <w:rFonts w:ascii="Times New Roman" w:eastAsia="宋体" w:cs="Times New Roman" w:hAnsi="Times New Roman"/>
                <w:b w:val="0"/>
                <w:bCs w:val="0"/>
                <w:color w:val="auto"/>
                <w:sz w:val="21"/>
                <w:szCs w:val="21"/>
                <w:lang w:val="en-US" w:eastAsia="zh-CN"/>
                <w:highlight w:val="none"/>
              </w:rPr>
            </w:pPr>
            <w:r>
              <w:rPr>
                <w:rFonts w:cs="Times New Roman" w:hint="eastAsia"/>
                <w:color w:val="auto"/>
                <w:sz w:val="21"/>
                <w:szCs w:val="21"/>
                <w:lang w:val="en-US" w:eastAsia="zh-CN"/>
                <w:highlight w:val="none"/>
              </w:rPr>
              <w:t>0</w:t>
            </w:r>
          </w:p>
        </w:tc>
        <w:tc>
          <w:tcPr>
            <w:tcW w:w="155" w:type="pct"/>
            <w:tcBorders>
              <w:left w:val="single" w:sz="4" w:space="0" w:color="auto"/>
            </w:tcBorders>
            <w:vAlign w:val="center"/>
          </w:tcPr>
          <w:p>
            <w:pPr>
              <w:autoSpaceDE/>
              <w:autoSpaceDN/>
              <w:adjustRightInd w:val="0"/>
              <w:snapToGrid w:val="0"/>
              <w:spacing w:line="240" w:lineRule="auto"/>
              <w:ind w:firstLine="0"/>
              <w:jc w:val="center"/>
              <w:rPr>
                <w:rFonts w:hint="eastAsia"/>
                <w:snapToGrid w:val="0"/>
                <w:color w:val="auto"/>
                <w:kern w:val="21"/>
                <w:szCs w:val="21"/>
                <w:highlight w:val="none"/>
              </w:rPr>
            </w:pPr>
            <w:r>
              <w:rPr>
                <w:rFonts w:hint="eastAsia"/>
                <w:snapToGrid w:val="0"/>
                <w:color w:val="auto"/>
                <w:kern w:val="21"/>
                <w:szCs w:val="21"/>
                <w:highlight w:val="none"/>
              </w:rPr>
              <w:t>/</w:t>
            </w:r>
          </w:p>
        </w:tc>
        <w:tc>
          <w:tcPr>
            <w:tcW w:w="224" w:type="pct"/>
            <w:tcBorders>
              <w:left w:val="single" w:sz="4" w:space="0" w:color="auto"/>
            </w:tcBorders>
            <w:vAlign w:val="center"/>
          </w:tcPr>
          <w:p>
            <w:pPr>
              <w:tabs>
                <w:tab w:val="center" w:pos="4153"/>
                <w:tab w:val="right" w:pos="8306"/>
              </w:tabs>
              <w:snapToGrid w:val="0"/>
              <w:jc w:val="center"/>
              <w:rPr>
                <w:rFonts w:ascii="Times New Roman" w:eastAsia="宋体" w:cs="Times New Roman" w:hAnsi="Times New Roman" w:hint="eastAsia"/>
                <w:b w:val="0"/>
                <w:bCs w:val="0"/>
                <w:color w:val="auto"/>
                <w:sz w:val="21"/>
                <w:szCs w:val="21"/>
                <w:lang w:val="en-US" w:eastAsia="zh-CN"/>
                <w:highlight w:val="none"/>
              </w:rPr>
            </w:pPr>
            <w:r>
              <w:rPr>
                <w:rFonts w:cs="Times New Roman" w:hint="eastAsia"/>
                <w:color w:val="auto"/>
                <w:sz w:val="21"/>
                <w:szCs w:val="21"/>
                <w:lang w:val="en-US" w:eastAsia="zh-CN"/>
                <w:highlight w:val="none"/>
              </w:rPr>
              <w:t>0</w:t>
            </w:r>
          </w:p>
        </w:tc>
        <w:tc>
          <w:tcPr>
            <w:tcW w:w="224" w:type="pct"/>
            <w:tcBorders>
              <w:left w:val="single" w:sz="4" w:space="0" w:color="auto"/>
            </w:tcBorders>
            <w:vAlign w:val="center"/>
          </w:tcPr>
          <w:p>
            <w:pPr>
              <w:tabs>
                <w:tab w:val="center" w:pos="4153"/>
                <w:tab w:val="right" w:pos="8306"/>
              </w:tabs>
              <w:snapToGrid w:val="0"/>
              <w:jc w:val="center"/>
              <w:rPr>
                <w:rFonts w:ascii="Times New Roman" w:eastAsia="宋体" w:cs="Times New Roman" w:hAnsi="Times New Roman" w:hint="eastAsia"/>
                <w:b w:val="0"/>
                <w:bCs w:val="0"/>
                <w:color w:val="auto"/>
                <w:sz w:val="21"/>
                <w:szCs w:val="21"/>
                <w:lang w:val="en-US" w:eastAsia="zh-CN"/>
                <w:highlight w:val="none"/>
              </w:rPr>
            </w:pPr>
            <w:r>
              <w:rPr>
                <w:rFonts w:cs="Times New Roman" w:hint="eastAsia"/>
                <w:color w:val="auto"/>
                <w:sz w:val="21"/>
                <w:szCs w:val="21"/>
                <w:lang w:val="en-US" w:eastAsia="zh-CN"/>
                <w:highlight w:val="none"/>
              </w:rPr>
              <w:t>0</w:t>
            </w:r>
          </w:p>
        </w:tc>
      </w:tr>
      <w:tr>
        <w:trPr>
          <w:trHeight w:val="397"/>
        </w:trPr>
        <w:tc>
          <w:tcPr>
            <w:tcW w:w="366" w:type="pct"/>
            <w:vMerge/>
            <w:vAlign w:val="center"/>
          </w:tcPr>
          <w:p/>
        </w:tc>
        <w:tc>
          <w:tcPr>
            <w:tcW w:w="1663" w:type="pct"/>
            <w:tcBorders>
              <w:left w:val="single" w:sz="4" w:space="0" w:color="auto"/>
            </w:tcBorders>
            <w:shd w:val="clear" w:color="auto" w:fill="auto"/>
            <w:vAlign w:val="center"/>
          </w:tcPr>
          <w:p>
            <w:pPr>
              <w:pStyle w:val="16"/>
              <w:spacing w:line="240" w:lineRule="auto"/>
              <w:ind w:firstLineChars="0" w:firstLine="0"/>
              <w:jc w:val="center"/>
              <w:rPr>
                <w:rFonts w:ascii="Times New Roman" w:eastAsia="Segoe UI" w:cs="Times New Roman" w:hAnsi="Times New Roman" w:hint="eastAsia"/>
                <w:b w:val="0"/>
                <w:bCs w:val="0"/>
                <w:i w:val="0"/>
                <w:iCs w:val="0"/>
                <w:caps w:val="0"/>
                <w:smallCaps w:val="0"/>
                <w:color w:val="auto"/>
                <w:spacing w:val="0"/>
                <w:kern w:val="0"/>
                <w:sz w:val="21"/>
                <w:szCs w:val="21"/>
                <w:shd w:val="clear" w:color="auto" w:fill="FFFFFF"/>
                <w:lang w:val="en-US" w:eastAsia="zh-CN" w:bidi="ar-SA"/>
                <w:highlight w:val="none"/>
              </w:rPr>
            </w:pPr>
            <w:r>
              <w:rPr>
                <w:rFonts w:ascii="Times New Roman" w:eastAsia="宋体" w:cs="Times New Roman" w:hAnsi="Times New Roman"/>
                <w:color w:val="auto"/>
                <w:sz w:val="21"/>
                <w:szCs w:val="21"/>
                <w:lang w:val="en-US" w:eastAsia="zh-CN"/>
                <w:highlight w:val="none"/>
              </w:rPr>
              <w:t>BOD</w:t>
            </w:r>
            <w:r>
              <w:rPr>
                <w:rFonts w:ascii="Times New Roman" w:eastAsia="宋体" w:cs="Times New Roman" w:hAnsi="Times New Roman"/>
                <w:color w:val="auto"/>
                <w:sz w:val="21"/>
                <w:szCs w:val="21"/>
                <w:vertAlign w:val="subscript"/>
                <w:lang w:val="en-US" w:eastAsia="zh-CN"/>
                <w:highlight w:val="none"/>
              </w:rPr>
              <w:t>5</w:t>
            </w:r>
          </w:p>
        </w:tc>
        <w:tc>
          <w:tcPr>
            <w:tcW w:w="762" w:type="pct"/>
            <w:tcBorders>
              <w:left w:val="single" w:sz="4" w:space="0" w:color="auto"/>
            </w:tcBorders>
            <w:vAlign w:val="center"/>
          </w:tcPr>
          <w:p>
            <w:pPr>
              <w:keepNext w:val="0"/>
              <w:keepLines w:val="0"/>
              <w:pageBreakBefore w:val="0"/>
              <w:widowControl/>
              <w:kinsoku/>
              <w:wordWrap/>
              <w:overflowPunct/>
              <w:topLinePunct w:val="0"/>
              <w:bidi w:val="0"/>
              <w:adjustRightInd w:val="0"/>
              <w:snapToGrid w:val="0"/>
              <w:ind w:firstLine="0"/>
              <w:jc w:val="center"/>
              <w:rPr>
                <w:rFonts w:hint="eastAsia"/>
                <w:snapToGrid w:val="0"/>
                <w:color w:val="auto"/>
                <w:kern w:val="21"/>
                <w:szCs w:val="21"/>
                <w:highlight w:val="none"/>
              </w:rPr>
            </w:pPr>
            <w:r>
              <w:rPr>
                <w:rFonts w:hint="eastAsia"/>
                <w:snapToGrid w:val="0"/>
                <w:color w:val="auto"/>
                <w:kern w:val="21"/>
                <w:szCs w:val="21"/>
                <w:highlight w:val="none"/>
              </w:rPr>
              <w:t>/</w:t>
            </w:r>
          </w:p>
        </w:tc>
        <w:tc>
          <w:tcPr>
            <w:tcW w:w="392" w:type="pct"/>
            <w:tcBorders>
              <w:left w:val="single" w:sz="4" w:space="0" w:color="auto"/>
            </w:tcBorders>
            <w:vAlign w:val="center"/>
          </w:tcPr>
          <w:p>
            <w:pPr>
              <w:keepNext w:val="0"/>
              <w:keepLines w:val="0"/>
              <w:pageBreakBefore w:val="0"/>
              <w:widowControl/>
              <w:kinsoku/>
              <w:wordWrap/>
              <w:overflowPunct/>
              <w:topLinePunct w:val="0"/>
              <w:bidi w:val="0"/>
              <w:adjustRightInd w:val="0"/>
              <w:snapToGrid w:val="0"/>
              <w:ind w:firstLine="0"/>
              <w:jc w:val="center"/>
              <w:rPr>
                <w:rFonts w:hint="eastAsia"/>
                <w:snapToGrid w:val="0"/>
                <w:color w:val="auto"/>
                <w:kern w:val="21"/>
                <w:szCs w:val="21"/>
                <w:highlight w:val="none"/>
              </w:rPr>
            </w:pPr>
            <w:r>
              <w:rPr>
                <w:rFonts w:hint="eastAsia"/>
                <w:snapToGrid w:val="0"/>
                <w:color w:val="auto"/>
                <w:kern w:val="21"/>
                <w:szCs w:val="21"/>
                <w:highlight w:val="none"/>
              </w:rPr>
              <w:t>/</w:t>
            </w:r>
          </w:p>
        </w:tc>
        <w:tc>
          <w:tcPr>
            <w:tcW w:w="577" w:type="pct"/>
            <w:tcBorders>
              <w:left w:val="single" w:sz="4" w:space="0" w:color="auto"/>
            </w:tcBorders>
            <w:vAlign w:val="center"/>
          </w:tcPr>
          <w:p>
            <w:pPr>
              <w:keepNext w:val="0"/>
              <w:keepLines w:val="0"/>
              <w:pageBreakBefore w:val="0"/>
              <w:kinsoku/>
              <w:wordWrap/>
              <w:overflowPunct/>
              <w:topLinePunct w:val="0"/>
              <w:bidi w:val="0"/>
              <w:ind w:firstLine="0"/>
              <w:jc w:val="center"/>
              <w:rPr>
                <w:rFonts w:hint="eastAsia"/>
                <w:snapToGrid w:val="0"/>
                <w:color w:val="auto"/>
                <w:kern w:val="21"/>
                <w:szCs w:val="21"/>
                <w:highlight w:val="none"/>
              </w:rPr>
            </w:pPr>
            <w:r>
              <w:rPr>
                <w:rFonts w:hint="eastAsia"/>
                <w:snapToGrid w:val="0"/>
                <w:color w:val="auto"/>
                <w:kern w:val="21"/>
                <w:szCs w:val="21"/>
                <w:highlight w:val="none"/>
              </w:rPr>
              <w:t>/</w:t>
            </w:r>
          </w:p>
        </w:tc>
        <w:tc>
          <w:tcPr>
            <w:tcW w:w="724" w:type="pct"/>
            <w:tcBorders>
              <w:left w:val="single" w:sz="4" w:space="0" w:color="auto"/>
            </w:tcBorders>
            <w:vAlign w:val="center"/>
          </w:tcPr>
          <w:p>
            <w:pPr>
              <w:tabs>
                <w:tab w:val="center" w:pos="4153"/>
                <w:tab w:val="right" w:pos="8306"/>
              </w:tabs>
              <w:snapToGrid w:val="0"/>
              <w:jc w:val="center"/>
              <w:rPr>
                <w:rFonts w:ascii="Times New Roman" w:eastAsia="宋体" w:cs="Times New Roman" w:hAnsi="Times New Roman"/>
                <w:b w:val="0"/>
                <w:bCs w:val="0"/>
                <w:color w:val="auto"/>
                <w:sz w:val="21"/>
                <w:szCs w:val="21"/>
                <w:lang w:val="en-US" w:eastAsia="zh-CN"/>
                <w:highlight w:val="none"/>
              </w:rPr>
            </w:pPr>
            <w:r>
              <w:rPr>
                <w:rFonts w:cs="Times New Roman" w:hint="eastAsia"/>
                <w:b w:val="0"/>
                <w:bCs w:val="0"/>
                <w:color w:val="auto"/>
                <w:sz w:val="21"/>
                <w:szCs w:val="21"/>
                <w:lang w:val="en-US" w:eastAsia="zh-CN"/>
                <w:highlight w:val="none"/>
              </w:rPr>
              <w:t>0</w:t>
            </w:r>
          </w:p>
        </w:tc>
        <w:tc>
          <w:tcPr>
            <w:tcW w:w="155" w:type="pct"/>
            <w:tcBorders>
              <w:left w:val="single" w:sz="4" w:space="0" w:color="auto"/>
            </w:tcBorders>
            <w:vAlign w:val="center"/>
          </w:tcPr>
          <w:p>
            <w:pPr>
              <w:autoSpaceDE/>
              <w:autoSpaceDN/>
              <w:adjustRightInd w:val="0"/>
              <w:snapToGrid w:val="0"/>
              <w:spacing w:line="240" w:lineRule="auto"/>
              <w:ind w:firstLine="0"/>
              <w:jc w:val="center"/>
              <w:rPr>
                <w:rFonts w:hint="eastAsia"/>
                <w:snapToGrid w:val="0"/>
                <w:color w:val="auto"/>
                <w:kern w:val="21"/>
                <w:szCs w:val="21"/>
                <w:highlight w:val="none"/>
              </w:rPr>
            </w:pPr>
            <w:r>
              <w:rPr>
                <w:rFonts w:hint="eastAsia"/>
                <w:snapToGrid w:val="0"/>
                <w:color w:val="auto"/>
                <w:kern w:val="21"/>
                <w:szCs w:val="21"/>
                <w:highlight w:val="none"/>
              </w:rPr>
              <w:t>/</w:t>
            </w:r>
          </w:p>
        </w:tc>
        <w:tc>
          <w:tcPr>
            <w:tcW w:w="224" w:type="pct"/>
            <w:tcBorders>
              <w:left w:val="single" w:sz="4" w:space="0" w:color="auto"/>
            </w:tcBorders>
            <w:vAlign w:val="center"/>
          </w:tcPr>
          <w:p>
            <w:pPr>
              <w:tabs>
                <w:tab w:val="center" w:pos="4153"/>
                <w:tab w:val="right" w:pos="8306"/>
              </w:tabs>
              <w:snapToGrid w:val="0"/>
              <w:jc w:val="center"/>
              <w:rPr>
                <w:rFonts w:ascii="Times New Roman" w:eastAsia="宋体" w:cs="Times New Roman" w:hAnsi="Times New Roman" w:hint="eastAsia"/>
                <w:b w:val="0"/>
                <w:bCs w:val="0"/>
                <w:color w:val="auto"/>
                <w:sz w:val="21"/>
                <w:szCs w:val="21"/>
                <w:lang w:val="en-US" w:eastAsia="zh-CN"/>
                <w:highlight w:val="none"/>
              </w:rPr>
            </w:pPr>
            <w:r>
              <w:rPr>
                <w:rFonts w:cs="Times New Roman" w:hint="eastAsia"/>
                <w:b w:val="0"/>
                <w:bCs w:val="0"/>
                <w:color w:val="auto"/>
                <w:sz w:val="21"/>
                <w:szCs w:val="21"/>
                <w:lang w:val="en-US" w:eastAsia="zh-CN"/>
                <w:highlight w:val="none"/>
              </w:rPr>
              <w:t>0</w:t>
            </w:r>
          </w:p>
        </w:tc>
        <w:tc>
          <w:tcPr>
            <w:tcW w:w="224" w:type="pct"/>
            <w:tcBorders>
              <w:left w:val="single" w:sz="4" w:space="0" w:color="auto"/>
            </w:tcBorders>
            <w:vAlign w:val="center"/>
          </w:tcPr>
          <w:p>
            <w:pPr>
              <w:tabs>
                <w:tab w:val="center" w:pos="4153"/>
                <w:tab w:val="right" w:pos="8306"/>
              </w:tabs>
              <w:snapToGrid w:val="0"/>
              <w:jc w:val="center"/>
              <w:rPr>
                <w:rFonts w:ascii="Times New Roman" w:eastAsia="宋体" w:cs="Times New Roman" w:hAnsi="Times New Roman" w:hint="eastAsia"/>
                <w:b w:val="0"/>
                <w:bCs w:val="0"/>
                <w:color w:val="auto"/>
                <w:sz w:val="21"/>
                <w:szCs w:val="21"/>
                <w:lang w:val="en-US" w:eastAsia="zh-CN"/>
                <w:highlight w:val="none"/>
              </w:rPr>
            </w:pPr>
            <w:r>
              <w:rPr>
                <w:rFonts w:cs="Times New Roman" w:hint="eastAsia"/>
                <w:b w:val="0"/>
                <w:bCs w:val="0"/>
                <w:color w:val="auto"/>
                <w:sz w:val="21"/>
                <w:szCs w:val="21"/>
                <w:lang w:val="en-US" w:eastAsia="zh-CN"/>
                <w:highlight w:val="none"/>
              </w:rPr>
              <w:t>0</w:t>
            </w:r>
          </w:p>
        </w:tc>
      </w:tr>
      <w:tr>
        <w:trPr>
          <w:trHeight w:val="397"/>
        </w:trPr>
        <w:tc>
          <w:tcPr>
            <w:tcW w:w="366" w:type="pct"/>
            <w:vMerge/>
            <w:vAlign w:val="center"/>
          </w:tcPr>
          <w:p/>
        </w:tc>
        <w:tc>
          <w:tcPr>
            <w:tcW w:w="1663" w:type="pct"/>
            <w:tcBorders>
              <w:left w:val="single" w:sz="4" w:space="0" w:color="auto"/>
            </w:tcBorders>
            <w:shd w:val="clear" w:color="auto" w:fill="auto"/>
            <w:vAlign w:val="center"/>
          </w:tcPr>
          <w:p>
            <w:pPr>
              <w:pStyle w:val="16"/>
              <w:spacing w:line="240" w:lineRule="auto"/>
              <w:ind w:firstLineChars="0" w:firstLine="0"/>
              <w:jc w:val="center"/>
              <w:rPr>
                <w:rFonts w:ascii="Times New Roman" w:eastAsia="Segoe UI" w:cs="Times New Roman" w:hAnsi="Times New Roman" w:hint="eastAsia"/>
                <w:b w:val="0"/>
                <w:bCs w:val="0"/>
                <w:i w:val="0"/>
                <w:iCs w:val="0"/>
                <w:caps w:val="0"/>
                <w:smallCaps w:val="0"/>
                <w:color w:val="auto"/>
                <w:spacing w:val="0"/>
                <w:kern w:val="0"/>
                <w:sz w:val="21"/>
                <w:szCs w:val="21"/>
                <w:shd w:val="clear" w:color="auto" w:fill="FFFFFF"/>
                <w:lang w:val="en-US" w:eastAsia="zh-CN" w:bidi="ar-SA"/>
                <w:highlight w:val="none"/>
              </w:rPr>
            </w:pPr>
            <w:r>
              <w:rPr>
                <w:rFonts w:ascii="Times New Roman" w:eastAsia="宋体" w:cs="Times New Roman" w:hAnsi="Times New Roman"/>
                <w:color w:val="auto"/>
                <w:sz w:val="21"/>
                <w:szCs w:val="21"/>
                <w:lang w:val="en-US" w:eastAsia="zh-CN"/>
                <w:highlight w:val="none"/>
              </w:rPr>
              <w:t>SS</w:t>
            </w:r>
          </w:p>
        </w:tc>
        <w:tc>
          <w:tcPr>
            <w:tcW w:w="762" w:type="pct"/>
            <w:tcBorders>
              <w:left w:val="single" w:sz="4" w:space="0" w:color="auto"/>
            </w:tcBorders>
            <w:vAlign w:val="center"/>
          </w:tcPr>
          <w:p>
            <w:pPr>
              <w:keepNext w:val="0"/>
              <w:keepLines w:val="0"/>
              <w:pageBreakBefore w:val="0"/>
              <w:widowControl/>
              <w:kinsoku/>
              <w:wordWrap/>
              <w:overflowPunct/>
              <w:topLinePunct w:val="0"/>
              <w:bidi w:val="0"/>
              <w:adjustRightInd w:val="0"/>
              <w:snapToGrid w:val="0"/>
              <w:ind w:firstLine="0"/>
              <w:jc w:val="center"/>
              <w:rPr>
                <w:rFonts w:hint="eastAsia"/>
                <w:snapToGrid w:val="0"/>
                <w:color w:val="auto"/>
                <w:kern w:val="21"/>
                <w:szCs w:val="21"/>
                <w:highlight w:val="none"/>
              </w:rPr>
            </w:pPr>
            <w:r>
              <w:rPr>
                <w:rFonts w:hint="eastAsia"/>
                <w:snapToGrid w:val="0"/>
                <w:color w:val="auto"/>
                <w:kern w:val="21"/>
                <w:szCs w:val="21"/>
                <w:highlight w:val="none"/>
              </w:rPr>
              <w:t>/</w:t>
            </w:r>
          </w:p>
        </w:tc>
        <w:tc>
          <w:tcPr>
            <w:tcW w:w="392" w:type="pct"/>
            <w:tcBorders>
              <w:left w:val="single" w:sz="4" w:space="0" w:color="auto"/>
            </w:tcBorders>
            <w:vAlign w:val="center"/>
          </w:tcPr>
          <w:p>
            <w:pPr>
              <w:keepNext w:val="0"/>
              <w:keepLines w:val="0"/>
              <w:pageBreakBefore w:val="0"/>
              <w:widowControl/>
              <w:kinsoku/>
              <w:wordWrap/>
              <w:overflowPunct/>
              <w:topLinePunct w:val="0"/>
              <w:bidi w:val="0"/>
              <w:adjustRightInd w:val="0"/>
              <w:snapToGrid w:val="0"/>
              <w:ind w:firstLine="0"/>
              <w:jc w:val="center"/>
              <w:rPr>
                <w:rFonts w:hint="eastAsia"/>
                <w:snapToGrid w:val="0"/>
                <w:color w:val="auto"/>
                <w:kern w:val="21"/>
                <w:szCs w:val="21"/>
                <w:highlight w:val="none"/>
              </w:rPr>
            </w:pPr>
            <w:r>
              <w:rPr>
                <w:rFonts w:hint="eastAsia"/>
                <w:snapToGrid w:val="0"/>
                <w:color w:val="auto"/>
                <w:kern w:val="21"/>
                <w:szCs w:val="21"/>
                <w:highlight w:val="none"/>
              </w:rPr>
              <w:t>/</w:t>
            </w:r>
          </w:p>
        </w:tc>
        <w:tc>
          <w:tcPr>
            <w:tcW w:w="577" w:type="pct"/>
            <w:tcBorders>
              <w:left w:val="single" w:sz="4" w:space="0" w:color="auto"/>
            </w:tcBorders>
            <w:vAlign w:val="center"/>
          </w:tcPr>
          <w:p>
            <w:pPr>
              <w:keepNext w:val="0"/>
              <w:keepLines w:val="0"/>
              <w:pageBreakBefore w:val="0"/>
              <w:kinsoku/>
              <w:wordWrap/>
              <w:overflowPunct/>
              <w:topLinePunct w:val="0"/>
              <w:bidi w:val="0"/>
              <w:ind w:firstLine="0"/>
              <w:jc w:val="center"/>
              <w:rPr>
                <w:rFonts w:hint="eastAsia"/>
                <w:snapToGrid w:val="0"/>
                <w:color w:val="auto"/>
                <w:kern w:val="21"/>
                <w:szCs w:val="21"/>
                <w:highlight w:val="none"/>
              </w:rPr>
            </w:pPr>
            <w:r>
              <w:rPr>
                <w:rFonts w:hint="eastAsia"/>
                <w:snapToGrid w:val="0"/>
                <w:color w:val="auto"/>
                <w:kern w:val="21"/>
                <w:szCs w:val="21"/>
                <w:highlight w:val="none"/>
              </w:rPr>
              <w:t>/</w:t>
            </w:r>
          </w:p>
        </w:tc>
        <w:tc>
          <w:tcPr>
            <w:tcW w:w="724" w:type="pct"/>
            <w:tcBorders>
              <w:left w:val="single" w:sz="4" w:space="0" w:color="auto"/>
            </w:tcBorders>
            <w:vAlign w:val="center"/>
          </w:tcPr>
          <w:p>
            <w:pPr>
              <w:tabs>
                <w:tab w:val="center" w:pos="4153"/>
                <w:tab w:val="right" w:pos="8306"/>
              </w:tabs>
              <w:snapToGrid w:val="0"/>
              <w:jc w:val="center"/>
              <w:rPr>
                <w:rFonts w:ascii="Times New Roman" w:eastAsia="宋体" w:cs="Times New Roman" w:hAnsi="Times New Roman"/>
                <w:b w:val="0"/>
                <w:bCs w:val="0"/>
                <w:color w:val="auto"/>
                <w:sz w:val="21"/>
                <w:szCs w:val="21"/>
                <w:lang w:val="en-US" w:eastAsia="zh-CN"/>
                <w:highlight w:val="none"/>
              </w:rPr>
            </w:pPr>
            <w:r>
              <w:rPr>
                <w:rFonts w:cs="Times New Roman" w:hint="eastAsia"/>
                <w:b w:val="0"/>
                <w:bCs w:val="0"/>
                <w:color w:val="auto"/>
                <w:sz w:val="21"/>
                <w:szCs w:val="21"/>
                <w:lang w:val="en-US" w:eastAsia="zh-CN"/>
                <w:highlight w:val="none"/>
              </w:rPr>
              <w:t>0</w:t>
            </w:r>
          </w:p>
        </w:tc>
        <w:tc>
          <w:tcPr>
            <w:tcW w:w="155" w:type="pct"/>
            <w:tcBorders>
              <w:left w:val="single" w:sz="4" w:space="0" w:color="auto"/>
            </w:tcBorders>
            <w:vAlign w:val="center"/>
          </w:tcPr>
          <w:p>
            <w:pPr>
              <w:autoSpaceDE/>
              <w:autoSpaceDN/>
              <w:adjustRightInd w:val="0"/>
              <w:snapToGrid w:val="0"/>
              <w:spacing w:line="240" w:lineRule="auto"/>
              <w:ind w:firstLine="0"/>
              <w:jc w:val="center"/>
              <w:rPr>
                <w:rFonts w:hint="eastAsia"/>
                <w:snapToGrid w:val="0"/>
                <w:color w:val="auto"/>
                <w:kern w:val="21"/>
                <w:szCs w:val="21"/>
                <w:highlight w:val="none"/>
              </w:rPr>
            </w:pPr>
            <w:r>
              <w:rPr>
                <w:rFonts w:hint="eastAsia"/>
                <w:snapToGrid w:val="0"/>
                <w:color w:val="auto"/>
                <w:kern w:val="21"/>
                <w:szCs w:val="21"/>
                <w:highlight w:val="none"/>
              </w:rPr>
              <w:t>/</w:t>
            </w:r>
          </w:p>
        </w:tc>
        <w:tc>
          <w:tcPr>
            <w:tcW w:w="224" w:type="pct"/>
            <w:tcBorders>
              <w:left w:val="single" w:sz="4" w:space="0" w:color="auto"/>
            </w:tcBorders>
            <w:vAlign w:val="center"/>
          </w:tcPr>
          <w:p>
            <w:pPr>
              <w:tabs>
                <w:tab w:val="center" w:pos="4153"/>
                <w:tab w:val="right" w:pos="8306"/>
              </w:tabs>
              <w:snapToGrid w:val="0"/>
              <w:jc w:val="center"/>
              <w:rPr>
                <w:rFonts w:ascii="Times New Roman" w:eastAsia="宋体" w:cs="Times New Roman" w:hAnsi="Times New Roman" w:hint="eastAsia"/>
                <w:b w:val="0"/>
                <w:bCs w:val="0"/>
                <w:color w:val="auto"/>
                <w:sz w:val="21"/>
                <w:szCs w:val="21"/>
                <w:lang w:val="en-US" w:eastAsia="zh-CN"/>
                <w:highlight w:val="none"/>
              </w:rPr>
            </w:pPr>
            <w:r>
              <w:rPr>
                <w:rFonts w:cs="Times New Roman" w:hint="eastAsia"/>
                <w:b w:val="0"/>
                <w:bCs w:val="0"/>
                <w:color w:val="auto"/>
                <w:sz w:val="21"/>
                <w:szCs w:val="21"/>
                <w:lang w:val="en-US" w:eastAsia="zh-CN"/>
                <w:highlight w:val="none"/>
              </w:rPr>
              <w:t>0</w:t>
            </w:r>
          </w:p>
        </w:tc>
        <w:tc>
          <w:tcPr>
            <w:tcW w:w="224" w:type="pct"/>
            <w:tcBorders>
              <w:left w:val="single" w:sz="4" w:space="0" w:color="auto"/>
            </w:tcBorders>
            <w:vAlign w:val="center"/>
          </w:tcPr>
          <w:p>
            <w:pPr>
              <w:tabs>
                <w:tab w:val="center" w:pos="4153"/>
                <w:tab w:val="right" w:pos="8306"/>
              </w:tabs>
              <w:snapToGrid w:val="0"/>
              <w:jc w:val="center"/>
              <w:rPr>
                <w:rFonts w:ascii="Times New Roman" w:eastAsia="宋体" w:cs="Times New Roman" w:hAnsi="Times New Roman" w:hint="eastAsia"/>
                <w:b w:val="0"/>
                <w:bCs w:val="0"/>
                <w:color w:val="auto"/>
                <w:sz w:val="21"/>
                <w:szCs w:val="21"/>
                <w:lang w:val="en-US" w:eastAsia="zh-CN"/>
                <w:highlight w:val="none"/>
              </w:rPr>
            </w:pPr>
            <w:r>
              <w:rPr>
                <w:rFonts w:cs="Times New Roman" w:hint="eastAsia"/>
                <w:b w:val="0"/>
                <w:bCs w:val="0"/>
                <w:color w:val="auto"/>
                <w:sz w:val="21"/>
                <w:szCs w:val="21"/>
                <w:lang w:val="en-US" w:eastAsia="zh-CN"/>
                <w:highlight w:val="none"/>
              </w:rPr>
              <w:t>0</w:t>
            </w:r>
          </w:p>
        </w:tc>
      </w:tr>
      <w:tr>
        <w:trPr>
          <w:trHeight w:val="397"/>
        </w:trPr>
        <w:tc>
          <w:tcPr>
            <w:tcW w:w="366" w:type="pct"/>
            <w:vMerge/>
            <w:vAlign w:val="center"/>
          </w:tcPr>
          <w:p/>
        </w:tc>
        <w:tc>
          <w:tcPr>
            <w:tcW w:w="1663" w:type="pct"/>
            <w:tcBorders>
              <w:left w:val="single" w:sz="4" w:space="0" w:color="auto"/>
            </w:tcBorders>
            <w:shd w:val="clear" w:color="auto" w:fill="auto"/>
            <w:vAlign w:val="center"/>
          </w:tcPr>
          <w:p>
            <w:pPr>
              <w:tabs>
                <w:tab w:val="center" w:pos="4153"/>
                <w:tab w:val="right" w:pos="8306"/>
              </w:tabs>
              <w:snapToGrid w:val="0"/>
              <w:jc w:val="center"/>
              <w:rPr>
                <w:rFonts w:ascii="Times New Roman" w:eastAsia="Segoe UI" w:cs="Times New Roman" w:hAnsi="Times New Roman" w:hint="eastAsia"/>
                <w:b w:val="0"/>
                <w:bCs w:val="0"/>
                <w:i w:val="0"/>
                <w:iCs w:val="0"/>
                <w:caps w:val="0"/>
                <w:smallCaps w:val="0"/>
                <w:color w:val="auto"/>
                <w:spacing w:val="0"/>
                <w:kern w:val="0"/>
                <w:sz w:val="21"/>
                <w:szCs w:val="21"/>
                <w:shd w:val="clear" w:color="auto" w:fill="FFFFFF"/>
                <w:lang w:val="en-US" w:eastAsia="zh-CN" w:bidi="ar-SA"/>
                <w:highlight w:val="none"/>
              </w:rPr>
            </w:pPr>
            <w:r>
              <w:rPr>
                <w:rFonts w:ascii="Times New Roman" w:eastAsia="宋体" w:cs="Times New Roman" w:hAnsi="Times New Roman"/>
                <w:color w:val="auto"/>
                <w:sz w:val="21"/>
                <w:szCs w:val="21"/>
                <w:lang w:val="en-US" w:eastAsia="zh-CN"/>
                <w:highlight w:val="none"/>
              </w:rPr>
              <w:t>氨氮</w:t>
            </w:r>
          </w:p>
        </w:tc>
        <w:tc>
          <w:tcPr>
            <w:tcW w:w="762" w:type="pct"/>
            <w:tcBorders>
              <w:left w:val="single" w:sz="4" w:space="0" w:color="auto"/>
            </w:tcBorders>
            <w:vAlign w:val="center"/>
          </w:tcPr>
          <w:p>
            <w:pPr>
              <w:keepNext w:val="0"/>
              <w:keepLines w:val="0"/>
              <w:pageBreakBefore w:val="0"/>
              <w:widowControl/>
              <w:kinsoku/>
              <w:wordWrap/>
              <w:overflowPunct/>
              <w:topLinePunct w:val="0"/>
              <w:bidi w:val="0"/>
              <w:adjustRightInd w:val="0"/>
              <w:snapToGrid w:val="0"/>
              <w:ind w:firstLine="0"/>
              <w:jc w:val="center"/>
              <w:rPr>
                <w:rFonts w:hint="eastAsia"/>
                <w:snapToGrid w:val="0"/>
                <w:color w:val="auto"/>
                <w:kern w:val="21"/>
                <w:szCs w:val="21"/>
                <w:highlight w:val="none"/>
              </w:rPr>
            </w:pPr>
            <w:r>
              <w:rPr>
                <w:rFonts w:hint="eastAsia"/>
                <w:snapToGrid w:val="0"/>
                <w:color w:val="auto"/>
                <w:kern w:val="21"/>
                <w:szCs w:val="21"/>
                <w:highlight w:val="none"/>
              </w:rPr>
              <w:t>/</w:t>
            </w:r>
          </w:p>
        </w:tc>
        <w:tc>
          <w:tcPr>
            <w:tcW w:w="392" w:type="pct"/>
            <w:tcBorders>
              <w:left w:val="single" w:sz="4" w:space="0" w:color="auto"/>
            </w:tcBorders>
            <w:vAlign w:val="center"/>
          </w:tcPr>
          <w:p>
            <w:pPr>
              <w:keepNext w:val="0"/>
              <w:keepLines w:val="0"/>
              <w:pageBreakBefore w:val="0"/>
              <w:widowControl/>
              <w:kinsoku/>
              <w:wordWrap/>
              <w:overflowPunct/>
              <w:topLinePunct w:val="0"/>
              <w:bidi w:val="0"/>
              <w:adjustRightInd w:val="0"/>
              <w:snapToGrid w:val="0"/>
              <w:ind w:firstLine="0"/>
              <w:jc w:val="center"/>
              <w:rPr>
                <w:rFonts w:hint="eastAsia"/>
                <w:snapToGrid w:val="0"/>
                <w:color w:val="auto"/>
                <w:kern w:val="21"/>
                <w:szCs w:val="21"/>
                <w:highlight w:val="none"/>
              </w:rPr>
            </w:pPr>
            <w:r>
              <w:rPr>
                <w:rFonts w:hint="eastAsia"/>
                <w:snapToGrid w:val="0"/>
                <w:color w:val="auto"/>
                <w:kern w:val="21"/>
                <w:szCs w:val="21"/>
                <w:highlight w:val="none"/>
              </w:rPr>
              <w:t>/</w:t>
            </w:r>
          </w:p>
        </w:tc>
        <w:tc>
          <w:tcPr>
            <w:tcW w:w="577" w:type="pct"/>
            <w:tcBorders>
              <w:left w:val="single" w:sz="4" w:space="0" w:color="auto"/>
            </w:tcBorders>
            <w:vAlign w:val="center"/>
          </w:tcPr>
          <w:p>
            <w:pPr>
              <w:keepNext w:val="0"/>
              <w:keepLines w:val="0"/>
              <w:pageBreakBefore w:val="0"/>
              <w:kinsoku/>
              <w:wordWrap/>
              <w:overflowPunct/>
              <w:topLinePunct w:val="0"/>
              <w:bidi w:val="0"/>
              <w:ind w:firstLine="0"/>
              <w:jc w:val="center"/>
              <w:rPr>
                <w:rFonts w:hint="eastAsia"/>
                <w:snapToGrid w:val="0"/>
                <w:color w:val="auto"/>
                <w:kern w:val="21"/>
                <w:szCs w:val="21"/>
                <w:highlight w:val="none"/>
              </w:rPr>
            </w:pPr>
            <w:r>
              <w:rPr>
                <w:rFonts w:hint="eastAsia"/>
                <w:snapToGrid w:val="0"/>
                <w:color w:val="auto"/>
                <w:kern w:val="21"/>
                <w:szCs w:val="21"/>
                <w:highlight w:val="none"/>
              </w:rPr>
              <w:t>/</w:t>
            </w:r>
          </w:p>
        </w:tc>
        <w:tc>
          <w:tcPr>
            <w:tcW w:w="724" w:type="pct"/>
            <w:tcBorders>
              <w:left w:val="single" w:sz="4" w:space="0" w:color="auto"/>
            </w:tcBorders>
            <w:vAlign w:val="center"/>
          </w:tcPr>
          <w:p>
            <w:pPr>
              <w:tabs>
                <w:tab w:val="center" w:pos="4153"/>
                <w:tab w:val="right" w:pos="8306"/>
              </w:tabs>
              <w:snapToGrid w:val="0"/>
              <w:jc w:val="center"/>
              <w:rPr>
                <w:rFonts w:ascii="Times New Roman" w:eastAsia="宋体" w:cs="Times New Roman" w:hAnsi="Times New Roman"/>
                <w:b w:val="0"/>
                <w:bCs w:val="0"/>
                <w:color w:val="auto"/>
                <w:sz w:val="21"/>
                <w:szCs w:val="21"/>
                <w:lang w:val="en-US" w:eastAsia="zh-CN"/>
                <w:highlight w:val="none"/>
              </w:rPr>
            </w:pPr>
            <w:r>
              <w:rPr>
                <w:rFonts w:cs="Times New Roman" w:hint="eastAsia"/>
                <w:b w:val="0"/>
                <w:bCs w:val="0"/>
                <w:color w:val="auto"/>
                <w:sz w:val="21"/>
                <w:szCs w:val="21"/>
                <w:lang w:val="en-US" w:eastAsia="zh-CN"/>
                <w:highlight w:val="none"/>
              </w:rPr>
              <w:t>0</w:t>
            </w:r>
          </w:p>
        </w:tc>
        <w:tc>
          <w:tcPr>
            <w:tcW w:w="155" w:type="pct"/>
            <w:tcBorders>
              <w:left w:val="single" w:sz="4" w:space="0" w:color="auto"/>
            </w:tcBorders>
            <w:vAlign w:val="center"/>
          </w:tcPr>
          <w:p>
            <w:pPr>
              <w:autoSpaceDE/>
              <w:autoSpaceDN/>
              <w:adjustRightInd w:val="0"/>
              <w:snapToGrid w:val="0"/>
              <w:spacing w:line="240" w:lineRule="auto"/>
              <w:ind w:firstLine="0"/>
              <w:jc w:val="center"/>
              <w:rPr>
                <w:rFonts w:hint="eastAsia"/>
                <w:snapToGrid w:val="0"/>
                <w:color w:val="auto"/>
                <w:kern w:val="21"/>
                <w:szCs w:val="21"/>
                <w:highlight w:val="none"/>
              </w:rPr>
            </w:pPr>
            <w:r>
              <w:rPr>
                <w:rFonts w:hint="eastAsia"/>
                <w:snapToGrid w:val="0"/>
                <w:color w:val="auto"/>
                <w:kern w:val="21"/>
                <w:szCs w:val="21"/>
                <w:highlight w:val="none"/>
              </w:rPr>
              <w:t>/</w:t>
            </w:r>
          </w:p>
        </w:tc>
        <w:tc>
          <w:tcPr>
            <w:tcW w:w="224" w:type="pct"/>
            <w:tcBorders>
              <w:left w:val="single" w:sz="4" w:space="0" w:color="auto"/>
            </w:tcBorders>
            <w:vAlign w:val="center"/>
          </w:tcPr>
          <w:p>
            <w:pPr>
              <w:tabs>
                <w:tab w:val="center" w:pos="4153"/>
                <w:tab w:val="right" w:pos="8306"/>
              </w:tabs>
              <w:snapToGrid w:val="0"/>
              <w:jc w:val="center"/>
              <w:rPr>
                <w:rFonts w:ascii="Times New Roman" w:eastAsia="宋体" w:cs="Times New Roman" w:hAnsi="Times New Roman" w:hint="eastAsia"/>
                <w:b w:val="0"/>
                <w:bCs w:val="0"/>
                <w:color w:val="auto"/>
                <w:sz w:val="21"/>
                <w:szCs w:val="21"/>
                <w:lang w:val="en-US" w:eastAsia="zh-CN"/>
                <w:highlight w:val="none"/>
              </w:rPr>
            </w:pPr>
            <w:r>
              <w:rPr>
                <w:rFonts w:cs="Times New Roman" w:hint="eastAsia"/>
                <w:b w:val="0"/>
                <w:bCs w:val="0"/>
                <w:color w:val="auto"/>
                <w:sz w:val="21"/>
                <w:szCs w:val="21"/>
                <w:lang w:val="en-US" w:eastAsia="zh-CN"/>
                <w:highlight w:val="none"/>
              </w:rPr>
              <w:t>0</w:t>
            </w:r>
          </w:p>
        </w:tc>
        <w:tc>
          <w:tcPr>
            <w:tcW w:w="224" w:type="pct"/>
            <w:tcBorders>
              <w:left w:val="single" w:sz="4" w:space="0" w:color="auto"/>
            </w:tcBorders>
            <w:vAlign w:val="center"/>
          </w:tcPr>
          <w:p>
            <w:pPr>
              <w:tabs>
                <w:tab w:val="center" w:pos="4153"/>
                <w:tab w:val="right" w:pos="8306"/>
              </w:tabs>
              <w:snapToGrid w:val="0"/>
              <w:jc w:val="center"/>
              <w:rPr>
                <w:rFonts w:ascii="Times New Roman" w:eastAsia="宋体" w:cs="Times New Roman" w:hAnsi="Times New Roman" w:hint="eastAsia"/>
                <w:b w:val="0"/>
                <w:bCs w:val="0"/>
                <w:color w:val="auto"/>
                <w:sz w:val="21"/>
                <w:szCs w:val="21"/>
                <w:lang w:val="en-US" w:eastAsia="zh-CN"/>
                <w:highlight w:val="none"/>
              </w:rPr>
            </w:pPr>
            <w:r>
              <w:rPr>
                <w:rFonts w:cs="Times New Roman" w:hint="eastAsia"/>
                <w:b w:val="0"/>
                <w:bCs w:val="0"/>
                <w:color w:val="auto"/>
                <w:sz w:val="21"/>
                <w:szCs w:val="21"/>
                <w:lang w:val="en-US" w:eastAsia="zh-CN"/>
                <w:highlight w:val="none"/>
              </w:rPr>
              <w:t>0</w:t>
            </w:r>
          </w:p>
        </w:tc>
      </w:tr>
      <w:tr>
        <w:trPr>
          <w:trHeight w:val="397"/>
        </w:trPr>
        <w:tc>
          <w:tcPr>
            <w:tcW w:w="276" w:type="pct"/>
            <w:vMerge w:val="restart"/>
            <w:vAlign w:val="center"/>
          </w:tcPr>
          <w:p>
            <w:pPr>
              <w:pStyle w:val="55"/>
              <w:keepNext w:val="0"/>
              <w:keepLines w:val="0"/>
              <w:pageBreakBefore w:val="0"/>
              <w:kinsoku/>
              <w:wordWrap/>
              <w:overflowPunct/>
              <w:topLinePunct w:val="0"/>
              <w:bidi w:val="0"/>
              <w:spacing w:beforeLines="0" w:before="10" w:afterLines="0" w:after="0" w:line="240" w:lineRule="auto"/>
              <w:ind w:firstLineChars="0" w:firstLine="0"/>
              <w:jc w:val="center"/>
              <w:rPr>
                <w:rFonts w:ascii="Times New Roman" w:eastAsia="宋体" w:hAnsi="Times New Roman" w:hint="eastAsia"/>
                <w:snapToGrid w:val="0"/>
                <w:color w:val="auto"/>
                <w:kern w:val="21"/>
                <w:szCs w:val="21"/>
                <w:lang w:val="en-US" w:eastAsia="zh-CN"/>
                <w:highlight w:val="none"/>
              </w:rPr>
            </w:pPr>
            <w:r>
              <w:rPr>
                <w:rFonts w:ascii="Times New Roman" w:hAnsi="Times New Roman" w:hint="eastAsia"/>
                <w:snapToGrid w:val="0"/>
                <w:color w:val="auto"/>
                <w:kern w:val="21"/>
                <w:szCs w:val="21"/>
                <w:lang w:val="en-US" w:eastAsia="zh-CN"/>
                <w:highlight w:val="none"/>
              </w:rPr>
              <w:t>危险废物</w:t>
            </w:r>
          </w:p>
        </w:tc>
        <w:tc>
          <w:tcPr>
            <w:tcW w:w="1663" w:type="pct"/>
            <w:tcBorders>
              <w:left w:val="single" w:sz="4" w:space="0" w:color="auto"/>
            </w:tcBorders>
            <w:shd w:val="clear" w:color="auto" w:fill="auto"/>
            <w:vAlign w:val="center"/>
          </w:tcPr>
          <w:p>
            <w:pPr>
              <w:pStyle w:val="16"/>
              <w:spacing w:line="240" w:lineRule="auto"/>
              <w:ind w:firstLineChars="0" w:firstLine="0"/>
              <w:jc w:val="center"/>
              <w:rPr>
                <w:rFonts w:ascii="Times New Roman" w:eastAsia="宋体" w:cs="Times New Roman" w:hAnsi="Times New Roman" w:hint="eastAsia"/>
                <w:color w:val="auto"/>
                <w:sz w:val="21"/>
                <w:szCs w:val="21"/>
                <w:lang w:val="en-US" w:eastAsia="zh-CN"/>
                <w:highlight w:val="none"/>
              </w:rPr>
            </w:pPr>
            <w:r>
              <w:rPr>
                <w:rFonts w:ascii="Times New Roman" w:eastAsia="宋体" w:cs="Times New Roman" w:hAnsi="Times New Roman"/>
                <w:color w:val="auto"/>
                <w:sz w:val="21"/>
                <w:szCs w:val="21"/>
                <w:lang w:val="en-US" w:eastAsia="zh-CN"/>
                <w:highlight w:val="none"/>
              </w:rPr>
              <w:t>废电解液</w:t>
            </w:r>
          </w:p>
        </w:tc>
        <w:tc>
          <w:tcPr>
            <w:tcW w:w="762" w:type="pct"/>
            <w:tcBorders>
              <w:left w:val="single" w:sz="4" w:space="0" w:color="auto"/>
            </w:tcBorders>
            <w:vAlign w:val="center"/>
          </w:tcPr>
          <w:p>
            <w:pPr>
              <w:keepNext w:val="0"/>
              <w:keepLines w:val="0"/>
              <w:pageBreakBefore w:val="0"/>
              <w:widowControl/>
              <w:kinsoku/>
              <w:wordWrap/>
              <w:overflowPunct/>
              <w:topLinePunct w:val="0"/>
              <w:bidi w:val="0"/>
              <w:adjustRightInd w:val="0"/>
              <w:snapToGrid w:val="0"/>
              <w:ind w:firstLine="0"/>
              <w:jc w:val="center"/>
              <w:rPr>
                <w:rFonts w:hint="eastAsia"/>
                <w:snapToGrid w:val="0"/>
                <w:color w:val="auto"/>
                <w:kern w:val="21"/>
                <w:szCs w:val="21"/>
                <w:highlight w:val="none"/>
              </w:rPr>
            </w:pPr>
            <w:r>
              <w:rPr>
                <w:rFonts w:hint="eastAsia"/>
                <w:snapToGrid w:val="0"/>
                <w:color w:val="auto"/>
                <w:kern w:val="21"/>
                <w:szCs w:val="21"/>
                <w:highlight w:val="none"/>
              </w:rPr>
              <w:t>/</w:t>
            </w:r>
          </w:p>
        </w:tc>
        <w:tc>
          <w:tcPr>
            <w:tcW w:w="392" w:type="pct"/>
            <w:tcBorders>
              <w:left w:val="single" w:sz="4" w:space="0" w:color="auto"/>
            </w:tcBorders>
            <w:vAlign w:val="center"/>
          </w:tcPr>
          <w:p>
            <w:pPr>
              <w:keepNext w:val="0"/>
              <w:keepLines w:val="0"/>
              <w:pageBreakBefore w:val="0"/>
              <w:widowControl/>
              <w:kinsoku/>
              <w:wordWrap/>
              <w:overflowPunct/>
              <w:topLinePunct w:val="0"/>
              <w:bidi w:val="0"/>
              <w:adjustRightInd w:val="0"/>
              <w:snapToGrid w:val="0"/>
              <w:ind w:firstLine="0"/>
              <w:jc w:val="center"/>
              <w:rPr>
                <w:rFonts w:hint="eastAsia"/>
                <w:snapToGrid w:val="0"/>
                <w:color w:val="auto"/>
                <w:kern w:val="21"/>
                <w:szCs w:val="21"/>
                <w:highlight w:val="none"/>
              </w:rPr>
            </w:pPr>
            <w:r>
              <w:rPr>
                <w:rFonts w:hint="eastAsia"/>
                <w:snapToGrid w:val="0"/>
                <w:color w:val="auto"/>
                <w:kern w:val="21"/>
                <w:szCs w:val="21"/>
                <w:highlight w:val="none"/>
              </w:rPr>
              <w:t>/</w:t>
            </w:r>
          </w:p>
        </w:tc>
        <w:tc>
          <w:tcPr>
            <w:tcW w:w="577" w:type="pct"/>
            <w:tcBorders>
              <w:left w:val="single" w:sz="4" w:space="0" w:color="auto"/>
            </w:tcBorders>
            <w:vAlign w:val="center"/>
          </w:tcPr>
          <w:p>
            <w:pPr>
              <w:keepNext w:val="0"/>
              <w:keepLines w:val="0"/>
              <w:pageBreakBefore w:val="0"/>
              <w:kinsoku/>
              <w:wordWrap/>
              <w:overflowPunct/>
              <w:topLinePunct w:val="0"/>
              <w:bidi w:val="0"/>
              <w:ind w:firstLine="0"/>
              <w:jc w:val="center"/>
              <w:rPr>
                <w:rFonts w:hint="eastAsia"/>
                <w:snapToGrid w:val="0"/>
                <w:color w:val="auto"/>
                <w:kern w:val="21"/>
                <w:szCs w:val="21"/>
                <w:highlight w:val="none"/>
              </w:rPr>
            </w:pPr>
            <w:r>
              <w:rPr>
                <w:rFonts w:hint="eastAsia"/>
                <w:snapToGrid w:val="0"/>
                <w:color w:val="auto"/>
                <w:kern w:val="21"/>
                <w:szCs w:val="21"/>
                <w:highlight w:val="none"/>
              </w:rPr>
              <w:t>/</w:t>
            </w:r>
          </w:p>
        </w:tc>
        <w:tc>
          <w:tcPr>
            <w:tcW w:w="724" w:type="pct"/>
            <w:tcBorders>
              <w:left w:val="single" w:sz="4" w:space="0" w:color="auto"/>
            </w:tcBorders>
            <w:shd w:val="clear" w:color="auto" w:fill="auto"/>
            <w:vAlign w:val="center"/>
          </w:tcPr>
          <w:p>
            <w:pPr>
              <w:autoSpaceDE w:val="0"/>
              <w:autoSpaceDN w:val="0"/>
              <w:adjustRightInd w:val="0"/>
              <w:jc w:val="center"/>
              <w:rPr>
                <w:rFonts w:ascii="Times New Roman" w:eastAsia="宋体" w:cs="Times New Roman" w:hAnsi="Times New Roman"/>
                <w:color w:val="auto"/>
                <w:kern w:val="2"/>
                <w:sz w:val="21"/>
                <w:szCs w:val="21"/>
                <w:lang w:val="en-US" w:eastAsia="zh-CN" w:bidi="ar-SA"/>
                <w:highlight w:val="none"/>
              </w:rPr>
            </w:pPr>
            <w:r>
              <w:rPr>
                <w:rFonts w:hint="eastAsia"/>
                <w:color w:val="auto"/>
                <w:sz w:val="21"/>
                <w:szCs w:val="21"/>
                <w:lang w:val="en-US" w:eastAsia="zh-CN"/>
                <w:highlight w:val="none"/>
              </w:rPr>
              <w:t>4.5</w:t>
            </w:r>
          </w:p>
        </w:tc>
        <w:tc>
          <w:tcPr>
            <w:tcW w:w="155" w:type="pct"/>
            <w:tcBorders>
              <w:left w:val="single" w:sz="4" w:space="0" w:color="auto"/>
            </w:tcBorders>
            <w:vAlign w:val="center"/>
          </w:tcPr>
          <w:p>
            <w:pPr>
              <w:autoSpaceDE/>
              <w:autoSpaceDN/>
              <w:adjustRightInd w:val="0"/>
              <w:snapToGrid w:val="0"/>
              <w:spacing w:line="240" w:lineRule="auto"/>
              <w:ind w:firstLine="0"/>
              <w:jc w:val="center"/>
              <w:rPr>
                <w:rFonts w:hint="eastAsia"/>
                <w:snapToGrid w:val="0"/>
                <w:color w:val="auto"/>
                <w:kern w:val="21"/>
                <w:szCs w:val="21"/>
                <w:highlight w:val="none"/>
              </w:rPr>
            </w:pPr>
            <w:r>
              <w:rPr>
                <w:rFonts w:hint="eastAsia"/>
                <w:snapToGrid w:val="0"/>
                <w:color w:val="auto"/>
                <w:kern w:val="21"/>
                <w:szCs w:val="21"/>
                <w:lang w:val="en-US" w:eastAsia="zh-CN"/>
                <w:highlight w:val="none"/>
              </w:rPr>
              <w:t>/</w:t>
            </w:r>
          </w:p>
        </w:tc>
        <w:tc>
          <w:tcPr>
            <w:tcW w:w="224" w:type="pct"/>
            <w:tcBorders>
              <w:left w:val="single" w:sz="4" w:space="0" w:color="auto"/>
            </w:tcBorders>
            <w:vAlign w:val="center"/>
          </w:tcPr>
          <w:p>
            <w:pPr>
              <w:autoSpaceDE w:val="0"/>
              <w:autoSpaceDN w:val="0"/>
              <w:adjustRightInd w:val="0"/>
              <w:jc w:val="center"/>
              <w:rPr>
                <w:rFonts w:ascii="Times New Roman" w:eastAsia="宋体" w:cs="Times New Roman" w:hAnsi="Times New Roman" w:hint="eastAsia"/>
                <w:b w:val="0"/>
                <w:bCs w:val="0"/>
                <w:color w:val="auto"/>
                <w:sz w:val="21"/>
                <w:szCs w:val="21"/>
                <w:lang w:val="en-US" w:eastAsia="zh-CN"/>
                <w:highlight w:val="none"/>
              </w:rPr>
            </w:pPr>
            <w:r>
              <w:rPr>
                <w:rFonts w:hint="eastAsia"/>
                <w:color w:val="auto"/>
                <w:sz w:val="21"/>
                <w:szCs w:val="21"/>
                <w:lang w:val="en-US" w:eastAsia="zh-CN"/>
                <w:highlight w:val="none"/>
              </w:rPr>
              <w:t>4.5</w:t>
            </w:r>
          </w:p>
        </w:tc>
        <w:tc>
          <w:tcPr>
            <w:tcW w:w="224" w:type="pct"/>
            <w:tcBorders>
              <w:left w:val="single" w:sz="4" w:space="0" w:color="auto"/>
            </w:tcBorders>
            <w:vAlign w:val="center"/>
          </w:tcPr>
          <w:p>
            <w:pPr>
              <w:autoSpaceDE w:val="0"/>
              <w:autoSpaceDN w:val="0"/>
              <w:adjustRightInd w:val="0"/>
              <w:jc w:val="center"/>
              <w:rPr>
                <w:rFonts w:ascii="Times New Roman" w:eastAsia="宋体" w:cs="Times New Roman" w:hAnsi="Times New Roman" w:hint="eastAsia"/>
                <w:b w:val="0"/>
                <w:bCs w:val="0"/>
                <w:color w:val="auto"/>
                <w:sz w:val="21"/>
                <w:szCs w:val="21"/>
                <w:lang w:val="en-US" w:eastAsia="zh-CN"/>
                <w:highlight w:val="none"/>
              </w:rPr>
            </w:pPr>
            <w:r>
              <w:rPr>
                <w:rFonts w:hint="eastAsia"/>
                <w:color w:val="auto"/>
                <w:sz w:val="21"/>
                <w:szCs w:val="21"/>
                <w:lang w:val="en-US" w:eastAsia="zh-CN"/>
                <w:highlight w:val="none"/>
              </w:rPr>
              <w:t>+4.5</w:t>
            </w:r>
          </w:p>
        </w:tc>
      </w:tr>
      <w:tr>
        <w:trPr>
          <w:trHeight w:val="397"/>
        </w:trPr>
        <w:tc>
          <w:tcPr>
            <w:tcW w:w="366" w:type="pct"/>
            <w:vMerge/>
            <w:vAlign w:val="center"/>
          </w:tcPr>
          <w:p/>
        </w:tc>
        <w:tc>
          <w:tcPr>
            <w:tcW w:w="1663" w:type="pct"/>
            <w:tcBorders>
              <w:left w:val="single" w:sz="4" w:space="0" w:color="auto"/>
            </w:tcBorders>
            <w:shd w:val="clear" w:color="auto" w:fill="auto"/>
            <w:vAlign w:val="center"/>
          </w:tcPr>
          <w:p>
            <w:pPr>
              <w:pStyle w:val="16"/>
              <w:spacing w:line="240" w:lineRule="auto"/>
              <w:ind w:firstLineChars="0" w:firstLine="0"/>
              <w:jc w:val="center"/>
              <w:rPr>
                <w:rFonts w:ascii="Times New Roman" w:eastAsia="宋体" w:cs="Times New Roman" w:hAnsi="Times New Roman" w:hint="eastAsia"/>
                <w:color w:val="auto"/>
                <w:sz w:val="21"/>
                <w:szCs w:val="21"/>
                <w:lang w:val="en-US" w:eastAsia="zh-CN"/>
                <w:highlight w:val="none"/>
              </w:rPr>
            </w:pPr>
            <w:r>
              <w:rPr>
                <w:rFonts w:ascii="Times New Roman" w:eastAsia="宋体" w:cs="Times New Roman" w:hAnsi="Times New Roman"/>
                <w:color w:val="auto"/>
                <w:sz w:val="21"/>
                <w:szCs w:val="21"/>
                <w:lang w:val="en-US" w:eastAsia="zh-CN"/>
                <w:highlight w:val="none"/>
              </w:rPr>
              <w:t>废碱液</w:t>
            </w:r>
          </w:p>
        </w:tc>
        <w:tc>
          <w:tcPr>
            <w:tcW w:w="762" w:type="pct"/>
            <w:tcBorders>
              <w:left w:val="single" w:sz="4" w:space="0" w:color="auto"/>
            </w:tcBorders>
            <w:vAlign w:val="center"/>
          </w:tcPr>
          <w:p>
            <w:pPr>
              <w:keepNext w:val="0"/>
              <w:keepLines w:val="0"/>
              <w:pageBreakBefore w:val="0"/>
              <w:widowControl/>
              <w:kinsoku/>
              <w:wordWrap/>
              <w:overflowPunct/>
              <w:topLinePunct w:val="0"/>
              <w:bidi w:val="0"/>
              <w:adjustRightInd w:val="0"/>
              <w:snapToGrid w:val="0"/>
              <w:ind w:firstLine="0"/>
              <w:jc w:val="center"/>
              <w:rPr>
                <w:rFonts w:hint="eastAsia"/>
                <w:snapToGrid w:val="0"/>
                <w:color w:val="auto"/>
                <w:kern w:val="21"/>
                <w:szCs w:val="21"/>
                <w:highlight w:val="none"/>
              </w:rPr>
            </w:pPr>
            <w:r>
              <w:rPr>
                <w:rFonts w:hint="eastAsia"/>
                <w:snapToGrid w:val="0"/>
                <w:color w:val="auto"/>
                <w:kern w:val="21"/>
                <w:szCs w:val="21"/>
                <w:highlight w:val="none"/>
              </w:rPr>
              <w:t>/</w:t>
            </w:r>
          </w:p>
        </w:tc>
        <w:tc>
          <w:tcPr>
            <w:tcW w:w="392" w:type="pct"/>
            <w:tcBorders>
              <w:left w:val="single" w:sz="4" w:space="0" w:color="auto"/>
            </w:tcBorders>
            <w:vAlign w:val="center"/>
          </w:tcPr>
          <w:p>
            <w:pPr>
              <w:keepNext w:val="0"/>
              <w:keepLines w:val="0"/>
              <w:pageBreakBefore w:val="0"/>
              <w:widowControl/>
              <w:kinsoku/>
              <w:wordWrap/>
              <w:overflowPunct/>
              <w:topLinePunct w:val="0"/>
              <w:bidi w:val="0"/>
              <w:adjustRightInd w:val="0"/>
              <w:snapToGrid w:val="0"/>
              <w:ind w:firstLine="0"/>
              <w:jc w:val="center"/>
              <w:rPr>
                <w:rFonts w:hint="eastAsia"/>
                <w:snapToGrid w:val="0"/>
                <w:color w:val="auto"/>
                <w:kern w:val="21"/>
                <w:szCs w:val="21"/>
                <w:highlight w:val="none"/>
              </w:rPr>
            </w:pPr>
            <w:r>
              <w:rPr>
                <w:rFonts w:hint="eastAsia"/>
                <w:snapToGrid w:val="0"/>
                <w:color w:val="auto"/>
                <w:kern w:val="21"/>
                <w:szCs w:val="21"/>
                <w:highlight w:val="none"/>
              </w:rPr>
              <w:t>/</w:t>
            </w:r>
          </w:p>
        </w:tc>
        <w:tc>
          <w:tcPr>
            <w:tcW w:w="577" w:type="pct"/>
            <w:tcBorders>
              <w:left w:val="single" w:sz="4" w:space="0" w:color="auto"/>
            </w:tcBorders>
            <w:vAlign w:val="center"/>
          </w:tcPr>
          <w:p>
            <w:pPr>
              <w:keepNext w:val="0"/>
              <w:keepLines w:val="0"/>
              <w:pageBreakBefore w:val="0"/>
              <w:kinsoku/>
              <w:wordWrap/>
              <w:overflowPunct/>
              <w:topLinePunct w:val="0"/>
              <w:bidi w:val="0"/>
              <w:ind w:firstLine="0"/>
              <w:jc w:val="center"/>
              <w:rPr>
                <w:rFonts w:hint="eastAsia"/>
                <w:snapToGrid w:val="0"/>
                <w:color w:val="auto"/>
                <w:kern w:val="21"/>
                <w:szCs w:val="21"/>
                <w:highlight w:val="none"/>
              </w:rPr>
            </w:pPr>
            <w:r>
              <w:rPr>
                <w:rFonts w:hint="eastAsia"/>
                <w:snapToGrid w:val="0"/>
                <w:color w:val="auto"/>
                <w:kern w:val="21"/>
                <w:szCs w:val="21"/>
                <w:highlight w:val="none"/>
              </w:rPr>
              <w:t>/</w:t>
            </w:r>
          </w:p>
        </w:tc>
        <w:tc>
          <w:tcPr>
            <w:tcW w:w="724" w:type="pct"/>
            <w:tcBorders>
              <w:left w:val="single" w:sz="4" w:space="0" w:color="auto"/>
            </w:tcBorders>
            <w:shd w:val="clear" w:color="auto" w:fill="auto"/>
            <w:vAlign w:val="center"/>
          </w:tcPr>
          <w:p>
            <w:pPr>
              <w:autoSpaceDE w:val="0"/>
              <w:autoSpaceDN w:val="0"/>
              <w:adjustRightInd w:val="0"/>
              <w:jc w:val="center"/>
              <w:rPr>
                <w:rFonts w:ascii="Times New Roman" w:eastAsia="宋体" w:cs="Times New Roman" w:hAnsi="Times New Roman" w:hint="eastAsia"/>
                <w:color w:val="auto"/>
                <w:kern w:val="2"/>
                <w:sz w:val="21"/>
                <w:szCs w:val="21"/>
                <w:lang w:val="en-US" w:eastAsia="zh-CN" w:bidi="ar-SA"/>
                <w:highlight w:val="none"/>
              </w:rPr>
            </w:pPr>
            <w:r>
              <w:rPr>
                <w:rFonts w:hint="eastAsia"/>
                <w:color w:val="auto"/>
                <w:sz w:val="21"/>
                <w:szCs w:val="21"/>
                <w:lang w:val="en-US" w:eastAsia="zh-CN"/>
                <w:highlight w:val="none"/>
              </w:rPr>
              <w:t>0.7</w:t>
            </w:r>
          </w:p>
        </w:tc>
        <w:tc>
          <w:tcPr>
            <w:tcW w:w="155" w:type="pct"/>
            <w:tcBorders>
              <w:left w:val="single" w:sz="4" w:space="0" w:color="auto"/>
            </w:tcBorders>
            <w:vAlign w:val="center"/>
          </w:tcPr>
          <w:p>
            <w:pPr>
              <w:autoSpaceDE/>
              <w:autoSpaceDN/>
              <w:adjustRightInd w:val="0"/>
              <w:snapToGrid w:val="0"/>
              <w:spacing w:line="240" w:lineRule="auto"/>
              <w:ind w:firstLine="0"/>
              <w:jc w:val="center"/>
              <w:rPr>
                <w:rFonts w:hint="eastAsia"/>
                <w:snapToGrid w:val="0"/>
                <w:color w:val="auto"/>
                <w:kern w:val="21"/>
                <w:szCs w:val="21"/>
                <w:highlight w:val="none"/>
              </w:rPr>
            </w:pPr>
            <w:r>
              <w:rPr>
                <w:rFonts w:hint="eastAsia"/>
                <w:snapToGrid w:val="0"/>
                <w:color w:val="auto"/>
                <w:kern w:val="21"/>
                <w:szCs w:val="21"/>
                <w:lang w:val="en-US" w:eastAsia="zh-CN"/>
                <w:highlight w:val="none"/>
              </w:rPr>
              <w:t>/</w:t>
            </w:r>
          </w:p>
        </w:tc>
        <w:tc>
          <w:tcPr>
            <w:tcW w:w="224" w:type="pct"/>
            <w:tcBorders>
              <w:left w:val="single" w:sz="4" w:space="0" w:color="auto"/>
            </w:tcBorders>
            <w:vAlign w:val="center"/>
          </w:tcPr>
          <w:p>
            <w:pPr>
              <w:autoSpaceDE w:val="0"/>
              <w:autoSpaceDN w:val="0"/>
              <w:adjustRightInd w:val="0"/>
              <w:jc w:val="center"/>
              <w:rPr>
                <w:rFonts w:ascii="Times New Roman" w:eastAsia="宋体" w:cs="Times New Roman" w:hAnsi="Times New Roman" w:hint="eastAsia"/>
                <w:b w:val="0"/>
                <w:bCs w:val="0"/>
                <w:color w:val="auto"/>
                <w:sz w:val="21"/>
                <w:szCs w:val="21"/>
                <w:lang w:val="en-US" w:eastAsia="zh-CN"/>
                <w:highlight w:val="none"/>
              </w:rPr>
            </w:pPr>
            <w:r>
              <w:rPr>
                <w:rFonts w:hint="eastAsia"/>
                <w:color w:val="auto"/>
                <w:sz w:val="21"/>
                <w:szCs w:val="21"/>
                <w:lang w:val="en-US" w:eastAsia="zh-CN"/>
                <w:highlight w:val="none"/>
              </w:rPr>
              <w:t>0.7</w:t>
            </w:r>
          </w:p>
        </w:tc>
        <w:tc>
          <w:tcPr>
            <w:tcW w:w="224" w:type="pct"/>
            <w:tcBorders>
              <w:left w:val="single" w:sz="4" w:space="0" w:color="auto"/>
            </w:tcBorders>
            <w:vAlign w:val="center"/>
          </w:tcPr>
          <w:p>
            <w:pPr>
              <w:autoSpaceDE w:val="0"/>
              <w:autoSpaceDN w:val="0"/>
              <w:adjustRightInd w:val="0"/>
              <w:jc w:val="center"/>
              <w:rPr>
                <w:rFonts w:ascii="Times New Roman" w:eastAsia="宋体" w:cs="Times New Roman" w:hAnsi="Times New Roman" w:hint="eastAsia"/>
                <w:b w:val="0"/>
                <w:bCs w:val="0"/>
                <w:color w:val="auto"/>
                <w:sz w:val="21"/>
                <w:szCs w:val="21"/>
                <w:lang w:val="en-US" w:eastAsia="zh-CN"/>
                <w:highlight w:val="none"/>
              </w:rPr>
            </w:pPr>
            <w:r>
              <w:rPr>
                <w:rFonts w:hint="eastAsia"/>
                <w:color w:val="auto"/>
                <w:sz w:val="21"/>
                <w:szCs w:val="21"/>
                <w:lang w:val="en-US" w:eastAsia="zh-CN"/>
                <w:highlight w:val="none"/>
              </w:rPr>
              <w:t>+0.7</w:t>
            </w:r>
          </w:p>
        </w:tc>
      </w:tr>
      <w:tr>
        <w:trPr>
          <w:trHeight w:val="397"/>
        </w:trPr>
        <w:tc>
          <w:tcPr>
            <w:tcW w:w="366" w:type="pct"/>
            <w:vMerge/>
            <w:vAlign w:val="center"/>
          </w:tcPr>
          <w:p/>
        </w:tc>
        <w:tc>
          <w:tcPr>
            <w:tcW w:w="1663" w:type="pct"/>
            <w:tcBorders>
              <w:left w:val="single" w:sz="4" w:space="0" w:color="auto"/>
            </w:tcBorders>
            <w:shd w:val="clear" w:color="auto" w:fill="auto"/>
            <w:vAlign w:val="center"/>
          </w:tcPr>
          <w:p>
            <w:pPr>
              <w:pStyle w:val="16"/>
              <w:spacing w:line="240" w:lineRule="auto"/>
              <w:ind w:firstLineChars="0" w:firstLine="0"/>
              <w:jc w:val="center"/>
              <w:rPr>
                <w:rFonts w:ascii="Times New Roman" w:eastAsia="宋体" w:cs="Times New Roman" w:hAnsi="Times New Roman" w:hint="eastAsia"/>
                <w:color w:val="auto"/>
                <w:sz w:val="21"/>
                <w:szCs w:val="21"/>
                <w:lang w:val="en-US" w:eastAsia="zh-CN"/>
                <w:highlight w:val="none"/>
              </w:rPr>
            </w:pPr>
            <w:r>
              <w:rPr>
                <w:rFonts w:ascii="Times New Roman" w:eastAsia="宋体" w:cs="Times New Roman" w:hAnsi="Times New Roman"/>
                <w:color w:val="auto"/>
                <w:sz w:val="21"/>
                <w:szCs w:val="21"/>
                <w:lang w:val="en-US" w:eastAsia="zh-CN"/>
                <w:highlight w:val="none"/>
              </w:rPr>
              <w:t>废防护用具</w:t>
            </w:r>
          </w:p>
        </w:tc>
        <w:tc>
          <w:tcPr>
            <w:tcW w:w="762" w:type="pct"/>
            <w:tcBorders>
              <w:left w:val="single" w:sz="4" w:space="0" w:color="auto"/>
            </w:tcBorders>
            <w:vAlign w:val="center"/>
          </w:tcPr>
          <w:p>
            <w:pPr>
              <w:keepNext w:val="0"/>
              <w:keepLines w:val="0"/>
              <w:pageBreakBefore w:val="0"/>
              <w:widowControl/>
              <w:kinsoku/>
              <w:wordWrap/>
              <w:overflowPunct/>
              <w:topLinePunct w:val="0"/>
              <w:bidi w:val="0"/>
              <w:adjustRightInd w:val="0"/>
              <w:snapToGrid w:val="0"/>
              <w:ind w:firstLine="0"/>
              <w:jc w:val="center"/>
              <w:rPr>
                <w:rFonts w:hint="eastAsia"/>
                <w:snapToGrid w:val="0"/>
                <w:color w:val="auto"/>
                <w:kern w:val="21"/>
                <w:szCs w:val="21"/>
                <w:highlight w:val="none"/>
              </w:rPr>
            </w:pPr>
            <w:r>
              <w:rPr>
                <w:rFonts w:hint="eastAsia"/>
                <w:snapToGrid w:val="0"/>
                <w:color w:val="auto"/>
                <w:kern w:val="21"/>
                <w:szCs w:val="21"/>
                <w:highlight w:val="none"/>
              </w:rPr>
              <w:t>/</w:t>
            </w:r>
          </w:p>
        </w:tc>
        <w:tc>
          <w:tcPr>
            <w:tcW w:w="392" w:type="pct"/>
            <w:tcBorders>
              <w:left w:val="single" w:sz="4" w:space="0" w:color="auto"/>
            </w:tcBorders>
            <w:vAlign w:val="center"/>
          </w:tcPr>
          <w:p>
            <w:pPr>
              <w:keepNext w:val="0"/>
              <w:keepLines w:val="0"/>
              <w:pageBreakBefore w:val="0"/>
              <w:widowControl/>
              <w:kinsoku/>
              <w:wordWrap/>
              <w:overflowPunct/>
              <w:topLinePunct w:val="0"/>
              <w:bidi w:val="0"/>
              <w:adjustRightInd w:val="0"/>
              <w:snapToGrid w:val="0"/>
              <w:ind w:firstLine="0"/>
              <w:jc w:val="center"/>
              <w:rPr>
                <w:rFonts w:hint="eastAsia"/>
                <w:snapToGrid w:val="0"/>
                <w:color w:val="auto"/>
                <w:kern w:val="21"/>
                <w:szCs w:val="21"/>
                <w:highlight w:val="none"/>
              </w:rPr>
            </w:pPr>
            <w:r>
              <w:rPr>
                <w:rFonts w:hint="eastAsia"/>
                <w:snapToGrid w:val="0"/>
                <w:color w:val="auto"/>
                <w:kern w:val="21"/>
                <w:szCs w:val="21"/>
                <w:highlight w:val="none"/>
              </w:rPr>
              <w:t>/</w:t>
            </w:r>
          </w:p>
        </w:tc>
        <w:tc>
          <w:tcPr>
            <w:tcW w:w="577" w:type="pct"/>
            <w:tcBorders>
              <w:left w:val="single" w:sz="4" w:space="0" w:color="auto"/>
            </w:tcBorders>
            <w:vAlign w:val="center"/>
          </w:tcPr>
          <w:p>
            <w:pPr>
              <w:keepNext w:val="0"/>
              <w:keepLines w:val="0"/>
              <w:pageBreakBefore w:val="0"/>
              <w:kinsoku/>
              <w:wordWrap/>
              <w:overflowPunct/>
              <w:topLinePunct w:val="0"/>
              <w:bidi w:val="0"/>
              <w:ind w:firstLine="0"/>
              <w:jc w:val="center"/>
              <w:rPr>
                <w:rFonts w:hint="eastAsia"/>
                <w:snapToGrid w:val="0"/>
                <w:color w:val="auto"/>
                <w:kern w:val="21"/>
                <w:szCs w:val="21"/>
                <w:highlight w:val="none"/>
              </w:rPr>
            </w:pPr>
            <w:r>
              <w:rPr>
                <w:rFonts w:hint="eastAsia"/>
                <w:snapToGrid w:val="0"/>
                <w:color w:val="auto"/>
                <w:kern w:val="21"/>
                <w:szCs w:val="21"/>
                <w:highlight w:val="none"/>
              </w:rPr>
              <w:t>/</w:t>
            </w:r>
          </w:p>
        </w:tc>
        <w:tc>
          <w:tcPr>
            <w:tcW w:w="724" w:type="pct"/>
            <w:tcBorders>
              <w:left w:val="single" w:sz="4" w:space="0" w:color="auto"/>
            </w:tcBorders>
            <w:shd w:val="clear" w:color="auto" w:fill="auto"/>
            <w:vAlign w:val="center"/>
          </w:tcPr>
          <w:p>
            <w:pPr>
              <w:autoSpaceDE w:val="0"/>
              <w:autoSpaceDN w:val="0"/>
              <w:adjustRightInd w:val="0"/>
              <w:jc w:val="center"/>
              <w:rPr>
                <w:rFonts w:ascii="Times New Roman" w:eastAsia="宋体" w:cs="Times New Roman" w:hAnsi="Times New Roman"/>
                <w:color w:val="auto"/>
                <w:kern w:val="2"/>
                <w:sz w:val="21"/>
                <w:szCs w:val="21"/>
                <w:lang w:val="en-US" w:eastAsia="zh-CN" w:bidi="ar-SA"/>
                <w:highlight w:val="none"/>
              </w:rPr>
            </w:pPr>
            <w:r>
              <w:rPr>
                <w:rFonts w:cs="Times New Roman" w:hint="eastAsia"/>
                <w:color w:val="auto"/>
                <w:sz w:val="21"/>
                <w:szCs w:val="21"/>
                <w:lang w:val="en-US" w:eastAsia="zh-CN"/>
                <w:highlight w:val="none"/>
              </w:rPr>
              <w:t>0.45</w:t>
            </w:r>
          </w:p>
        </w:tc>
        <w:tc>
          <w:tcPr>
            <w:tcW w:w="155" w:type="pct"/>
            <w:tcBorders>
              <w:left w:val="single" w:sz="4" w:space="0" w:color="auto"/>
            </w:tcBorders>
            <w:vAlign w:val="center"/>
          </w:tcPr>
          <w:p>
            <w:pPr>
              <w:autoSpaceDE/>
              <w:autoSpaceDN/>
              <w:adjustRightInd w:val="0"/>
              <w:snapToGrid w:val="0"/>
              <w:spacing w:line="240" w:lineRule="auto"/>
              <w:ind w:firstLine="0"/>
              <w:jc w:val="center"/>
              <w:rPr>
                <w:rFonts w:hint="eastAsia"/>
                <w:snapToGrid w:val="0"/>
                <w:color w:val="auto"/>
                <w:kern w:val="21"/>
                <w:szCs w:val="21"/>
                <w:highlight w:val="none"/>
              </w:rPr>
            </w:pPr>
            <w:r>
              <w:rPr>
                <w:rFonts w:hint="eastAsia"/>
                <w:snapToGrid w:val="0"/>
                <w:color w:val="auto"/>
                <w:kern w:val="21"/>
                <w:szCs w:val="21"/>
                <w:lang w:val="en-US" w:eastAsia="zh-CN"/>
                <w:highlight w:val="none"/>
              </w:rPr>
              <w:t>/</w:t>
            </w:r>
          </w:p>
        </w:tc>
        <w:tc>
          <w:tcPr>
            <w:tcW w:w="224" w:type="pct"/>
            <w:tcBorders>
              <w:left w:val="single" w:sz="4" w:space="0" w:color="auto"/>
            </w:tcBorders>
            <w:vAlign w:val="center"/>
          </w:tcPr>
          <w:p>
            <w:pPr>
              <w:autoSpaceDE w:val="0"/>
              <w:autoSpaceDN w:val="0"/>
              <w:adjustRightInd w:val="0"/>
              <w:jc w:val="center"/>
              <w:rPr>
                <w:rFonts w:ascii="Times New Roman" w:eastAsia="宋体" w:cs="Times New Roman" w:hAnsi="Times New Roman" w:hint="eastAsia"/>
                <w:b w:val="0"/>
                <w:bCs w:val="0"/>
                <w:color w:val="auto"/>
                <w:sz w:val="21"/>
                <w:szCs w:val="21"/>
                <w:lang w:val="en-US" w:eastAsia="zh-CN"/>
                <w:highlight w:val="none"/>
              </w:rPr>
            </w:pPr>
            <w:r>
              <w:rPr>
                <w:rFonts w:cs="Times New Roman" w:hint="eastAsia"/>
                <w:color w:val="auto"/>
                <w:sz w:val="21"/>
                <w:szCs w:val="21"/>
                <w:lang w:val="en-US" w:eastAsia="zh-CN"/>
                <w:highlight w:val="none"/>
              </w:rPr>
              <w:t>0.45</w:t>
            </w:r>
          </w:p>
        </w:tc>
        <w:tc>
          <w:tcPr>
            <w:tcW w:w="224" w:type="pct"/>
            <w:tcBorders>
              <w:left w:val="single" w:sz="4" w:space="0" w:color="auto"/>
            </w:tcBorders>
            <w:vAlign w:val="center"/>
          </w:tcPr>
          <w:p>
            <w:pPr>
              <w:autoSpaceDE w:val="0"/>
              <w:autoSpaceDN w:val="0"/>
              <w:adjustRightInd w:val="0"/>
              <w:jc w:val="center"/>
              <w:rPr>
                <w:rFonts w:ascii="Times New Roman" w:eastAsia="宋体" w:cs="Times New Roman" w:hAnsi="Times New Roman" w:hint="eastAsia"/>
                <w:b w:val="0"/>
                <w:bCs w:val="0"/>
                <w:color w:val="auto"/>
                <w:sz w:val="21"/>
                <w:szCs w:val="21"/>
                <w:lang w:val="en-US" w:eastAsia="zh-CN"/>
                <w:highlight w:val="none"/>
              </w:rPr>
            </w:pPr>
            <w:r>
              <w:rPr>
                <w:rFonts w:cs="Times New Roman" w:hint="eastAsia"/>
                <w:color w:val="auto"/>
                <w:sz w:val="21"/>
                <w:szCs w:val="21"/>
                <w:lang w:val="en-US" w:eastAsia="zh-CN"/>
                <w:highlight w:val="none"/>
              </w:rPr>
              <w:t>+0.45</w:t>
            </w:r>
          </w:p>
        </w:tc>
      </w:tr>
      <w:tr>
        <w:trPr>
          <w:trHeight w:val="397"/>
        </w:trPr>
        <w:tc>
          <w:tcPr>
            <w:tcW w:w="366" w:type="pct"/>
            <w:vMerge/>
            <w:vAlign w:val="center"/>
          </w:tcPr>
          <w:p/>
        </w:tc>
        <w:tc>
          <w:tcPr>
            <w:tcW w:w="1663" w:type="pct"/>
            <w:tcBorders>
              <w:left w:val="single" w:sz="4" w:space="0" w:color="auto"/>
            </w:tcBorders>
            <w:shd w:val="clear" w:color="auto" w:fill="auto"/>
            <w:vAlign w:val="center"/>
          </w:tcPr>
          <w:p>
            <w:pPr>
              <w:pStyle w:val="16"/>
              <w:spacing w:line="240" w:lineRule="auto"/>
              <w:ind w:firstLineChars="0" w:firstLine="0"/>
              <w:jc w:val="center"/>
              <w:rPr>
                <w:rFonts w:ascii="Times New Roman" w:eastAsia="宋体" w:cs="Times New Roman" w:hAnsi="Times New Roman" w:hint="eastAsia"/>
                <w:color w:val="auto"/>
                <w:sz w:val="21"/>
                <w:szCs w:val="21"/>
                <w:lang w:val="en-US" w:eastAsia="zh-CN"/>
                <w:highlight w:val="none"/>
              </w:rPr>
            </w:pPr>
            <w:r>
              <w:rPr>
                <w:rFonts w:ascii="Times New Roman" w:eastAsia="宋体" w:cs="Times New Roman" w:hAnsi="Times New Roman"/>
                <w:color w:val="auto"/>
                <w:sz w:val="21"/>
                <w:szCs w:val="21"/>
                <w:lang w:val="en-US" w:eastAsia="zh-CN"/>
                <w:highlight w:val="none"/>
              </w:rPr>
              <w:t>废抹布</w:t>
            </w:r>
          </w:p>
        </w:tc>
        <w:tc>
          <w:tcPr>
            <w:tcW w:w="762" w:type="pct"/>
            <w:tcBorders>
              <w:left w:val="single" w:sz="4" w:space="0" w:color="auto"/>
            </w:tcBorders>
            <w:vAlign w:val="center"/>
          </w:tcPr>
          <w:p>
            <w:pPr>
              <w:keepNext w:val="0"/>
              <w:keepLines w:val="0"/>
              <w:pageBreakBefore w:val="0"/>
              <w:widowControl/>
              <w:kinsoku/>
              <w:wordWrap/>
              <w:overflowPunct/>
              <w:topLinePunct w:val="0"/>
              <w:bidi w:val="0"/>
              <w:adjustRightInd w:val="0"/>
              <w:snapToGrid w:val="0"/>
              <w:ind w:firstLine="0"/>
              <w:jc w:val="center"/>
              <w:rPr>
                <w:rFonts w:hint="eastAsia"/>
                <w:color w:val="auto"/>
                <w:szCs w:val="21"/>
                <w:highlight w:val="none"/>
              </w:rPr>
            </w:pPr>
            <w:r>
              <w:rPr>
                <w:rFonts w:hint="eastAsia"/>
                <w:snapToGrid w:val="0"/>
                <w:color w:val="auto"/>
                <w:kern w:val="21"/>
                <w:szCs w:val="21"/>
                <w:highlight w:val="none"/>
              </w:rPr>
              <w:t>/</w:t>
            </w:r>
          </w:p>
        </w:tc>
        <w:tc>
          <w:tcPr>
            <w:tcW w:w="392" w:type="pct"/>
            <w:tcBorders>
              <w:left w:val="single" w:sz="4" w:space="0" w:color="auto"/>
            </w:tcBorders>
            <w:vAlign w:val="center"/>
          </w:tcPr>
          <w:p>
            <w:pPr>
              <w:keepNext w:val="0"/>
              <w:keepLines w:val="0"/>
              <w:pageBreakBefore w:val="0"/>
              <w:widowControl/>
              <w:kinsoku/>
              <w:wordWrap/>
              <w:overflowPunct/>
              <w:topLinePunct w:val="0"/>
              <w:bidi w:val="0"/>
              <w:adjustRightInd w:val="0"/>
              <w:snapToGrid w:val="0"/>
              <w:ind w:firstLine="0"/>
              <w:jc w:val="center"/>
              <w:rPr>
                <w:rFonts w:hint="eastAsia"/>
                <w:color w:val="auto"/>
                <w:szCs w:val="21"/>
                <w:highlight w:val="none"/>
              </w:rPr>
            </w:pPr>
            <w:r>
              <w:rPr>
                <w:rFonts w:hint="eastAsia"/>
                <w:snapToGrid w:val="0"/>
                <w:color w:val="auto"/>
                <w:kern w:val="21"/>
                <w:szCs w:val="21"/>
                <w:highlight w:val="none"/>
              </w:rPr>
              <w:t>/</w:t>
            </w:r>
          </w:p>
        </w:tc>
        <w:tc>
          <w:tcPr>
            <w:tcW w:w="577" w:type="pct"/>
            <w:tcBorders>
              <w:left w:val="single" w:sz="4" w:space="0" w:color="auto"/>
            </w:tcBorders>
            <w:vAlign w:val="center"/>
          </w:tcPr>
          <w:p>
            <w:pPr>
              <w:keepNext w:val="0"/>
              <w:keepLines w:val="0"/>
              <w:pageBreakBefore w:val="0"/>
              <w:kinsoku/>
              <w:wordWrap/>
              <w:overflowPunct/>
              <w:topLinePunct w:val="0"/>
              <w:bidi w:val="0"/>
              <w:ind w:firstLine="0"/>
              <w:jc w:val="center"/>
              <w:rPr>
                <w:rFonts w:hint="eastAsia"/>
                <w:color w:val="auto"/>
                <w:szCs w:val="21"/>
                <w:highlight w:val="none"/>
              </w:rPr>
            </w:pPr>
            <w:r>
              <w:rPr>
                <w:rFonts w:hint="eastAsia"/>
                <w:snapToGrid w:val="0"/>
                <w:color w:val="auto"/>
                <w:kern w:val="21"/>
                <w:szCs w:val="21"/>
                <w:highlight w:val="none"/>
              </w:rPr>
              <w:t>/</w:t>
            </w:r>
          </w:p>
        </w:tc>
        <w:tc>
          <w:tcPr>
            <w:tcW w:w="724" w:type="pct"/>
            <w:tcBorders>
              <w:left w:val="single" w:sz="4" w:space="0" w:color="auto"/>
            </w:tcBorders>
            <w:shd w:val="clear" w:color="auto" w:fill="auto"/>
            <w:vAlign w:val="center"/>
          </w:tcPr>
          <w:p>
            <w:pPr>
              <w:autoSpaceDE w:val="0"/>
              <w:autoSpaceDN w:val="0"/>
              <w:adjustRightInd w:val="0"/>
              <w:jc w:val="center"/>
              <w:rPr>
                <w:rFonts w:ascii="Times New Roman" w:eastAsia="宋体" w:cs="Times New Roman" w:hAnsi="Times New Roman"/>
                <w:color w:val="auto"/>
                <w:kern w:val="2"/>
                <w:sz w:val="21"/>
                <w:szCs w:val="21"/>
                <w:lang w:val="en-US" w:eastAsia="zh-CN" w:bidi="ar-SA"/>
                <w:highlight w:val="none"/>
              </w:rPr>
            </w:pPr>
            <w:r>
              <w:rPr>
                <w:rFonts w:ascii="Times New Roman" w:eastAsia="宋体" w:cs="Times New Roman" w:hAnsi="Times New Roman" w:hint="eastAsia"/>
                <w:color w:val="auto"/>
                <w:sz w:val="21"/>
                <w:szCs w:val="21"/>
                <w:lang w:val="en-US" w:eastAsia="zh-CN"/>
                <w:highlight w:val="none"/>
              </w:rPr>
              <w:t>0.0</w:t>
            </w:r>
            <w:r>
              <w:rPr>
                <w:rFonts w:cs="Times New Roman" w:hint="eastAsia"/>
                <w:color w:val="auto"/>
                <w:sz w:val="21"/>
                <w:szCs w:val="21"/>
                <w:lang w:val="en-US" w:eastAsia="zh-CN"/>
                <w:highlight w:val="none"/>
              </w:rPr>
              <w:t>1</w:t>
            </w:r>
          </w:p>
        </w:tc>
        <w:tc>
          <w:tcPr>
            <w:tcW w:w="155" w:type="pct"/>
            <w:tcBorders>
              <w:left w:val="single" w:sz="4" w:space="0" w:color="auto"/>
            </w:tcBorders>
            <w:vAlign w:val="center"/>
          </w:tcPr>
          <w:p>
            <w:pPr>
              <w:autoSpaceDE/>
              <w:autoSpaceDN/>
              <w:adjustRightInd w:val="0"/>
              <w:snapToGrid w:val="0"/>
              <w:spacing w:line="240" w:lineRule="auto"/>
              <w:ind w:firstLine="0"/>
              <w:jc w:val="center"/>
              <w:rPr>
                <w:rFonts w:hint="eastAsia"/>
                <w:color w:val="auto"/>
                <w:szCs w:val="21"/>
                <w:highlight w:val="none"/>
              </w:rPr>
            </w:pPr>
            <w:r>
              <w:rPr>
                <w:rFonts w:hint="eastAsia"/>
                <w:snapToGrid w:val="0"/>
                <w:color w:val="auto"/>
                <w:kern w:val="21"/>
                <w:szCs w:val="21"/>
                <w:highlight w:val="none"/>
              </w:rPr>
              <w:t>/</w:t>
            </w:r>
          </w:p>
        </w:tc>
        <w:tc>
          <w:tcPr>
            <w:tcW w:w="224" w:type="pct"/>
            <w:tcBorders>
              <w:left w:val="single" w:sz="4" w:space="0" w:color="auto"/>
            </w:tcBorders>
            <w:vAlign w:val="center"/>
          </w:tcPr>
          <w:p>
            <w:pPr>
              <w:autoSpaceDE w:val="0"/>
              <w:autoSpaceDN w:val="0"/>
              <w:adjustRightInd w:val="0"/>
              <w:jc w:val="center"/>
              <w:rPr>
                <w:rFonts w:hint="eastAsia"/>
                <w:color w:val="auto"/>
                <w:szCs w:val="21"/>
                <w:lang w:val="en-US" w:eastAsia="zh-CN"/>
                <w:highlight w:val="none"/>
              </w:rPr>
            </w:pPr>
            <w:r>
              <w:rPr>
                <w:rFonts w:ascii="Times New Roman" w:eastAsia="宋体" w:cs="Times New Roman" w:hAnsi="Times New Roman" w:hint="eastAsia"/>
                <w:color w:val="auto"/>
                <w:sz w:val="21"/>
                <w:szCs w:val="21"/>
                <w:lang w:val="en-US" w:eastAsia="zh-CN"/>
                <w:highlight w:val="none"/>
              </w:rPr>
              <w:t>0.0</w:t>
            </w:r>
            <w:r>
              <w:rPr>
                <w:rFonts w:cs="Times New Roman" w:hint="eastAsia"/>
                <w:color w:val="auto"/>
                <w:sz w:val="21"/>
                <w:szCs w:val="21"/>
                <w:lang w:val="en-US" w:eastAsia="zh-CN"/>
                <w:highlight w:val="none"/>
              </w:rPr>
              <w:t>1</w:t>
            </w:r>
          </w:p>
        </w:tc>
        <w:tc>
          <w:tcPr>
            <w:tcW w:w="224" w:type="pct"/>
            <w:tcBorders>
              <w:left w:val="single" w:sz="4" w:space="0" w:color="auto"/>
            </w:tcBorders>
            <w:vAlign w:val="center"/>
          </w:tcPr>
          <w:p>
            <w:pPr>
              <w:autoSpaceDE w:val="0"/>
              <w:autoSpaceDN w:val="0"/>
              <w:adjustRightInd w:val="0"/>
              <w:jc w:val="center"/>
              <w:rPr>
                <w:rFonts w:hint="eastAsia"/>
                <w:color w:val="auto"/>
                <w:szCs w:val="21"/>
                <w:lang w:val="en-US" w:eastAsia="zh-CN"/>
                <w:highlight w:val="none"/>
              </w:rPr>
            </w:pPr>
            <w:r>
              <w:rPr>
                <w:rFonts w:cs="Times New Roman" w:hint="eastAsia"/>
                <w:color w:val="auto"/>
                <w:sz w:val="21"/>
                <w:szCs w:val="21"/>
                <w:lang w:val="en-US" w:eastAsia="zh-CN"/>
                <w:highlight w:val="none"/>
              </w:rPr>
              <w:t>+</w:t>
            </w:r>
            <w:r>
              <w:rPr>
                <w:rFonts w:ascii="Times New Roman" w:eastAsia="宋体" w:cs="Times New Roman" w:hAnsi="Times New Roman" w:hint="eastAsia"/>
                <w:color w:val="auto"/>
                <w:sz w:val="21"/>
                <w:szCs w:val="21"/>
                <w:lang w:val="en-US" w:eastAsia="zh-CN"/>
                <w:highlight w:val="none"/>
              </w:rPr>
              <w:t>0.0</w:t>
            </w:r>
            <w:r>
              <w:rPr>
                <w:rFonts w:cs="Times New Roman" w:hint="eastAsia"/>
                <w:color w:val="auto"/>
                <w:sz w:val="21"/>
                <w:szCs w:val="21"/>
                <w:lang w:val="en-US" w:eastAsia="zh-CN"/>
                <w:highlight w:val="none"/>
              </w:rPr>
              <w:t>1</w:t>
            </w:r>
          </w:p>
        </w:tc>
      </w:tr>
      <w:tr>
        <w:trPr>
          <w:trHeight w:val="397"/>
        </w:trPr>
        <w:tc>
          <w:tcPr>
            <w:tcW w:w="276" w:type="pct"/>
            <w:vAlign w:val="center"/>
          </w:tcPr>
          <w:p>
            <w:pPr>
              <w:pStyle w:val="55"/>
              <w:keepNext w:val="0"/>
              <w:keepLines w:val="0"/>
              <w:pageBreakBefore w:val="0"/>
              <w:kinsoku/>
              <w:wordWrap/>
              <w:overflowPunct/>
              <w:topLinePunct w:val="0"/>
              <w:bidi w:val="0"/>
              <w:spacing w:beforeLines="0" w:before="10" w:afterLines="0" w:after="0" w:line="240" w:lineRule="auto"/>
              <w:ind w:firstLineChars="0" w:firstLine="0"/>
              <w:jc w:val="center"/>
              <w:rPr>
                <w:rFonts w:ascii="Times New Roman" w:hAnsi="Times New Roman" w:hint="eastAsia"/>
                <w:snapToGrid w:val="0"/>
                <w:color w:val="auto"/>
                <w:kern w:val="21"/>
                <w:szCs w:val="21"/>
                <w:highlight w:val="none"/>
              </w:rPr>
            </w:pPr>
            <w:r>
              <w:rPr>
                <w:rFonts w:hint="eastAsia"/>
                <w:color w:val="auto"/>
                <w:szCs w:val="21"/>
                <w:highlight w:val="none"/>
              </w:rPr>
              <w:t>职工生活</w:t>
            </w:r>
          </w:p>
        </w:tc>
        <w:tc>
          <w:tcPr>
            <w:tcW w:w="1663" w:type="pct"/>
            <w:tcBorders>
              <w:left w:val="single" w:sz="4" w:space="0" w:color="auto"/>
            </w:tcBorders>
            <w:shd w:val="clear" w:color="auto" w:fill="auto"/>
            <w:vAlign w:val="center"/>
          </w:tcPr>
          <w:p>
            <w:pPr>
              <w:pStyle w:val="16"/>
              <w:spacing w:line="240" w:lineRule="auto"/>
              <w:ind w:firstLineChars="0" w:firstLine="0"/>
              <w:jc w:val="center"/>
              <w:rPr>
                <w:rFonts w:ascii="Times New Roman" w:eastAsia="宋体" w:cs="Times New Roman" w:hAnsi="Times New Roman" w:hint="eastAsia"/>
                <w:color w:val="auto"/>
                <w:sz w:val="21"/>
                <w:szCs w:val="21"/>
                <w:lang w:val="en-US" w:eastAsia="zh-CN"/>
                <w:highlight w:val="none"/>
              </w:rPr>
            </w:pPr>
            <w:r>
              <w:rPr>
                <w:rFonts w:ascii="Times New Roman" w:eastAsia="宋体" w:cs="Times New Roman" w:hAnsi="Times New Roman" w:hint="eastAsia"/>
                <w:color w:val="auto"/>
                <w:sz w:val="21"/>
                <w:szCs w:val="21"/>
                <w:lang w:val="zh-CN" w:eastAsia="zh-CN"/>
                <w:highlight w:val="none"/>
              </w:rPr>
              <w:t>生活垃圾</w:t>
            </w:r>
          </w:p>
        </w:tc>
        <w:tc>
          <w:tcPr>
            <w:tcW w:w="762" w:type="pct"/>
            <w:tcBorders>
              <w:left w:val="single" w:sz="4" w:space="0" w:color="auto"/>
            </w:tcBorders>
            <w:vAlign w:val="center"/>
          </w:tcPr>
          <w:p>
            <w:pPr>
              <w:keepNext w:val="0"/>
              <w:keepLines w:val="0"/>
              <w:pageBreakBefore w:val="0"/>
              <w:widowControl/>
              <w:kinsoku/>
              <w:wordWrap/>
              <w:overflowPunct/>
              <w:topLinePunct w:val="0"/>
              <w:bidi w:val="0"/>
              <w:adjustRightInd w:val="0"/>
              <w:snapToGrid w:val="0"/>
              <w:ind w:firstLine="0"/>
              <w:jc w:val="center"/>
              <w:rPr>
                <w:rFonts w:eastAsia="宋体"/>
                <w:color w:val="auto"/>
                <w:szCs w:val="21"/>
                <w:lang w:val="en-US" w:eastAsia="zh-CN"/>
                <w:highlight w:val="none"/>
              </w:rPr>
            </w:pPr>
            <w:r>
              <w:rPr>
                <w:rFonts w:hint="eastAsia"/>
                <w:color w:val="auto"/>
                <w:szCs w:val="21"/>
                <w:lang w:val="en-US" w:eastAsia="zh-CN"/>
                <w:highlight w:val="none"/>
              </w:rPr>
              <w:t>/</w:t>
            </w:r>
          </w:p>
        </w:tc>
        <w:tc>
          <w:tcPr>
            <w:tcW w:w="392" w:type="pct"/>
            <w:tcBorders>
              <w:left w:val="single" w:sz="4" w:space="0" w:color="auto"/>
            </w:tcBorders>
            <w:vAlign w:val="center"/>
          </w:tcPr>
          <w:p>
            <w:pPr>
              <w:keepNext w:val="0"/>
              <w:keepLines w:val="0"/>
              <w:pageBreakBefore w:val="0"/>
              <w:widowControl/>
              <w:kinsoku/>
              <w:wordWrap/>
              <w:overflowPunct/>
              <w:topLinePunct w:val="0"/>
              <w:bidi w:val="0"/>
              <w:adjustRightInd w:val="0"/>
              <w:snapToGrid w:val="0"/>
              <w:ind w:firstLine="0"/>
              <w:jc w:val="center"/>
              <w:rPr>
                <w:rFonts w:eastAsia="宋体" w:hint="eastAsia"/>
                <w:color w:val="auto"/>
                <w:szCs w:val="21"/>
                <w:lang w:val="en-US" w:eastAsia="zh-CN"/>
                <w:highlight w:val="none"/>
              </w:rPr>
            </w:pPr>
            <w:r>
              <w:rPr>
                <w:rFonts w:hint="eastAsia"/>
                <w:color w:val="auto"/>
                <w:szCs w:val="21"/>
                <w:lang w:val="en-US" w:eastAsia="zh-CN"/>
                <w:highlight w:val="none"/>
              </w:rPr>
              <w:t>/</w:t>
            </w:r>
          </w:p>
        </w:tc>
        <w:tc>
          <w:tcPr>
            <w:tcW w:w="577" w:type="pct"/>
            <w:tcBorders>
              <w:left w:val="single" w:sz="4" w:space="0" w:color="auto"/>
            </w:tcBorders>
            <w:vAlign w:val="center"/>
          </w:tcPr>
          <w:p>
            <w:pPr>
              <w:keepNext w:val="0"/>
              <w:keepLines w:val="0"/>
              <w:pageBreakBefore w:val="0"/>
              <w:kinsoku/>
              <w:wordWrap/>
              <w:overflowPunct/>
              <w:topLinePunct w:val="0"/>
              <w:bidi w:val="0"/>
              <w:ind w:firstLine="0"/>
              <w:jc w:val="center"/>
              <w:rPr>
                <w:rFonts w:eastAsia="宋体" w:hint="eastAsia"/>
                <w:color w:val="auto"/>
                <w:szCs w:val="21"/>
                <w:lang w:val="en-US" w:eastAsia="zh-CN"/>
                <w:highlight w:val="none"/>
              </w:rPr>
            </w:pPr>
            <w:r>
              <w:rPr>
                <w:rFonts w:hint="eastAsia"/>
                <w:color w:val="auto"/>
                <w:szCs w:val="21"/>
                <w:lang w:val="en-US" w:eastAsia="zh-CN"/>
                <w:highlight w:val="none"/>
              </w:rPr>
              <w:t>/</w:t>
            </w:r>
          </w:p>
        </w:tc>
        <w:tc>
          <w:tcPr>
            <w:tcW w:w="724" w:type="pct"/>
            <w:tcBorders>
              <w:left w:val="single" w:sz="4" w:space="0" w:color="auto"/>
            </w:tcBorders>
            <w:vAlign w:val="center"/>
          </w:tcPr>
          <w:p>
            <w:pPr>
              <w:autoSpaceDE/>
              <w:autoSpaceDN/>
              <w:adjustRightInd w:val="0"/>
              <w:snapToGrid w:val="0"/>
              <w:spacing w:line="240" w:lineRule="auto"/>
              <w:ind w:firstLine="0"/>
              <w:jc w:val="center"/>
              <w:rPr>
                <w:color w:val="auto"/>
                <w:szCs w:val="21"/>
                <w:lang w:val="en-US" w:eastAsia="zh-CN"/>
                <w:highlight w:val="none"/>
              </w:rPr>
            </w:pPr>
            <w:r>
              <w:rPr>
                <w:rFonts w:cs="Times New Roman" w:hint="eastAsia"/>
                <w:color w:val="auto"/>
                <w:szCs w:val="21"/>
                <w:lang w:val="en-US" w:eastAsia="zh-CN"/>
                <w:highlight w:val="none"/>
              </w:rPr>
              <w:t>0.9</w:t>
            </w:r>
          </w:p>
        </w:tc>
        <w:tc>
          <w:tcPr>
            <w:tcW w:w="155" w:type="pct"/>
            <w:tcBorders>
              <w:left w:val="single" w:sz="4" w:space="0" w:color="auto"/>
            </w:tcBorders>
            <w:shd w:val="clear" w:color="auto" w:fill="auto"/>
            <w:vAlign w:val="center"/>
          </w:tcPr>
          <w:p>
            <w:pPr>
              <w:autoSpaceDE w:val="0"/>
              <w:autoSpaceDN w:val="0"/>
              <w:adjustRightInd w:val="0"/>
              <w:jc w:val="center"/>
              <w:rPr>
                <w:rFonts w:ascii="Times New Roman" w:eastAsia="宋体" w:cs="Times New Roman" w:hAnsi="Times New Roman"/>
                <w:color w:val="auto"/>
                <w:kern w:val="2"/>
                <w:sz w:val="21"/>
                <w:szCs w:val="21"/>
                <w:lang w:val="en-US" w:eastAsia="zh-CN" w:bidi="ar-SA"/>
                <w:highlight w:val="none"/>
              </w:rPr>
            </w:pPr>
            <w:r>
              <w:rPr>
                <w:rFonts w:hint="eastAsia"/>
                <w:color w:val="auto"/>
                <w:sz w:val="21"/>
                <w:szCs w:val="21"/>
                <w:lang w:val="en-US" w:eastAsia="zh-CN"/>
                <w:highlight w:val="none"/>
              </w:rPr>
              <w:t>/</w:t>
            </w:r>
          </w:p>
        </w:tc>
        <w:tc>
          <w:tcPr>
            <w:tcW w:w="224" w:type="pct"/>
            <w:tcBorders>
              <w:left w:val="single" w:sz="4" w:space="0" w:color="auto"/>
            </w:tcBorders>
            <w:vAlign w:val="center"/>
          </w:tcPr>
          <w:p>
            <w:pPr>
              <w:autoSpaceDE/>
              <w:autoSpaceDN/>
              <w:adjustRightInd w:val="0"/>
              <w:snapToGrid w:val="0"/>
              <w:spacing w:line="240" w:lineRule="auto"/>
              <w:ind w:firstLine="0"/>
              <w:jc w:val="center"/>
              <w:rPr>
                <w:color w:val="auto"/>
                <w:szCs w:val="21"/>
                <w:lang w:val="en-US" w:eastAsia="zh-CN"/>
                <w:highlight w:val="none"/>
              </w:rPr>
            </w:pPr>
            <w:r>
              <w:rPr>
                <w:rFonts w:cs="Times New Roman" w:hint="eastAsia"/>
                <w:color w:val="auto"/>
                <w:szCs w:val="21"/>
                <w:lang w:val="en-US" w:eastAsia="zh-CN"/>
                <w:highlight w:val="none"/>
              </w:rPr>
              <w:t>0.9</w:t>
            </w:r>
          </w:p>
        </w:tc>
        <w:tc>
          <w:tcPr>
            <w:tcW w:w="224" w:type="pct"/>
            <w:tcBorders>
              <w:left w:val="single" w:sz="4" w:space="0" w:color="auto"/>
            </w:tcBorders>
            <w:vAlign w:val="center"/>
          </w:tcPr>
          <w:p>
            <w:pPr>
              <w:autoSpaceDE/>
              <w:autoSpaceDN/>
              <w:adjustRightInd w:val="0"/>
              <w:snapToGrid w:val="0"/>
              <w:spacing w:line="240" w:lineRule="auto"/>
              <w:ind w:firstLine="0"/>
              <w:jc w:val="center"/>
              <w:rPr>
                <w:rFonts w:hint="eastAsia"/>
                <w:color w:val="auto"/>
                <w:szCs w:val="21"/>
                <w:lang w:val="en-US" w:eastAsia="zh-CN"/>
                <w:highlight w:val="none"/>
              </w:rPr>
            </w:pPr>
            <w:r>
              <w:rPr>
                <w:rFonts w:cs="Times New Roman" w:hint="eastAsia"/>
                <w:color w:val="auto"/>
                <w:sz w:val="21"/>
                <w:szCs w:val="21"/>
                <w:lang w:val="en-US" w:eastAsia="zh-CN"/>
                <w:highlight w:val="none"/>
              </w:rPr>
              <w:t>+</w:t>
            </w:r>
            <w:r>
              <w:rPr>
                <w:rFonts w:cs="Times New Roman" w:hint="eastAsia"/>
                <w:color w:val="auto"/>
                <w:szCs w:val="21"/>
                <w:lang w:val="en-US" w:eastAsia="zh-CN"/>
                <w:highlight w:val="none"/>
              </w:rPr>
              <w:t>0.9</w:t>
            </w:r>
          </w:p>
        </w:tc>
      </w:tr>
    </w:tbl>
    <w:p>
      <w:pPr>
        <w:pStyle w:val="55"/>
        <w:spacing w:beforeLines="0" w:before="10" w:afterLines="0" w:after="10" w:line="240" w:lineRule="auto"/>
        <w:jc w:val="left"/>
        <w:rPr>
          <w:rFonts w:hint="eastAsia"/>
          <w:color w:val="auto"/>
          <w:highlight w:val="none"/>
        </w:rPr>
      </w:pPr>
      <w:r>
        <w:rPr>
          <w:rFonts w:ascii="Times New Roman" w:hAnsi="Times New Roman" w:hint="eastAsia"/>
          <w:color w:val="auto"/>
          <w:kern w:val="2"/>
          <w:szCs w:val="21"/>
          <w:highlight w:val="none"/>
        </w:rPr>
        <w:t>注：</w:t>
      </w:r>
      <w:r>
        <w:rPr>
          <w:rFonts w:ascii="Times New Roman" w:hAnsi="Times New Roman" w:hint="eastAsia"/>
          <w:color w:val="auto"/>
          <w:kern w:val="2"/>
          <w:szCs w:val="21"/>
          <w:highlight w:val="none"/>
        </w:rPr>
        <w:fldChar w:fldCharType="begin"/>
      </w:r>
      <w:r>
        <w:rPr>
          <w:rFonts w:ascii="Times New Roman" w:hAnsi="Times New Roman" w:hint="eastAsia"/>
          <w:color w:val="auto"/>
          <w:kern w:val="2"/>
          <w:szCs w:val="21"/>
          <w:highlight w:val="none"/>
        </w:rPr>
        <w:instrText xml:space="preserve"> = 6 \* GB3 \* MERGEFORMAT </w:instrText>
      </w:r>
      <w:r>
        <w:rPr>
          <w:rFonts w:ascii="Times New Roman" w:hAnsi="Times New Roman" w:hint="eastAsia"/>
          <w:color w:val="auto"/>
          <w:kern w:val="2"/>
          <w:szCs w:val="21"/>
          <w:highlight w:val="none"/>
        </w:rPr>
        <w:fldChar w:fldCharType="separate"/>
      </w:r>
      <w:r>
        <w:rPr>
          <w:rFonts w:ascii="Times New Roman" w:hAnsi="Times New Roman" w:hint="eastAsia"/>
          <w:color w:val="auto"/>
          <w:kern w:val="2"/>
          <w:szCs w:val="21"/>
          <w:highlight w:val="none"/>
        </w:rPr>
        <w:t>⑥</w:t>
      </w:r>
      <w:r>
        <w:rPr>
          <w:rFonts w:ascii="Times New Roman" w:hAnsi="Times New Roman" w:hint="eastAsia"/>
          <w:color w:val="auto"/>
          <w:kern w:val="2"/>
          <w:szCs w:val="21"/>
          <w:highlight w:val="none"/>
        </w:rPr>
        <w:fldChar w:fldCharType="end"/>
      </w:r>
      <w:r>
        <w:rPr>
          <w:rFonts w:ascii="Times New Roman" w:hAnsi="Times New Roman" w:hint="eastAsia"/>
          <w:color w:val="auto"/>
          <w:kern w:val="2"/>
          <w:szCs w:val="21"/>
          <w:highlight w:val="none"/>
        </w:rPr>
        <w:t>=</w:t>
      </w:r>
      <w:r>
        <w:rPr>
          <w:rFonts w:ascii="Times New Roman" w:hAnsi="Times New Roman" w:hint="eastAsia"/>
          <w:color w:val="auto"/>
          <w:kern w:val="2"/>
          <w:szCs w:val="21"/>
          <w:highlight w:val="none"/>
        </w:rPr>
        <w:fldChar w:fldCharType="begin"/>
      </w:r>
      <w:r>
        <w:rPr>
          <w:rFonts w:ascii="Times New Roman" w:hAnsi="Times New Roman" w:hint="eastAsia"/>
          <w:color w:val="auto"/>
          <w:kern w:val="2"/>
          <w:szCs w:val="21"/>
          <w:highlight w:val="none"/>
        </w:rPr>
        <w:instrText xml:space="preserve"> = 1 \* GB3 \* MERGEFORMAT </w:instrText>
      </w:r>
      <w:r>
        <w:rPr>
          <w:rFonts w:ascii="Times New Roman" w:hAnsi="Times New Roman" w:hint="eastAsia"/>
          <w:color w:val="auto"/>
          <w:kern w:val="2"/>
          <w:szCs w:val="21"/>
          <w:highlight w:val="none"/>
        </w:rPr>
        <w:fldChar w:fldCharType="separate"/>
      </w:r>
      <w:r>
        <w:rPr>
          <w:rFonts w:ascii="Times New Roman" w:hAnsi="Times New Roman" w:hint="eastAsia"/>
          <w:color w:val="auto"/>
          <w:kern w:val="2"/>
          <w:szCs w:val="21"/>
          <w:highlight w:val="none"/>
        </w:rPr>
        <w:t>①</w:t>
      </w:r>
      <w:r>
        <w:rPr>
          <w:rFonts w:ascii="Times New Roman" w:hAnsi="Times New Roman" w:hint="eastAsia"/>
          <w:color w:val="auto"/>
          <w:kern w:val="2"/>
          <w:szCs w:val="21"/>
          <w:highlight w:val="none"/>
        </w:rPr>
        <w:fldChar w:fldCharType="end"/>
      </w:r>
      <w:r>
        <w:rPr>
          <w:rFonts w:ascii="Times New Roman" w:hAnsi="Times New Roman" w:hint="eastAsia"/>
          <w:color w:val="auto"/>
          <w:kern w:val="2"/>
          <w:szCs w:val="21"/>
          <w:highlight w:val="none"/>
        </w:rPr>
        <w:t>+</w:t>
      </w:r>
      <w:r>
        <w:rPr>
          <w:rFonts w:ascii="Times New Roman" w:hAnsi="Times New Roman" w:hint="eastAsia"/>
          <w:color w:val="auto"/>
          <w:kern w:val="2"/>
          <w:szCs w:val="21"/>
          <w:highlight w:val="none"/>
        </w:rPr>
        <w:fldChar w:fldCharType="begin"/>
      </w:r>
      <w:r>
        <w:rPr>
          <w:rFonts w:ascii="Times New Roman" w:hAnsi="Times New Roman" w:hint="eastAsia"/>
          <w:color w:val="auto"/>
          <w:kern w:val="2"/>
          <w:szCs w:val="21"/>
          <w:highlight w:val="none"/>
        </w:rPr>
        <w:instrText xml:space="preserve"> = 3 \* GB3 \* MERGEFORMAT </w:instrText>
      </w:r>
      <w:r>
        <w:rPr>
          <w:rFonts w:ascii="Times New Roman" w:hAnsi="Times New Roman" w:hint="eastAsia"/>
          <w:color w:val="auto"/>
          <w:kern w:val="2"/>
          <w:szCs w:val="21"/>
          <w:highlight w:val="none"/>
        </w:rPr>
        <w:fldChar w:fldCharType="separate"/>
      </w:r>
      <w:r>
        <w:rPr>
          <w:rFonts w:ascii="Times New Roman" w:hAnsi="Times New Roman" w:hint="eastAsia"/>
          <w:color w:val="auto"/>
          <w:kern w:val="2"/>
          <w:szCs w:val="21"/>
          <w:highlight w:val="none"/>
        </w:rPr>
        <w:t>③</w:t>
      </w:r>
      <w:r>
        <w:rPr>
          <w:rFonts w:ascii="Times New Roman" w:hAnsi="Times New Roman" w:hint="eastAsia"/>
          <w:color w:val="auto"/>
          <w:kern w:val="2"/>
          <w:szCs w:val="21"/>
          <w:highlight w:val="none"/>
        </w:rPr>
        <w:fldChar w:fldCharType="end"/>
      </w:r>
      <w:r>
        <w:rPr>
          <w:rFonts w:ascii="Times New Roman" w:hAnsi="Times New Roman" w:hint="eastAsia"/>
          <w:color w:val="auto"/>
          <w:kern w:val="2"/>
          <w:szCs w:val="21"/>
          <w:highlight w:val="none"/>
        </w:rPr>
        <w:t>+</w:t>
      </w:r>
      <w:r>
        <w:rPr>
          <w:rFonts w:ascii="Times New Roman" w:hAnsi="Times New Roman" w:hint="eastAsia"/>
          <w:color w:val="auto"/>
          <w:kern w:val="2"/>
          <w:szCs w:val="21"/>
          <w:highlight w:val="none"/>
        </w:rPr>
        <w:fldChar w:fldCharType="begin"/>
      </w:r>
      <w:r>
        <w:rPr>
          <w:rFonts w:ascii="Times New Roman" w:hAnsi="Times New Roman" w:hint="eastAsia"/>
          <w:color w:val="auto"/>
          <w:kern w:val="2"/>
          <w:szCs w:val="21"/>
          <w:highlight w:val="none"/>
        </w:rPr>
        <w:instrText xml:space="preserve"> = 4 \* GB3 \* MERGEFORMAT </w:instrText>
      </w:r>
      <w:r>
        <w:rPr>
          <w:rFonts w:ascii="Times New Roman" w:hAnsi="Times New Roman" w:hint="eastAsia"/>
          <w:color w:val="auto"/>
          <w:kern w:val="2"/>
          <w:szCs w:val="21"/>
          <w:highlight w:val="none"/>
        </w:rPr>
        <w:fldChar w:fldCharType="separate"/>
      </w:r>
      <w:r>
        <w:rPr>
          <w:rFonts w:ascii="Times New Roman" w:hAnsi="Times New Roman" w:hint="eastAsia"/>
          <w:color w:val="auto"/>
          <w:kern w:val="2"/>
          <w:szCs w:val="21"/>
          <w:highlight w:val="none"/>
        </w:rPr>
        <w:t>④</w:t>
      </w:r>
      <w:r>
        <w:rPr>
          <w:rFonts w:ascii="Times New Roman" w:hAnsi="Times New Roman" w:hint="eastAsia"/>
          <w:color w:val="auto"/>
          <w:kern w:val="2"/>
          <w:szCs w:val="21"/>
          <w:highlight w:val="none"/>
        </w:rPr>
        <w:fldChar w:fldCharType="end"/>
      </w:r>
      <w:r>
        <w:rPr>
          <w:rFonts w:ascii="Times New Roman" w:hAnsi="Times New Roman" w:hint="eastAsia"/>
          <w:color w:val="auto"/>
          <w:kern w:val="2"/>
          <w:szCs w:val="21"/>
          <w:highlight w:val="none"/>
        </w:rPr>
        <w:t>-</w:t>
      </w:r>
      <w:r>
        <w:rPr>
          <w:rFonts w:ascii="Times New Roman" w:hAnsi="Times New Roman" w:hint="eastAsia"/>
          <w:color w:val="auto"/>
          <w:kern w:val="2"/>
          <w:szCs w:val="21"/>
          <w:highlight w:val="none"/>
        </w:rPr>
        <w:fldChar w:fldCharType="begin"/>
      </w:r>
      <w:r>
        <w:rPr>
          <w:rFonts w:ascii="Times New Roman" w:hAnsi="Times New Roman" w:hint="eastAsia"/>
          <w:color w:val="auto"/>
          <w:kern w:val="2"/>
          <w:szCs w:val="21"/>
          <w:highlight w:val="none"/>
        </w:rPr>
        <w:instrText xml:space="preserve"> = 5 \* GB3 \* MERGEFORMAT </w:instrText>
      </w:r>
      <w:r>
        <w:rPr>
          <w:rFonts w:ascii="Times New Roman" w:hAnsi="Times New Roman" w:hint="eastAsia"/>
          <w:color w:val="auto"/>
          <w:kern w:val="2"/>
          <w:szCs w:val="21"/>
          <w:highlight w:val="none"/>
        </w:rPr>
        <w:fldChar w:fldCharType="separate"/>
      </w:r>
      <w:r>
        <w:rPr>
          <w:rFonts w:ascii="Times New Roman" w:hAnsi="Times New Roman" w:hint="eastAsia"/>
          <w:color w:val="auto"/>
          <w:kern w:val="2"/>
          <w:szCs w:val="21"/>
          <w:highlight w:val="none"/>
        </w:rPr>
        <w:t>⑤</w:t>
      </w:r>
      <w:r>
        <w:rPr>
          <w:rFonts w:ascii="Times New Roman" w:hAnsi="Times New Roman" w:hint="eastAsia"/>
          <w:color w:val="auto"/>
          <w:kern w:val="2"/>
          <w:szCs w:val="21"/>
          <w:highlight w:val="none"/>
        </w:rPr>
        <w:fldChar w:fldCharType="end"/>
      </w:r>
      <w:r>
        <w:rPr>
          <w:rFonts w:ascii="Times New Roman" w:hAnsi="Times New Roman" w:hint="eastAsia"/>
          <w:color w:val="auto"/>
          <w:kern w:val="2"/>
          <w:szCs w:val="21"/>
          <w:highlight w:val="none"/>
        </w:rPr>
        <w:t>；</w:t>
      </w:r>
      <w:r>
        <w:rPr>
          <w:rFonts w:ascii="Times New Roman" w:hAnsi="Times New Roman" w:hint="eastAsia"/>
          <w:color w:val="auto"/>
          <w:kern w:val="2"/>
          <w:szCs w:val="21"/>
          <w:highlight w:val="none"/>
        </w:rPr>
        <w:fldChar w:fldCharType="begin"/>
      </w:r>
      <w:r>
        <w:rPr>
          <w:rFonts w:ascii="Times New Roman" w:hAnsi="Times New Roman" w:hint="eastAsia"/>
          <w:color w:val="auto"/>
          <w:kern w:val="2"/>
          <w:szCs w:val="21"/>
          <w:highlight w:val="none"/>
        </w:rPr>
        <w:instrText xml:space="preserve"> = 7 \* GB3 \* MERGEFORMAT </w:instrText>
      </w:r>
      <w:r>
        <w:rPr>
          <w:rFonts w:ascii="Times New Roman" w:hAnsi="Times New Roman" w:hint="eastAsia"/>
          <w:color w:val="auto"/>
          <w:kern w:val="2"/>
          <w:szCs w:val="21"/>
          <w:highlight w:val="none"/>
        </w:rPr>
        <w:fldChar w:fldCharType="separate"/>
      </w:r>
      <w:r>
        <w:rPr>
          <w:rFonts w:ascii="Times New Roman" w:hAnsi="Times New Roman" w:hint="eastAsia"/>
          <w:color w:val="auto"/>
          <w:kern w:val="2"/>
          <w:szCs w:val="21"/>
          <w:highlight w:val="none"/>
        </w:rPr>
        <w:t>⑦</w:t>
      </w:r>
      <w:r>
        <w:rPr>
          <w:rFonts w:ascii="Times New Roman" w:hAnsi="Times New Roman" w:hint="eastAsia"/>
          <w:color w:val="auto"/>
          <w:kern w:val="2"/>
          <w:szCs w:val="21"/>
          <w:highlight w:val="none"/>
        </w:rPr>
        <w:fldChar w:fldCharType="end"/>
      </w:r>
      <w:r>
        <w:rPr>
          <w:rFonts w:ascii="Times New Roman" w:hAnsi="Times New Roman" w:hint="eastAsia"/>
          <w:color w:val="auto"/>
          <w:kern w:val="2"/>
          <w:szCs w:val="21"/>
          <w:highlight w:val="none"/>
        </w:rPr>
        <w:t>=</w:t>
      </w:r>
      <w:r>
        <w:rPr>
          <w:rFonts w:ascii="Times New Roman" w:hAnsi="Times New Roman" w:hint="eastAsia"/>
          <w:color w:val="auto"/>
          <w:kern w:val="2"/>
          <w:szCs w:val="21"/>
          <w:highlight w:val="none"/>
        </w:rPr>
        <w:fldChar w:fldCharType="begin"/>
      </w:r>
      <w:r>
        <w:rPr>
          <w:rFonts w:ascii="Times New Roman" w:hAnsi="Times New Roman" w:hint="eastAsia"/>
          <w:color w:val="auto"/>
          <w:kern w:val="2"/>
          <w:szCs w:val="21"/>
          <w:highlight w:val="none"/>
        </w:rPr>
        <w:instrText xml:space="preserve"> = 6 \* GB3 \* MERGEFORMAT </w:instrText>
      </w:r>
      <w:r>
        <w:rPr>
          <w:rFonts w:ascii="Times New Roman" w:hAnsi="Times New Roman" w:hint="eastAsia"/>
          <w:color w:val="auto"/>
          <w:kern w:val="2"/>
          <w:szCs w:val="21"/>
          <w:highlight w:val="none"/>
        </w:rPr>
        <w:fldChar w:fldCharType="separate"/>
      </w:r>
      <w:r>
        <w:rPr>
          <w:rFonts w:ascii="Times New Roman" w:hAnsi="Times New Roman" w:hint="eastAsia"/>
          <w:color w:val="auto"/>
          <w:kern w:val="2"/>
          <w:szCs w:val="21"/>
          <w:highlight w:val="none"/>
        </w:rPr>
        <w:t>⑥</w:t>
      </w:r>
      <w:r>
        <w:rPr>
          <w:rFonts w:ascii="Times New Roman" w:hAnsi="Times New Roman" w:hint="eastAsia"/>
          <w:color w:val="auto"/>
          <w:kern w:val="2"/>
          <w:szCs w:val="21"/>
          <w:highlight w:val="none"/>
        </w:rPr>
        <w:fldChar w:fldCharType="end"/>
      </w:r>
      <w:r>
        <w:rPr>
          <w:rFonts w:ascii="Times New Roman" w:hAnsi="Times New Roman" w:hint="eastAsia"/>
          <w:color w:val="auto"/>
          <w:kern w:val="2"/>
          <w:szCs w:val="21"/>
          <w:highlight w:val="none"/>
        </w:rPr>
        <w:t>-</w:t>
      </w:r>
      <w:r>
        <w:rPr>
          <w:rFonts w:ascii="Times New Roman" w:hAnsi="Times New Roman" w:hint="eastAsia"/>
          <w:color w:val="auto"/>
          <w:kern w:val="2"/>
          <w:szCs w:val="21"/>
          <w:highlight w:val="none"/>
        </w:rPr>
        <w:fldChar w:fldCharType="begin"/>
      </w:r>
      <w:r>
        <w:rPr>
          <w:rFonts w:ascii="Times New Roman" w:hAnsi="Times New Roman" w:hint="eastAsia"/>
          <w:color w:val="auto"/>
          <w:kern w:val="2"/>
          <w:szCs w:val="21"/>
          <w:highlight w:val="none"/>
        </w:rPr>
        <w:instrText xml:space="preserve"> = 1 \* GB3 \* MERGEFORMAT </w:instrText>
      </w:r>
      <w:r>
        <w:rPr>
          <w:rFonts w:ascii="Times New Roman" w:hAnsi="Times New Roman" w:hint="eastAsia"/>
          <w:color w:val="auto"/>
          <w:kern w:val="2"/>
          <w:szCs w:val="21"/>
          <w:highlight w:val="none"/>
        </w:rPr>
        <w:fldChar w:fldCharType="separate"/>
      </w:r>
      <w:r>
        <w:rPr>
          <w:rFonts w:ascii="Times New Roman" w:hAnsi="Times New Roman" w:hint="eastAsia"/>
          <w:color w:val="auto"/>
          <w:kern w:val="2"/>
          <w:szCs w:val="21"/>
          <w:highlight w:val="none"/>
        </w:rPr>
        <w:t>①</w:t>
      </w:r>
      <w:r>
        <w:rPr>
          <w:rFonts w:ascii="Times New Roman" w:hAnsi="Times New Roman" w:hint="eastAsia"/>
          <w:color w:val="auto"/>
          <w:kern w:val="2"/>
          <w:szCs w:val="21"/>
          <w:highlight w:val="none"/>
        </w:rPr>
        <w:fldChar w:fldCharType="end"/>
      </w:r>
      <w:bookmarkEnd w:id="66"/>
      <w:bookmarkEnd w:id="67"/>
      <w:bookmarkEnd w:id="68"/>
      <w:bookmarkEnd w:id="69"/>
      <w:bookmarkEnd w:id="70"/>
    </w:p>
    <w:sectPr>
      <w:pgSz w:w="16838" w:h="11906" w:orient="landscape"/>
      <w:pgMar w:top="720" w:right="720" w:bottom="720" w:left="720" w:header="851" w:footer="992" w:gutter="0"/>
      <w:pgBorders>
        <w:top w:val="none" w:sz="0" w:space="0" w:color="auto"/>
        <w:left w:val="none" w:sz="0" w:space="0" w:color="auto"/>
        <w:bottom w:val="none" w:sz="0" w:space="0" w:color="auto"/>
        <w:right w:val="none" w:sz="0" w:space="0" w:color="auto"/>
      </w:pgBorders>
      <w:pgNumType/>
      <w:cols w:num="1" w:space="720"/>
      <w:docGrid w:type="lines" w:linePitch="312" w:charSpace="0"/>
    </w:sectPr>
  </w:body>
</w:document>
</file>

<file path=word/fontTable.xml><?xml version="1.0" encoding="utf-8"?>
<w:fonts xmlns:w="http://schemas.openxmlformats.org/wordprocessingml/2006/main" xmlns:r="http://schemas.openxmlformats.org/officeDocument/2006/relationships">
  <w:font w:name="楷体_GB2312">
    <w:altName w:val="楷体"/>
    <w:panose1 w:val="02010609030101010101"/>
    <w:charset w:val="86"/>
    <w:family w:val="modern"/>
    <w:pitch w:val="variable"/>
    <w:sig w:usb0="00000000" w:usb1="00000000" w:usb2="00000000" w:usb3="00000000" w:csb0="00040000" w:csb1="00000000"/>
  </w:font>
  <w:font w:name="方正小标宋_GBK">
    <w:panose1 w:val="02000000000000000000"/>
    <w:charset w:val="86"/>
    <w:family w:val="script"/>
    <w:pitch w:val="variable"/>
    <w:sig w:usb0="A00002BF" w:usb1="38CF7CFA" w:usb2="00082016" w:usb3="00000000" w:csb0="00040001" w:csb1="00000000"/>
  </w:font>
  <w:font w:name="Times New Roman">
    <w:panose1 w:val="02020603050405020304"/>
    <w:charset w:val="86"/>
    <w:family w:val="auto"/>
    <w:pitch w:val="variable"/>
    <w:sig w:usb0="E0002AFF" w:usb1="C0007841" w:usb2="00000009" w:usb3="00000000" w:csb0="400001FF" w:csb1="FFFF0000"/>
  </w:font>
  <w:font w:name="仿宋_GB2312">
    <w:altName w:val="仿宋"/>
    <w:panose1 w:val="02010609030101010101"/>
    <w:charset w:val="86"/>
    <w:family w:val="modern"/>
    <w:pitch w:val="variable"/>
    <w:sig w:usb0="00000001" w:usb1="080E0000" w:usb2="00000000" w:usb3="00000000" w:csb0="00040000" w:csb1="00000000"/>
  </w:font>
  <w:font w:name="宋体">
    <w:panose1 w:val="02010600030101010101"/>
    <w:charset w:val="81"/>
    <w:family w:val="auto"/>
    <w:pitch w:val="variable"/>
    <w:sig w:usb0="00000003" w:usb1="288F0000" w:usb2="00000006" w:usb3="00000000" w:csb0="00040001" w:csb1="00000000"/>
  </w:font>
  <w:font w:name="黑体">
    <w:panose1 w:val="02010609060101010101"/>
    <w:charset w:val="86"/>
    <w:family w:val="auto"/>
    <w:pitch w:val="variable"/>
    <w:sig w:usb0="800002BF" w:usb1="38CF7CFA" w:usb2="00000016" w:usb3="00000000" w:csb0="00040001" w:csb1="00000000"/>
  </w:font>
  <w:font w:name="Segoe UI">
    <w:panose1 w:val="020B0502040204020203"/>
    <w:charset w:val="00"/>
    <w:family w:val="auto"/>
    <w:pitch w:val="variable"/>
    <w:sig w:usb0="E10022FF" w:usb1="C000E47F" w:usb2="00000029" w:usb3="00000000" w:csb0="200001DF" w:csb1="20000000"/>
  </w:font>
  <w:font w:name="Calibri">
    <w:panose1 w:val="020F0502020204030204"/>
    <w:charset w:val="00"/>
    <w:family w:val="swiss"/>
    <w:pitch w:val="variable"/>
    <w:sig w:usb0="E00002FF" w:usb1="4000ACFF" w:usb2="00000001" w:usb3="00000000" w:csb0="2000019F" w:csb1="00000000"/>
  </w:font>
  <w:font w:name="微软雅黑">
    <w:panose1 w:val="020B0503020204020204"/>
    <w:charset w:val="86"/>
    <w:family w:val="auto"/>
    <w:pitch w:val="variable"/>
    <w:sig w:usb0="80000287" w:usb1="280F3C52" w:usb2="00000016" w:usb3="00000000" w:csb0="0004001F" w:csb1="00000000"/>
  </w:font>
  <w:font w:name="Arial">
    <w:panose1 w:val="020B0604020202020204"/>
    <w:charset w:val="01"/>
    <w:family w:val="swiss"/>
    <w:pitch w:val="variable"/>
    <w:sig w:usb0="E0002AFF" w:usb1="C0007843" w:usb2="00000009" w:usb3="00000000" w:csb0="400001FF" w:csb1="FFFF0000"/>
  </w:font>
  <w:font w:name="Calibri Light">
    <w:panose1 w:val="020F0302020204030204"/>
    <w:charset w:val="00"/>
    <w:family w:val="swiss"/>
    <w:pitch w:val="variable"/>
    <w:sig w:usb0="A00002EF" w:usb1="4000207B" w:usb2="00000000" w:usb3="00000000" w:csb0="2000019F" w:csb1="00000000"/>
  </w:font>
  <w:font w:name="Courier New">
    <w:panose1 w:val="02070309020205020404"/>
    <w:charset w:val="01"/>
    <w:family w:val="modern"/>
    <w:pitch w:val="variable"/>
    <w:sig w:usb0="E0002AFF" w:usb1="C0007843" w:usb2="00000009" w:usb3="00000000" w:csb0="400001FF" w:csb1="FFFF0000"/>
  </w:font>
  <w:font w:name="monospace">
    <w:altName w:val="幼圆"/>
    <w:panose1 w:val="00000000000000000000"/>
    <w:charset w:val="00"/>
    <w:family w:val="auto"/>
    <w:pitch w:val="variable"/>
    <w:sig w:usb0="00000000" w:usb1="00000000" w:usb2="00000000" w:usb3="00000000" w:csb0="00040001" w:csb1="00000000"/>
  </w:font>
  <w:font w:name="楷体">
    <w:panose1 w:val="02010609060101010101"/>
    <w:charset w:val="86"/>
    <w:family w:val="auto"/>
    <w:pitch w:val="variable"/>
    <w:sig w:usb0="800002BF" w:usb1="38CF7CFA" w:usb2="00000016" w:usb3="00000000" w:csb0="00040001"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6"/>
      <w:tabs>
        <w:tab w:val="center" w:pos="4153"/>
        <w:tab w:val="right" w:pos="8306"/>
      </w:tabs>
      <w:ind w:right="360" w:firstLine="360"/>
    </w:pP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6"/>
      <w:tabs>
        <w:tab w:val="center" w:pos="4153"/>
        <w:tab w:val="right" w:pos="8306"/>
      </w:tabs>
      <w:ind w:right="360" w:firstLine="360"/>
    </w:pPr>
  </w:p>
</w:ftr>
</file>

<file path=word/footer3.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6"/>
      <w:tabs>
        <w:tab w:val="center" w:pos="4153"/>
        <w:tab w:val="right" w:pos="8306"/>
      </w:tabs>
      <w:ind w:right="360" w:firstLine="360"/>
    </w:pPr>
    <w:r>
      <w:rPr>
        <w:sz w:val="18"/>
      </w:rPr>
      <mc:AlternateContent>
        <mc:Choice Requires="wps">
          <w:drawing>
            <wp:anchor distT="0" distB="0" distL="114300" distR="114300" simplePos="0" relativeHeight="198" behindDoc="0" locked="0" layoutInCell="1" hidden="0" allowOverlap="1">
              <wp:simplePos x="0" y="0"/>
              <wp:positionH relativeFrom="margin">
                <wp:align>right</wp:align>
              </wp:positionH>
              <wp:positionV relativeFrom="paragraph">
                <wp:posOffset>0</wp:posOffset>
              </wp:positionV>
              <wp:extent cx="400050" cy="131433"/>
              <wp:wrapNone/>
              <wp:docPr id="45" name="文本框 45"/>
              <wp:cNvGraphicFramePr>
                <a:graphicFrameLocks noChangeAspect="0"/>
              </wp:cNvGraphicFramePr>
              <a:graphic>
                <a:graphicData uri="http://schemas.microsoft.com/office/word/2010/wordprocessingShape">
                  <wps:wsp>
                    <wps:cNvSpPr/>
                    <wps:spPr>
                      <a:xfrm rot="0">
                        <a:off x="0" y="0"/>
                        <a:ext cx="400050" cy="131433"/>
                      </a:xfrm>
                      <a:prstGeom prst="rect"/>
                      <a:noFill/>
                      <a:ln w="6350" cmpd="sng" cap="flat">
                        <a:noFill/>
                        <a:prstDash val="solid"/>
                        <a:round/>
                      </a:ln>
                    </wps:spPr>
                    <wps:txbx id="1">
                      <w:txbxContent>
                        <w:p>
                          <w:pPr>
                            <w:pStyle w:val="26"/>
                            <w:tabs>
                              <w:tab w:val="center" w:pos="4153"/>
                              <w:tab w:val="right" w:pos="8306"/>
                            </w:tabs>
                          </w:pPr>
                          <w:r>
                            <w:t xml:space="preserve">— </w:t>
                          </w:r>
                          <w:r>
                            <w:fldChar w:fldCharType="begin"/>
                          </w:r>
                          <w:r>
                            <w:instrText xml:space="preserve"> PAGE  \* MERGEFORMAT </w:instrText>
                          </w:r>
                          <w:r>
                            <w:fldChar w:fldCharType="separate"/>
                          </w:r>
                          <w:r>
                            <w:t>1</w:t>
                          </w:r>
                          <w:r>
                            <w:fldChar w:fldCharType="end"/>
                          </w:r>
                          <w:r>
                            <w:t xml:space="preserve"> —</w:t>
                          </w:r>
                        </w:p>
                      </w:txbxContent>
                    </wps:txbx>
                    <wps:bodyPr vert="horz" wrap="none" lIns="0" tIns="0" rIns="0" bIns="0" anchor="t" anchorCtr="0" upright="0">
                      <a:spAutoFit/>
                    </wps:bodyPr>
                  </wps:wsp>
                </a:graphicData>
              </a:graphic>
            </wp:anchor>
          </w:drawing>
        </mc:Choice>
        <mc:Fallback>
          <w:pict>
            <v:rect type="#_x0000_t1" id="文本框 45" o:spid="_x0000_s2" filled="f" stroked="f" strokeweight="0.5pt" style="position:absolute;margin-left:0.0pt;margin-top:0.0pt;width:31.5pt;height:10.349121pt;z-index:198;mso-position-horizontal:right;mso-position-horizontal-relative:margin;mso-position-vertical:absolute;mso-wrap-style:none;">
              <v:stroke/>
              <v:textbox id="931" inset="0mm,0mm,0mm,0mm" o:insetmode="custom" style="layout-flow:horizontal;v-text-anchor:top;mso-fit-shape-to-text:t;">
                <w:txbxContent>
                  <w:p>
                    <w:pPr>
                      <w:pStyle w:val="26"/>
                      <w:tabs>
                        <w:tab w:val="center" w:pos="4153"/>
                        <w:tab w:val="right" w:pos="8306"/>
                      </w:tabs>
                    </w:pPr>
                    <w:r>
                      <w:t xml:space="preserve">— </w:t>
                    </w:r>
                    <w:r>
                      <w:fldChar w:fldCharType="begin"/>
                    </w:r>
                    <w:r>
                      <w:instrText xml:space="preserve"> PAGE  \* MERGEFORMAT </w:instrText>
                    </w:r>
                    <w:r>
                      <w:fldChar w:fldCharType="separate"/>
                    </w:r>
                    <w:r>
                      <w:t>1</w:t>
                    </w:r>
                    <w:r>
                      <w:fldChar w:fldCharType="end"/>
                    </w:r>
                    <w:r>
                      <w:t xml:space="preserve"> —</w:t>
                    </w:r>
                  </w:p>
                </w:txbxContent>
              </v:textbox>
            </v:rect>
          </w:pict>
        </mc:Fallback>
      </mc:AlternateContent>
    </w:r>
  </w:p>
</w:ftr>
</file>

<file path=word/footer4.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6"/>
      <w:tabs>
        <w:tab w:val="center" w:pos="4153"/>
        <w:tab w:val="right" w:pos="8306"/>
      </w:tabs>
      <w:ind w:right="360" w:firstLine="360"/>
    </w:pPr>
    <w:r>
      <w:rPr>
        <w:sz w:val="18"/>
      </w:rPr>
      <mc:AlternateContent>
        <mc:Choice Requires="wps">
          <w:drawing>
            <wp:anchor distT="0" distB="0" distL="114300" distR="114300" simplePos="0" relativeHeight="200" behindDoc="0" locked="0" layoutInCell="1" hidden="0" allowOverlap="1">
              <wp:simplePos x="0" y="0"/>
              <wp:positionH relativeFrom="margin">
                <wp:align>right</wp:align>
              </wp:positionH>
              <wp:positionV relativeFrom="paragraph">
                <wp:posOffset>0</wp:posOffset>
              </wp:positionV>
              <wp:extent cx="400050" cy="131433"/>
              <wp:wrapNone/>
              <wp:docPr id="46" name="文本框 46"/>
              <wp:cNvGraphicFramePr>
                <a:graphicFrameLocks noChangeAspect="0"/>
              </wp:cNvGraphicFramePr>
              <a:graphic>
                <a:graphicData uri="http://schemas.microsoft.com/office/word/2010/wordprocessingShape">
                  <wps:wsp>
                    <wps:cNvSpPr/>
                    <wps:spPr>
                      <a:xfrm rot="0">
                        <a:off x="0" y="0"/>
                        <a:ext cx="400050" cy="131433"/>
                      </a:xfrm>
                      <a:prstGeom prst="rect"/>
                      <a:noFill/>
                      <a:ln w="6350" cmpd="sng" cap="flat">
                        <a:noFill/>
                        <a:prstDash val="solid"/>
                        <a:round/>
                      </a:ln>
                    </wps:spPr>
                    <wps:txbx id="123">
                      <w:txbxContent>
                        <w:p>
                          <w:pPr>
                            <w:pStyle w:val="26"/>
                            <w:tabs>
                              <w:tab w:val="center" w:pos="4153"/>
                              <w:tab w:val="right" w:pos="8306"/>
                            </w:tabs>
                          </w:pPr>
                          <w:r>
                            <w:t xml:space="preserve">— </w:t>
                          </w:r>
                          <w:r>
                            <w:fldChar w:fldCharType="begin"/>
                          </w:r>
                          <w:r>
                            <w:instrText xml:space="preserve"> PAGE  \* MERGEFORMAT </w:instrText>
                          </w:r>
                          <w:r>
                            <w:fldChar w:fldCharType="separate"/>
                          </w:r>
                          <w:r>
                            <w:t>55</w:t>
                          </w:r>
                          <w:r>
                            <w:fldChar w:fldCharType="end"/>
                          </w:r>
                          <w:r>
                            <w:t xml:space="preserve"> —</w:t>
                          </w:r>
                        </w:p>
                      </w:txbxContent>
                    </wps:txbx>
                    <wps:bodyPr vert="horz" wrap="none" lIns="0" tIns="0" rIns="0" bIns="0" anchor="t" anchorCtr="0" upright="0">
                      <a:spAutoFit/>
                    </wps:bodyPr>
                  </wps:wsp>
                </a:graphicData>
              </a:graphic>
            </wp:anchor>
          </w:drawing>
        </mc:Choice>
        <mc:Fallback>
          <w:pict>
            <v:rect type="#_x0000_t1" id="文本框 46" o:spid="_x0000_s124" filled="f" stroked="f" strokeweight="0.5pt" style="position:absolute;margin-left:0.0pt;margin-top:0.0pt;width:31.5pt;height:10.349055pt;z-index:200;mso-position-horizontal:right;mso-position-horizontal-relative:margin;mso-position-vertical:absolute;mso-wrap-style:none;">
              <v:stroke/>
              <v:textbox id="932" inset="0mm,0mm,0mm,0mm" o:insetmode="custom" style="layout-flow:horizontal;v-text-anchor:top;mso-fit-shape-to-text:t;">
                <w:txbxContent>
                  <w:p>
                    <w:pPr>
                      <w:pStyle w:val="26"/>
                      <w:tabs>
                        <w:tab w:val="center" w:pos="4153"/>
                        <w:tab w:val="right" w:pos="8306"/>
                      </w:tabs>
                    </w:pPr>
                    <w:r>
                      <w:t xml:space="preserve">— </w:t>
                    </w:r>
                    <w:r>
                      <w:fldChar w:fldCharType="begin"/>
                    </w:r>
                    <w:r>
                      <w:instrText xml:space="preserve"> PAGE  \* MERGEFORMAT </w:instrText>
                    </w:r>
                    <w:r>
                      <w:fldChar w:fldCharType="separate"/>
                    </w:r>
                    <w:r>
                      <w:t>55</w:t>
                    </w:r>
                    <w:r>
                      <w:fldChar w:fldCharType="end"/>
                    </w:r>
                    <w:r>
                      <w:t xml:space="preserve"> —</w:t>
                    </w:r>
                  </w:p>
                </w:txbxContent>
              </v:textbox>
            </v:rect>
          </w:pict>
        </mc:Fallback>
      </mc:AlternateContent>
    </w:r>
  </w:p>
</w:ft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81A99585"/>
    <w:multiLevelType w:val="singleLevel"/>
    <w:tmpl w:val="81A99585"/>
    <w:lvl w:ilvl="0">
      <w:start w:val="7"/>
      <w:numFmt w:val="decimal"/>
      <w:lvlRestart w:val="0"/>
      <w:suff w:val="nothing"/>
      <w:lvlText w:val="%1、"/>
      <w:lvlJc w:val="left"/>
      <w:pPr/>
    </w:lvl>
  </w:abstractNum>
  <w:abstractNum w:abstractNumId="1">
    <w:nsid w:val="BEB5720A"/>
    <w:multiLevelType w:val="singleLevel"/>
    <w:tmpl w:val="BEB5720A"/>
    <w:lvl w:ilvl="0">
      <w:start w:val="10"/>
      <w:numFmt w:val="decimal"/>
      <w:lvlRestart w:val="0"/>
      <w:suff w:val="nothing"/>
      <w:lvlText w:val="（%1）"/>
      <w:lvlJc w:val="left"/>
      <w:pPr/>
    </w:lvl>
  </w:abstractNum>
  <w:abstractNum w:abstractNumId="2">
    <w:nsid w:val="CD933211"/>
    <w:multiLevelType w:val="singleLevel"/>
    <w:tmpl w:val="CD933211"/>
    <w:lvl w:ilvl="0">
      <w:start w:val="2"/>
      <w:numFmt w:val="chineseCounting"/>
      <w:lvlRestart w:val="0"/>
      <w:suff w:val="nothing"/>
      <w:lvlText w:val="%1、"/>
      <w:lvlJc w:val="left"/>
      <w:pPr/>
      <w:rPr>
        <w:rFonts w:hint="eastAsia"/>
      </w:rPr>
    </w:lvl>
  </w:abstractNum>
  <w:abstractNum w:abstractNumId="3">
    <w:nsid w:val="A66E5D0F"/>
    <w:multiLevelType w:val="singleLevel"/>
    <w:tmpl w:val="A66E5D0F"/>
    <w:lvl w:ilvl="0">
      <w:start w:val="3"/>
      <w:numFmt w:val="decimal"/>
      <w:lvlRestart w:val="0"/>
      <w:suff w:val="nothing"/>
      <w:lvlText w:val="%1、"/>
      <w:lvlJc w:val="left"/>
      <w:pPr/>
    </w:lvl>
  </w:abstractNum>
  <w:abstractNum w:abstractNumId="4">
    <w:nsid w:val="66CA1CFE"/>
    <w:multiLevelType w:val="multilevel"/>
    <w:tmpl w:val="66CA1CFE"/>
    <w:lvl w:ilvl="0">
      <w:start w:val="1"/>
      <w:numFmt w:val="decimal"/>
      <w:lvlRestart w:val="0"/>
      <w:pStyle w:val="89"/>
      <w:lvlText w:val="%1"/>
      <w:lvlJc w:val="left"/>
      <w:pPr>
        <w:tabs>
          <w:tab w:val="num" w:pos="425"/>
        </w:tabs>
        <w:ind w:left="425" w:hanging="425"/>
      </w:pPr>
      <w:rPr>
        <w:rFonts w:hint="eastAsia"/>
      </w:rPr>
    </w:lvl>
    <w:lvl w:ilvl="1">
      <w:start w:val="1"/>
      <w:numFmt w:val="decimal"/>
      <w:lvlText w:val="%1.%2"/>
      <w:lvlJc w:val="left"/>
      <w:pPr>
        <w:tabs>
          <w:tab w:val="num" w:pos="992"/>
        </w:tabs>
        <w:ind w:left="992" w:hanging="567"/>
      </w:pPr>
      <w:rPr>
        <w:rFonts w:hint="eastAsia"/>
      </w:rPr>
    </w:lvl>
    <w:lvl w:ilvl="2">
      <w:start w:val="1"/>
      <w:numFmt w:val="decimal"/>
      <w:lvlText w:val="%1.%2.%3"/>
      <w:lvlJc w:val="left"/>
      <w:pPr>
        <w:tabs>
          <w:tab w:val="num" w:pos="1571"/>
        </w:tabs>
        <w:ind w:left="1418" w:hanging="567"/>
      </w:pPr>
      <w:rPr>
        <w:rFonts w:hint="eastAsia"/>
      </w:rPr>
    </w:lvl>
    <w:lvl w:ilvl="3">
      <w:start w:val="1"/>
      <w:numFmt w:val="decimal"/>
      <w:lvlText w:val="%1.%2.%3.%4"/>
      <w:lvlJc w:val="left"/>
      <w:pPr>
        <w:tabs>
          <w:tab w:val="num" w:pos="2356"/>
        </w:tabs>
        <w:ind w:left="1984" w:hanging="708"/>
      </w:pPr>
      <w:rPr>
        <w:rFonts w:hint="eastAsia"/>
      </w:rPr>
    </w:lvl>
    <w:lvl w:ilvl="4">
      <w:start w:val="1"/>
      <w:numFmt w:val="decimal"/>
      <w:lvlText w:val="%1.%2.%3.%4.%5"/>
      <w:lvlJc w:val="left"/>
      <w:pPr>
        <w:tabs>
          <w:tab w:val="num" w:pos="3141"/>
        </w:tabs>
        <w:ind w:left="2551" w:hanging="850"/>
      </w:pPr>
      <w:rPr>
        <w:rFonts w:hint="eastAsia"/>
      </w:rPr>
    </w:lvl>
    <w:lvl w:ilvl="5">
      <w:start w:val="1"/>
      <w:numFmt w:val="decimal"/>
      <w:lvlText w:val="%1.%2.%3.%4.%5.%6"/>
      <w:lvlJc w:val="left"/>
      <w:pPr>
        <w:tabs>
          <w:tab w:val="num" w:pos="3566"/>
        </w:tabs>
        <w:ind w:left="3260" w:hanging="1134"/>
      </w:pPr>
      <w:rPr>
        <w:rFonts w:hint="eastAsia"/>
      </w:rPr>
    </w:lvl>
    <w:lvl w:ilvl="6">
      <w:start w:val="1"/>
      <w:numFmt w:val="decimal"/>
      <w:lvlText w:val="%1.%2.%3.%4.%5.%6.%7"/>
      <w:lvlJc w:val="left"/>
      <w:pPr>
        <w:tabs>
          <w:tab w:val="num" w:pos="4351"/>
        </w:tabs>
        <w:ind w:left="3827" w:hanging="1276"/>
      </w:pPr>
      <w:rPr>
        <w:rFonts w:hint="eastAsia"/>
      </w:rPr>
    </w:lvl>
    <w:lvl w:ilvl="7">
      <w:start w:val="1"/>
      <w:numFmt w:val="decimal"/>
      <w:lvlText w:val="%1.%2.%3.%4.%5.%6.%7.%8"/>
      <w:lvlJc w:val="left"/>
      <w:pPr>
        <w:tabs>
          <w:tab w:val="num" w:pos="5136"/>
        </w:tabs>
        <w:ind w:left="4394" w:hanging="1418"/>
      </w:pPr>
      <w:rPr>
        <w:rFonts w:hint="eastAsia"/>
      </w:rPr>
    </w:lvl>
    <w:lvl w:ilvl="8">
      <w:start w:val="1"/>
      <w:numFmt w:val="decimal"/>
      <w:lvlText w:val="%1.%2.%3.%4.%5.%6.%7.%8.%9"/>
      <w:lvlJc w:val="left"/>
      <w:pPr>
        <w:tabs>
          <w:tab w:val="num" w:pos="5562"/>
        </w:tabs>
        <w:ind w:left="5102" w:hanging="1700"/>
      </w:pPr>
      <w:rPr>
        <w:rFonts w:hint="eastAsia"/>
      </w:rPr>
    </w:lvl>
  </w:abstractNum>
  <w:abstractNum w:abstractNumId="5">
    <w:nsid w:val="599140BC"/>
    <w:multiLevelType w:val="multilevel"/>
    <w:tmpl w:val="5FFBAFD8"/>
    <w:lvl w:ilvl="0">
      <w:start w:val="1"/>
      <w:numFmt w:val="decimal"/>
      <w:lvlRestart w:val="0"/>
      <w:suff w:val="nothing"/>
      <w:lvlText w:val="%1"/>
      <w:lvlJc w:val="left"/>
      <w:pPr>
        <w:ind w:left="0" w:hanging="0"/>
      </w:pPr>
      <w:rPr>
        <w:rFonts w:ascii="Times New Roman" w:hAnsi="Times New Roman" w:eastAsia="宋体" w:cs="Times New Roman" w:hint="default"/>
        <w:snapToGrid w:val="0"/>
        <w:kern w:val="2"/>
        <w:sz w:val="32"/>
        <w:szCs w:val="32"/>
      </w:rPr>
    </w:lvl>
    <w:lvl w:ilvl="1">
      <w:start w:val="1"/>
      <w:numFmt w:val="decimal"/>
      <w:suff w:val="nothing"/>
      <w:lvlText w:val="%1.%2"/>
      <w:lvlJc w:val="left"/>
      <w:pPr>
        <w:tabs>
          <w:tab w:val="num" w:pos="2001"/>
        </w:tabs>
        <w:ind w:left="113" w:hanging="0"/>
      </w:pPr>
      <w:rPr>
        <w:rFonts w:ascii="Times New Roman" w:hAnsi="Times New Roman" w:eastAsia="宋体" w:cs="Times New Roman" w:hint="default"/>
        <w:snapToGrid w:val="0"/>
        <w:color w:val="auto"/>
        <w:spacing w:val="0"/>
        <w:kern w:val="2"/>
        <w:position w:val="0"/>
        <w:sz w:val="30"/>
        <w:szCs w:val="30"/>
      </w:rPr>
    </w:lvl>
    <w:lvl w:ilvl="2">
      <w:start w:val="1"/>
      <w:numFmt w:val="decimal"/>
      <w:suff w:val="nothing"/>
      <w:lvlText w:val="%1.%2.%3"/>
      <w:lvlJc w:val="left"/>
      <w:pPr>
        <w:tabs>
          <w:tab w:val="num" w:pos="0"/>
        </w:tabs>
        <w:ind w:left="284" w:hanging="0"/>
      </w:pPr>
      <w:rPr>
        <w:rFonts w:ascii="Times New Roman" w:hAnsi="Times New Roman" w:eastAsia="宋体" w:cs="Times New Roman" w:hint="default"/>
        <w:b/>
        <w:snapToGrid w:val="0"/>
        <w:color w:val="auto"/>
        <w:spacing w:val="0"/>
        <w:kern w:val="2"/>
        <w:position w:val="0"/>
        <w:sz w:val="28"/>
        <w:szCs w:val="28"/>
      </w:rPr>
    </w:lvl>
    <w:lvl w:ilvl="3">
      <w:start w:val="1"/>
      <w:numFmt w:val="decimal"/>
      <w:suff w:val="nothing"/>
      <w:lvlText w:val="%1.%2.%3.%4"/>
      <w:lvlJc w:val="left"/>
      <w:pPr>
        <w:ind w:left="0" w:firstLine="471"/>
      </w:pPr>
      <w:rPr>
        <w:rFonts w:ascii="Times New Roman" w:hAnsi="Times New Roman" w:eastAsia="宋体" w:cs="Times New Roman" w:hint="default"/>
        <w:b/>
        <w:snapToGrid w:val="0"/>
        <w:color w:val="auto"/>
        <w:spacing w:val="0"/>
        <w:kern w:val="2"/>
        <w:position w:val="0"/>
        <w:sz w:val="24"/>
        <w:szCs w:val="24"/>
      </w:rPr>
    </w:lvl>
    <w:lvl w:ilvl="4">
      <w:start w:val="1"/>
      <w:numFmt w:val="decimal"/>
      <w:lvlText w:val="%1.%2.%3.%4.%5"/>
      <w:lvlJc w:val="left"/>
      <w:pPr>
        <w:tabs>
          <w:tab w:val="num" w:pos="420"/>
        </w:tabs>
        <w:ind w:left="0" w:hanging="0"/>
      </w:pPr>
      <w:rPr>
        <w:rFonts w:hint="default"/>
      </w:rPr>
    </w:lvl>
    <w:lvl w:ilvl="5">
      <w:start w:val="1"/>
      <w:numFmt w:val="decimal"/>
      <w:pStyle w:val="108"/>
      <w:lvlText w:val="表%1.%2.%3-%6"/>
      <w:lvlJc w:val="center"/>
      <w:pPr>
        <w:tabs>
          <w:tab w:val="num" w:pos="0"/>
        </w:tabs>
        <w:ind w:left="0" w:hanging="0"/>
      </w:pPr>
      <w:rPr>
        <w:rFonts w:ascii="Times New Roman" w:hAnsi="Times New Roman" w:eastAsia="宋体" w:cs="Times New Roman" w:hint="default"/>
        <w:sz w:val="24"/>
        <w:szCs w:val="24"/>
      </w:rPr>
    </w:lvl>
    <w:lvl w:ilvl="6">
      <w:start w:val="1"/>
      <w:numFmt w:val="decimal"/>
      <w:lvlText w:val="%1.%2.%3.%4.%5.%6.%7"/>
      <w:lvlJc w:val="left"/>
      <w:pPr>
        <w:tabs>
          <w:tab w:val="num" w:pos="2147"/>
        </w:tabs>
        <w:ind w:left="0" w:hanging="0"/>
      </w:pPr>
      <w:rPr>
        <w:rFonts w:hint="eastAsia"/>
      </w:rPr>
    </w:lvl>
    <w:lvl w:ilvl="7">
      <w:start w:val="1"/>
      <w:numFmt w:val="decimal"/>
      <w:lvlText w:val="%1.%2.%3.%4.%5.%6.%7.%8"/>
      <w:lvlJc w:val="left"/>
      <w:pPr>
        <w:tabs>
          <w:tab w:val="num" w:pos="2291"/>
        </w:tabs>
        <w:ind w:left="0" w:hanging="0"/>
      </w:pPr>
      <w:rPr>
        <w:rFonts w:hint="eastAsia"/>
      </w:rPr>
    </w:lvl>
    <w:lvl w:ilvl="8">
      <w:start w:val="1"/>
      <w:numFmt w:val="decimal"/>
      <w:lvlText w:val="%1.%2.%3.%4.%5.%6.%7.%8.%9"/>
      <w:lvlJc w:val="left"/>
      <w:pPr>
        <w:tabs>
          <w:tab w:val="num" w:pos="2435"/>
        </w:tabs>
        <w:ind w:left="0" w:hanging="0"/>
      </w:pPr>
      <w:rPr>
        <w:rFonts w:hint="eastAsia"/>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16"/>
  <w:doNotDisplayPageBoundaries/>
  <w:bordersDoNotSurroundHeader w:val="0"/>
  <w:bordersDoNotSurroundFooter w:val="0"/>
  <w:documentProtection w:edit="trackedChanges" w:enforcement="0"/>
  <w:defaultTabStop w:val="420"/>
  <w:drawingGridHorizontalSpacing w:val="105"/>
  <w:drawingGridVerticalSpacing w:val="156"/>
  <w:displayHorizontalDrawingGridEvery w:val="1"/>
  <w:displayVerticalDrawingGridEvery w:val="1"/>
  <w:noPunctuationKerning/>
  <w:compat>
    <w:balanceSingleByteDoubleByteWidth/>
    <w:ulTrailSpace/>
    <w:doNotExpandShiftReturn/>
    <w:adjustLineHeightInTable/>
    <w:doNotUseIndentAsNumberingTabStop/>
    <w:compatSetting w:name="compatibilityMode" w:uri="http://schemas.microsoft.com/office/word" w:val="15"/>
  </w:compat>
  <w:docVars>
    <w:docVar w:name="commondata" w:val="eyJoZGlkIjoiZDQ4YjhmN2MxNWRhOWEzMzJjMGI3YmZlMjYzYzI4ZjkifQ=="/>
  </w:docVars>
  <m:mathPr>
    <m:mathFont m:val="Cambria Math"/>
    <m:brkBin m:val="before"/>
    <m:brkBinSub m:val="--"/>
    <m:smallFrac m:val="0"/>
    <m:dispDef/>
    <m:lMargin m:val="0"/>
    <m:rMargin m:val="0"/>
    <m:defJc m:val="centerGroup"/>
    <m:wrapIndent m:val="1440"/>
    <m:intLim m:val="subSup"/>
    <m:naryLim m:val="undOvr"/>
  </m:mathPr>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Arial"/>
        <w:lang w:val="en-US" w:eastAsia="zh-CN" w:bidi="ar-SA"/>
      </w:rPr>
    </w:rPrDefault>
    <w:pPrDefault/>
  </w:docDefaults>
  <w:style w:type="paragraph" w:default="1" w:styleId="0">
    <w:name w:val="Normal"/>
    <w:qFormat/>
    <w:pPr>
      <w:widowControl w:val="0"/>
      <w:jc w:val="both"/>
    </w:pPr>
    <w:rPr>
      <w:rFonts w:ascii="Times New Roman" w:eastAsia="宋体" w:cs="Times New Roman" w:hAnsi="Times New Roman"/>
      <w:kern w:val="2"/>
      <w:sz w:val="21"/>
      <w:szCs w:val="24"/>
      <w:lang w:val="en-US" w:eastAsia="zh-CN" w:bidi="ar-SA"/>
    </w:rPr>
  </w:style>
  <w:style w:type="paragraph" w:styleId="1">
    <w:name w:val="heading 1"/>
    <w:qFormat/>
    <w:basedOn w:val="0"/>
    <w:next w:val="0"/>
    <w:link w:val="1Char"/>
    <w:pPr>
      <w:keepNext/>
      <w:overflowPunct w:val="0"/>
      <w:snapToGrid w:val="0"/>
      <w:spacing w:before="120" w:after="160" w:line="259" w:lineRule="auto"/>
      <w:ind w:left="432" w:hanging="432"/>
      <w:outlineLvl w:val="0"/>
    </w:pPr>
    <w:rPr>
      <w:rFonts w:eastAsia="黑体"/>
      <w:b/>
      <w:bCs/>
      <w:color w:val="000000"/>
      <w:kern w:val="44"/>
      <w:sz w:val="30"/>
      <w:szCs w:val="30"/>
    </w:rPr>
  </w:style>
  <w:style w:type="character" w:customStyle="1" w:styleId="1Char">
    <w:name w:val="heading 1 Char"/>
    <w:basedOn w:val="10"/>
    <w:link w:val="1"/>
    <w:rPr>
      <w:rFonts w:ascii="Times New Roman" w:eastAsia="黑体" w:cs="Times New Roman" w:hAnsi="Times New Roman"/>
      <w:b/>
      <w:bCs/>
      <w:color w:val="000000"/>
      <w:kern w:val="44"/>
      <w:sz w:val="30"/>
      <w:szCs w:val="30"/>
      <w:lang w:val="en-US" w:eastAsia="zh-CN" w:bidi="ar-SA"/>
    </w:rPr>
  </w:style>
  <w:style w:type="paragraph" w:styleId="2">
    <w:name w:val="heading 2"/>
    <w:qFormat/>
    <w:basedOn w:val="0"/>
    <w:next w:val="0"/>
    <w:link w:val="2Char"/>
    <w:pPr>
      <w:keepNext/>
      <w:keepLines/>
      <w:spacing w:before="260" w:after="260" w:line="415" w:lineRule="auto"/>
      <w:outlineLvl w:val="1"/>
    </w:pPr>
    <w:rPr>
      <w:rFonts w:ascii="Arial" w:eastAsia="黑体" w:hAnsi="Arial"/>
      <w:b/>
      <w:bCs/>
      <w:sz w:val="32"/>
      <w:szCs w:val="32"/>
    </w:rPr>
  </w:style>
  <w:style w:type="character" w:customStyle="1" w:styleId="2Char">
    <w:name w:val="heading 2 Char"/>
    <w:basedOn w:val="10"/>
    <w:link w:val="2"/>
    <w:rPr>
      <w:rFonts w:ascii="Arial" w:eastAsia="黑体" w:cs="Times New Roman" w:hAnsi="Arial"/>
      <w:b/>
      <w:bCs/>
      <w:kern w:val="2"/>
      <w:sz w:val="32"/>
      <w:szCs w:val="32"/>
      <w:lang w:val="en-US" w:eastAsia="zh-CN" w:bidi="ar-SA"/>
    </w:rPr>
  </w:style>
  <w:style w:type="paragraph" w:styleId="3">
    <w:name w:val="heading 3"/>
    <w:qFormat/>
    <w:basedOn w:val="0"/>
    <w:next w:val="0"/>
    <w:link w:val="3Char"/>
    <w:pPr>
      <w:keepNext/>
      <w:keepLines/>
      <w:spacing w:before="260" w:after="260" w:line="360" w:lineRule="auto"/>
      <w:outlineLvl w:val="2"/>
    </w:pPr>
    <w:rPr>
      <w:b/>
      <w:bCs/>
      <w:sz w:val="24"/>
      <w:szCs w:val="32"/>
    </w:rPr>
  </w:style>
  <w:style w:type="character" w:customStyle="1" w:styleId="3Char">
    <w:name w:val="heading 3 Char"/>
    <w:basedOn w:val="10"/>
    <w:link w:val="3"/>
    <w:rPr>
      <w:rFonts w:ascii="Times New Roman" w:eastAsia="宋体" w:cs="Times New Roman" w:hAnsi="Times New Roman"/>
      <w:b/>
      <w:bCs/>
      <w:kern w:val="2"/>
      <w:sz w:val="24"/>
      <w:szCs w:val="32"/>
      <w:lang w:val="en-US" w:eastAsia="zh-CN" w:bidi="ar-SA"/>
    </w:rPr>
  </w:style>
  <w:style w:type="paragraph" w:styleId="4">
    <w:name w:val="heading 4"/>
    <w:qFormat/>
    <w:basedOn w:val="0"/>
    <w:next w:val="0"/>
    <w:link w:val="4Char"/>
    <w:pPr>
      <w:keepNext/>
      <w:keepLines/>
      <w:spacing w:line="440" w:lineRule="exact"/>
      <w:ind w:firstLineChars="200" w:firstLine="200"/>
      <w:outlineLvl w:val="3"/>
    </w:pPr>
    <w:rPr>
      <w:rFonts w:ascii="Calibri Light" w:hAnsi="Calibri Light"/>
      <w:bCs/>
      <w:kern w:val="0"/>
      <w:sz w:val="24"/>
      <w:szCs w:val="28"/>
    </w:rPr>
  </w:style>
  <w:style w:type="character" w:customStyle="1" w:styleId="4Char">
    <w:name w:val="heading 4 Char"/>
    <w:basedOn w:val="10"/>
    <w:link w:val="4"/>
    <w:rPr>
      <w:rFonts w:ascii="Calibri Light" w:eastAsia="宋体" w:cs="Times New Roman" w:hAnsi="Calibri Light"/>
      <w:bCs/>
      <w:kern w:val="0"/>
      <w:sz w:val="24"/>
      <w:szCs w:val="28"/>
      <w:lang w:val="en-US" w:eastAsia="zh-CN" w:bidi="ar-SA"/>
    </w:rPr>
  </w:style>
  <w:style w:type="character" w:default="1" w:styleId="10">
    <w:name w:val="Default Paragraph Font"/>
    <w:qFormat/>
  </w:style>
  <w:style w:type="paragraph" w:styleId="15">
    <w:name w:val="Note Heading"/>
    <w:qFormat/>
    <w:basedOn w:val="0"/>
    <w:next w:val="0"/>
    <w:pPr>
      <w:jc w:val="center"/>
    </w:pPr>
    <w:rPr>
      <w:rFonts w:ascii="宋体" w:hAnsi="Calibri"/>
      <w:kern w:val="0"/>
      <w:sz w:val="24"/>
    </w:rPr>
  </w:style>
  <w:style w:type="paragraph" w:styleId="16">
    <w:name w:val="Normal Indent"/>
    <w:qFormat/>
    <w:basedOn w:val="0"/>
    <w:next w:val="17"/>
    <w:pPr>
      <w:adjustRightInd w:val="0"/>
      <w:snapToGrid w:val="0"/>
      <w:spacing w:line="460" w:lineRule="atLeast"/>
      <w:ind w:firstLineChars="200" w:firstLine="200"/>
    </w:pPr>
    <w:rPr>
      <w:rFonts w:ascii="Calibri" w:hAnsi="Calibri"/>
      <w:kern w:val="0"/>
      <w:sz w:val="28"/>
    </w:rPr>
  </w:style>
  <w:style w:type="paragraph" w:styleId="17">
    <w:name w:val="Plain Text"/>
    <w:qFormat/>
    <w:basedOn w:val="0"/>
    <w:rPr>
      <w:rFonts w:ascii="宋体" w:hAnsi="Courier New"/>
      <w:kern w:val="0"/>
      <w:sz w:val="20"/>
    </w:rPr>
  </w:style>
  <w:style w:type="paragraph" w:styleId="18">
    <w:name w:val="caption"/>
    <w:qFormat/>
    <w:basedOn w:val="0"/>
    <w:next w:val="0"/>
    <w:pPr>
      <w:spacing w:before="152" w:after="160"/>
      <w:jc w:val="center"/>
    </w:pPr>
    <w:rPr>
      <w:rFonts w:ascii="黑体" w:eastAsia="黑体" w:cs="Arial" w:hAnsi="Arial"/>
      <w:szCs w:val="20"/>
    </w:rPr>
  </w:style>
  <w:style w:type="paragraph" w:styleId="19">
    <w:name w:val="Document Map"/>
    <w:qFormat/>
    <w:basedOn w:val="0"/>
    <w:rPr>
      <w:rFonts w:ascii="微软雅黑" w:hAnsi="微软雅黑"/>
      <w:sz w:val="18"/>
      <w:szCs w:val="18"/>
    </w:rPr>
  </w:style>
  <w:style w:type="paragraph" w:styleId="20">
    <w:name w:val="annotation text"/>
    <w:qFormat/>
    <w:basedOn w:val="0"/>
    <w:pPr>
      <w:jc w:val="left"/>
    </w:pPr>
    <w:rPr>
      <w:kern w:val="0"/>
      <w:sz w:val="24"/>
      <w:szCs w:val="20"/>
    </w:rPr>
  </w:style>
  <w:style w:type="paragraph" w:styleId="21">
    <w:name w:val="Body Text"/>
    <w:qFormat/>
    <w:basedOn w:val="0"/>
    <w:next w:val="0"/>
    <w:pPr>
      <w:widowControl/>
      <w:snapToGrid w:val="0"/>
      <w:spacing w:before="60" w:after="160" w:line="259" w:lineRule="auto"/>
      <w:ind w:right="113"/>
    </w:pPr>
    <w:rPr>
      <w:kern w:val="0"/>
      <w:sz w:val="18"/>
      <w:szCs w:val="20"/>
    </w:rPr>
  </w:style>
  <w:style w:type="paragraph" w:styleId="22">
    <w:name w:val="Body Text Indent"/>
    <w:qFormat/>
    <w:basedOn w:val="0"/>
    <w:next w:val="0"/>
    <w:pPr>
      <w:spacing w:after="120"/>
      <w:ind w:leftChars="200" w:left="200"/>
    </w:pPr>
    <w:rPr>
      <w:kern w:val="0"/>
      <w:sz w:val="24"/>
      <w:szCs w:val="20"/>
    </w:rPr>
  </w:style>
  <w:style w:type="paragraph" w:styleId="23">
    <w:name w:val="toc 8"/>
    <w:qFormat/>
    <w:basedOn w:val="0"/>
    <w:next w:val="0"/>
    <w:pPr>
      <w:ind w:leftChars="1400" w:left="1400"/>
    </w:pPr>
  </w:style>
  <w:style w:type="paragraph" w:styleId="24">
    <w:name w:val="Date"/>
    <w:qFormat/>
    <w:basedOn w:val="0"/>
    <w:next w:val="0"/>
    <w:pPr>
      <w:ind w:leftChars="2500" w:left="2500"/>
    </w:pPr>
    <w:rPr>
      <w:kern w:val="0"/>
      <w:sz w:val="24"/>
      <w:szCs w:val="20"/>
    </w:rPr>
  </w:style>
  <w:style w:type="paragraph" w:styleId="25">
    <w:name w:val="Balloon Text"/>
    <w:qFormat/>
    <w:basedOn w:val="0"/>
    <w:rPr>
      <w:kern w:val="0"/>
      <w:sz w:val="18"/>
      <w:szCs w:val="20"/>
    </w:rPr>
  </w:style>
  <w:style w:type="paragraph" w:styleId="26">
    <w:name w:val="footer"/>
    <w:qFormat/>
    <w:basedOn w:val="0"/>
    <w:pPr>
      <w:tabs>
        <w:tab w:val="center" w:pos="4153"/>
        <w:tab w:val="right" w:pos="8306"/>
      </w:tabs>
      <w:snapToGrid w:val="0"/>
      <w:jc w:val="left"/>
    </w:pPr>
    <w:rPr>
      <w:kern w:val="0"/>
      <w:sz w:val="18"/>
      <w:szCs w:val="20"/>
    </w:rPr>
  </w:style>
  <w:style w:type="paragraph" w:styleId="27">
    <w:name w:val="header"/>
    <w:qFormat/>
    <w:basedOn w:val="0"/>
    <w:next w:val="30"/>
    <w:pPr>
      <w:pBdr>
        <w:bottom w:val="single" w:sz="6" w:space="1" w:color="auto"/>
      </w:pBdr>
      <w:tabs>
        <w:tab w:val="center" w:pos="4153"/>
        <w:tab w:val="right" w:pos="8306"/>
      </w:tabs>
      <w:snapToGrid w:val="0"/>
      <w:jc w:val="center"/>
    </w:pPr>
    <w:rPr>
      <w:kern w:val="0"/>
      <w:sz w:val="18"/>
      <w:szCs w:val="20"/>
    </w:rPr>
  </w:style>
  <w:style w:type="paragraph" w:styleId="28">
    <w:name w:val="Body Text 2"/>
    <w:qFormat/>
    <w:basedOn w:val="0"/>
    <w:pPr>
      <w:spacing w:after="120" w:line="480" w:lineRule="auto"/>
    </w:pPr>
    <w:rPr>
      <w:rFonts w:ascii="Calibri" w:hAnsi="Calibri"/>
      <w:kern w:val="0"/>
      <w:sz w:val="20"/>
    </w:rPr>
  </w:style>
  <w:style w:type="paragraph" w:customStyle="1" w:yozoId="4094" w:styleId="29">
    <w:name w:val="正文1"/>
    <w:qFormat/>
    <w:basedOn w:val="28"/>
    <w:next w:val="28"/>
    <w:pPr>
      <w:adjustRightInd w:val="0"/>
      <w:snapToGrid w:val="0"/>
      <w:spacing w:line="480" w:lineRule="exact"/>
      <w:ind w:firstLineChars="200" w:firstLine="200"/>
    </w:pPr>
    <w:rPr>
      <w:kern w:val="0"/>
      <w:sz w:val="24"/>
    </w:rPr>
  </w:style>
  <w:style w:type="paragraph" w:customStyle="1" w:yozoId="4094" w:styleId="30">
    <w:name w:val="样式5"/>
    <w:qFormat/>
    <w:basedOn w:val="29"/>
    <w:pPr>
      <w:adjustRightInd w:val="0"/>
      <w:snapToGrid w:val="0"/>
      <w:spacing w:line="360" w:lineRule="auto"/>
    </w:pPr>
    <w:rPr>
      <w:rFonts w:ascii="Calibri" w:hAnsi="Calibri"/>
      <w:sz w:val="24"/>
    </w:rPr>
  </w:style>
  <w:style w:type="paragraph" w:styleId="31">
    <w:name w:val="toc 1"/>
    <w:qFormat/>
    <w:basedOn w:val="0"/>
    <w:next w:val="0"/>
  </w:style>
  <w:style w:type="paragraph" w:styleId="32">
    <w:name w:val="List"/>
    <w:qFormat/>
    <w:basedOn w:val="0"/>
    <w:pPr>
      <w:ind w:left="200" w:hangingChars="200" w:hanging="200"/>
    </w:pPr>
  </w:style>
  <w:style w:type="paragraph" w:styleId="33">
    <w:name w:val="toc 2"/>
    <w:qFormat/>
    <w:basedOn w:val="0"/>
    <w:next w:val="0"/>
    <w:pPr>
      <w:spacing w:line="440" w:lineRule="exact"/>
      <w:ind w:firstLineChars="200" w:firstLine="200"/>
    </w:pPr>
  </w:style>
  <w:style w:type="paragraph" w:styleId="34">
    <w:name w:val="HTML Preformatted"/>
    <w:qFormat/>
    <w:basedOn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35">
    <w:name w:val="Normal (Web)"/>
    <w:qFormat/>
    <w:basedOn w:val="0"/>
    <w:next w:val="23"/>
    <w:pPr>
      <w:widowControl/>
      <w:spacing w:before="100" w:beforeAutospacing="1" w:after="100" w:afterAutospacing="1"/>
      <w:jc w:val="left"/>
    </w:pPr>
    <w:rPr>
      <w:rFonts w:ascii="宋体" w:hAnsi="宋体"/>
      <w:kern w:val="0"/>
      <w:sz w:val="24"/>
      <w:szCs w:val="20"/>
    </w:rPr>
  </w:style>
  <w:style w:type="paragraph" w:styleId="36">
    <w:name w:val="index 1"/>
    <w:qFormat/>
    <w:basedOn w:val="0"/>
    <w:next w:val="0"/>
    <w:pPr>
      <w:spacing w:line="240" w:lineRule="atLeast"/>
      <w:ind w:firstLine="420"/>
      <w:jc w:val="center"/>
    </w:pPr>
    <w:rPr>
      <w:szCs w:val="21"/>
    </w:rPr>
  </w:style>
  <w:style w:type="paragraph" w:styleId="37">
    <w:name w:val="Title"/>
    <w:qFormat/>
    <w:basedOn w:val="0"/>
    <w:next w:val="0"/>
    <w:pPr>
      <w:adjustRightInd w:val="0"/>
      <w:spacing w:before="240" w:after="60" w:line="420" w:lineRule="atLeast"/>
      <w:jc w:val="center"/>
      <w:textAlignment w:val="baseline"/>
      <w:outlineLvl w:val="0"/>
    </w:pPr>
    <w:rPr>
      <w:rFonts w:ascii="Arial" w:hAnsi="Arial"/>
      <w:b/>
      <w:kern w:val="0"/>
      <w:sz w:val="32"/>
    </w:rPr>
  </w:style>
  <w:style w:type="paragraph" w:styleId="38">
    <w:name w:val="annotation subject"/>
    <w:qFormat/>
    <w:basedOn w:val="20"/>
    <w:next w:val="20"/>
    <w:rPr>
      <w:b/>
      <w:kern w:val="2"/>
    </w:rPr>
  </w:style>
  <w:style w:type="paragraph" w:styleId="39">
    <w:name w:val="Body Text First Indent"/>
    <w:qFormat/>
    <w:basedOn w:val="21"/>
  </w:style>
  <w:style w:type="paragraph" w:styleId="40">
    <w:name w:val="Body Text First Indent 2"/>
    <w:qFormat/>
    <w:basedOn w:val="22"/>
    <w:next w:val="0"/>
    <w:pPr>
      <w:ind w:firstLineChars="200" w:firstLine="200"/>
    </w:pPr>
  </w:style>
  <w:style w:type="character" w:styleId="41">
    <w:name w:val="Strong"/>
    <w:qFormat/>
    <w:rPr>
      <w:b/>
    </w:rPr>
  </w:style>
  <w:style w:type="character" w:styleId="42">
    <w:name w:val="page number"/>
    <w:qFormat/>
  </w:style>
  <w:style w:type="character" w:styleId="43">
    <w:name w:val="FollowedHyperlink"/>
    <w:qFormat/>
    <w:rPr>
      <w:color w:val="666666"/>
      <w:u w:val="none"/>
    </w:rPr>
  </w:style>
  <w:style w:type="character" w:styleId="44">
    <w:name w:val="Emphasis"/>
    <w:qFormat/>
  </w:style>
  <w:style w:type="character" w:styleId="45">
    <w:name w:val="HTML Definition"/>
    <w:qFormat/>
    <w:rPr>
      <w:i/>
      <w:u w:val="single"/>
    </w:rPr>
  </w:style>
  <w:style w:type="character" w:styleId="46">
    <w:name w:val="HTML Typewriter"/>
    <w:qFormat/>
    <w:rPr>
      <w:rFonts w:ascii="monospace" w:eastAsia="monospace" w:cs="monospace" w:hAnsi="monospace"/>
      <w:sz w:val="20"/>
    </w:rPr>
  </w:style>
  <w:style w:type="character" w:styleId="47">
    <w:name w:val="HTML Acronym"/>
    <w:qFormat/>
  </w:style>
  <w:style w:type="character" w:styleId="48">
    <w:name w:val="HTML Variable"/>
    <w:qFormat/>
  </w:style>
  <w:style w:type="character" w:styleId="49">
    <w:name w:val="Hyperlink"/>
    <w:qFormat/>
    <w:rPr>
      <w:color w:val="666666"/>
      <w:u w:val="none"/>
    </w:rPr>
  </w:style>
  <w:style w:type="character" w:styleId="50">
    <w:name w:val="HTML Code"/>
    <w:qFormat/>
    <w:rPr>
      <w:rFonts w:ascii="monospace" w:eastAsia="monospace" w:cs="monospace" w:hAnsi="monospace"/>
      <w:sz w:val="20"/>
    </w:rPr>
  </w:style>
  <w:style w:type="character" w:styleId="51">
    <w:name w:val="annotation reference"/>
    <w:qFormat/>
    <w:basedOn w:val="10"/>
    <w:rPr>
      <w:sz w:val="21"/>
    </w:rPr>
  </w:style>
  <w:style w:type="character" w:styleId="52">
    <w:name w:val="HTML Cite"/>
    <w:qFormat/>
  </w:style>
  <w:style w:type="character" w:styleId="53">
    <w:name w:val="HTML Keyboard"/>
    <w:qFormat/>
    <w:rPr>
      <w:rFonts w:ascii="monospace" w:eastAsia="monospace" w:cs="monospace" w:hAnsi="monospace"/>
      <w:sz w:val="20"/>
    </w:rPr>
  </w:style>
  <w:style w:type="character" w:styleId="54">
    <w:name w:val="HTML Sample"/>
    <w:qFormat/>
    <w:rPr>
      <w:rFonts w:ascii="monospace" w:eastAsia="monospace" w:cs="monospace" w:hAnsi="monospace"/>
    </w:rPr>
  </w:style>
  <w:style w:type="paragraph" w:customStyle="1" w:yozoId="4094" w:styleId="55">
    <w:name w:val="表格"/>
    <w:qFormat/>
    <w:basedOn w:val="29"/>
    <w:next w:val="0"/>
    <w:pPr>
      <w:adjustRightInd w:val="0"/>
      <w:snapToGrid w:val="0"/>
      <w:spacing w:beforeLines="10" w:before="10" w:afterLines="10" w:after="10" w:line="259" w:lineRule="auto"/>
      <w:jc w:val="center"/>
    </w:pPr>
    <w:rPr>
      <w:rFonts w:ascii="宋体" w:eastAsia="宋体" w:cs="Times New Roman" w:hAnsi="Times New Roman"/>
      <w:sz w:val="21"/>
      <w:lang w:val="en-US" w:eastAsia="zh-CN" w:bidi="ar-SA"/>
    </w:rPr>
  </w:style>
  <w:style w:type="paragraph" w:customStyle="1" w:yozoId="4094" w:styleId="56">
    <w:name w:val="报告表正文"/>
    <w:qFormat/>
    <w:basedOn w:val="0"/>
    <w:link w:val="56Char"/>
    <w:pPr>
      <w:adjustRightInd w:val="0"/>
      <w:spacing w:line="460" w:lineRule="exact"/>
      <w:ind w:firstLineChars="200" w:firstLine="200"/>
      <w:textAlignment w:val="baseline"/>
    </w:pPr>
    <w:rPr>
      <w:kern w:val="0"/>
      <w:sz w:val="24"/>
      <w:szCs w:val="20"/>
    </w:rPr>
  </w:style>
  <w:style w:type="character" w:customStyle="1" w:styleId="56Char">
    <w:name w:val="报告表正文 Char"/>
    <w:basedOn w:val="10"/>
    <w:link w:val="56"/>
    <w:rPr>
      <w:rFonts w:ascii="Times New Roman" w:eastAsia="宋体" w:cs="Times New Roman" w:hAnsi="Times New Roman"/>
      <w:kern w:val="0"/>
      <w:sz w:val="24"/>
      <w:szCs w:val="20"/>
      <w:lang w:val="en-US" w:eastAsia="zh-CN" w:bidi="ar-SA"/>
    </w:rPr>
  </w:style>
  <w:style w:type="paragraph" w:customStyle="1" w:yozoId="4094" w:styleId="57">
    <w:name w:val="A-表格文字"/>
    <w:qFormat/>
    <w:basedOn w:val="0"/>
    <w:next w:val="0"/>
    <w:pPr>
      <w:autoSpaceDE w:val="0"/>
      <w:autoSpaceDN w:val="0"/>
      <w:adjustRightInd w:val="0"/>
      <w:jc w:val="center"/>
      <w:textAlignment w:val="center"/>
    </w:pPr>
    <w:rPr>
      <w:kern w:val="0"/>
      <w:szCs w:val="21"/>
    </w:rPr>
  </w:style>
  <w:style w:type="paragraph" w:customStyle="1" w:yozoId="4094" w:styleId="58">
    <w:name w:val="表格样式"/>
    <w:qFormat/>
    <w:basedOn w:val="0"/>
    <w:pPr>
      <w:jc w:val="center"/>
    </w:pPr>
  </w:style>
  <w:style w:type="paragraph" w:customStyle="1" w:yozoId="4094" w:styleId="59">
    <w:name w:val="表格正文"/>
    <w:qFormat/>
    <w:basedOn w:val="0"/>
    <w:next w:val="16"/>
    <w:pPr>
      <w:jc w:val="center"/>
    </w:pPr>
    <w:rPr>
      <w:kern w:val="0"/>
    </w:rPr>
  </w:style>
  <w:style w:type="paragraph" w:customStyle="1" w:yozoId="4094" w:styleId="60">
    <w:name w:val="表格格式"/>
    <w:qFormat/>
    <w:basedOn w:val="0"/>
    <w:next w:val="0"/>
    <w:pPr>
      <w:jc w:val="center"/>
    </w:pPr>
    <w:rPr>
      <w:snapToGrid w:val="0"/>
      <w:sz w:val="20"/>
    </w:rPr>
  </w:style>
  <w:style w:type="paragraph" w:customStyle="1" w:yozoId="4094" w:styleId="61">
    <w:name w:val="表格居中"/>
    <w:qFormat/>
    <w:pPr>
      <w:spacing w:line="440" w:lineRule="exact"/>
      <w:jc w:val="center"/>
    </w:pPr>
    <w:rPr>
      <w:rFonts w:ascii="Times New Roman" w:eastAsia="宋体" w:cs="Times New Roman" w:hAnsi="Times New Roman"/>
      <w:kern w:val="2"/>
      <w:sz w:val="24"/>
      <w:szCs w:val="24"/>
      <w:lang w:val="en-US" w:eastAsia="zh-CN" w:bidi="ar-SA"/>
    </w:rPr>
  </w:style>
  <w:style w:type="paragraph" w:customStyle="1" w:yozoId="4094" w:styleId="62">
    <w:name w:val="表格内容"/>
    <w:qFormat/>
    <w:basedOn w:val="40"/>
    <w:pPr>
      <w:adjustRightInd w:val="0"/>
      <w:snapToGrid w:val="0"/>
      <w:spacing w:line="360" w:lineRule="exact"/>
      <w:jc w:val="center"/>
    </w:pPr>
    <w:rPr>
      <w:color w:val="000000"/>
      <w:kern w:val="2"/>
      <w:sz w:val="21"/>
      <w:szCs w:val="24"/>
    </w:rPr>
  </w:style>
  <w:style w:type="paragraph" w:customStyle="1" w:yozoId="4094" w:styleId="63">
    <w:name w:val="修订1"/>
    <w:qFormat/>
    <w:rPr>
      <w:rFonts w:ascii="Times New Roman" w:eastAsia="宋体" w:cs="Times New Roman" w:hAnsi="Times New Roman"/>
      <w:kern w:val="2"/>
      <w:sz w:val="21"/>
      <w:szCs w:val="24"/>
      <w:lang w:val="en-US" w:eastAsia="zh-CN" w:bidi="ar-SA"/>
    </w:rPr>
  </w:style>
  <w:style w:type="paragraph" w:customStyle="1" w:yozoId="4094" w:styleId="64">
    <w:name w:val="0-5表格外"/>
    <w:qFormat/>
    <w:pPr>
      <w:adjustRightInd w:val="0"/>
      <w:snapToGrid w:val="0"/>
      <w:spacing w:beforeLines="50" w:before="50"/>
      <w:jc w:val="center"/>
    </w:pPr>
    <w:rPr>
      <w:rFonts w:ascii="Times New Roman" w:eastAsia="宋体" w:cs="Times New Roman" w:hAnsi="Times New Roman"/>
      <w:b/>
      <w:sz w:val="20"/>
      <w:szCs w:val="20"/>
      <w:lang w:val="en-US" w:eastAsia="zh-CN" w:bidi="ar-SA"/>
    </w:rPr>
  </w:style>
  <w:style w:type="paragraph" w:customStyle="1" w:yozoId="4094" w:styleId="65">
    <w:name w:val="0--表格文字"/>
    <w:qFormat/>
    <w:basedOn w:val="0"/>
    <w:pPr>
      <w:contextualSpacing/>
      <w:jc w:val="center"/>
    </w:pPr>
    <w:rPr>
      <w:bCs/>
      <w:szCs w:val="21"/>
    </w:rPr>
  </w:style>
  <w:style w:type="paragraph" w:customStyle="1" w:yozoId="4094" w:styleId="66">
    <w:name w:val="列出段落1"/>
    <w:qFormat/>
    <w:basedOn w:val="0"/>
    <w:pPr>
      <w:ind w:firstLineChars="200" w:firstLine="200"/>
    </w:pPr>
    <w:rPr>
      <w:rFonts w:ascii="Calibri" w:hAnsi="Calibri"/>
      <w:szCs w:val="22"/>
    </w:rPr>
  </w:style>
  <w:style w:type="paragraph" w:customStyle="1" w:yozoId="4094" w:styleId="67">
    <w:name w:val="表格2"/>
    <w:qFormat/>
    <w:basedOn w:val="0"/>
    <w:pPr>
      <w:spacing w:line="320" w:lineRule="exact"/>
      <w:jc w:val="center"/>
    </w:pPr>
    <w:rPr>
      <w:sz w:val="24"/>
      <w:szCs w:val="28"/>
    </w:rPr>
  </w:style>
  <w:style w:type="paragraph" w:customStyle="1" w:yozoId="4094" w:styleId="68">
    <w:name w:val="1表格文字"/>
    <w:qFormat/>
    <w:basedOn w:val="67"/>
    <w:next w:val="0"/>
    <w:pPr>
      <w:tabs>
        <w:tab w:val="left" w:pos="0"/>
        <w:tab w:val="left" w:pos="360"/>
        <w:tab w:val="left" w:pos="900"/>
      </w:tabs>
      <w:topLinePunct/>
      <w:autoSpaceDE w:val="0"/>
      <w:autoSpaceDN w:val="0"/>
      <w:adjustRightInd w:val="0"/>
      <w:snapToGrid w:val="0"/>
      <w:spacing w:line="320" w:lineRule="exact"/>
      <w:jc w:val="center"/>
      <w:textAlignment w:val="baseline"/>
    </w:pPr>
    <w:rPr>
      <w:rFonts w:ascii="Times New Roman" w:eastAsia="宋体" w:cs="Times New Roman" w:hAnsi="Times New Roman"/>
      <w:bCs/>
      <w:sz w:val="21"/>
      <w:lang w:val="en-US" w:eastAsia="zh-CN" w:bidi="ar-SA"/>
    </w:rPr>
  </w:style>
  <w:style w:type="paragraph" w:customStyle="1" w:yozoId="4094" w:styleId="69">
    <w:name w:val="Table Text"/>
    <w:qFormat/>
    <w:basedOn w:val="0"/>
    <w:pPr>
      <w:widowControl/>
      <w:kinsoku w:val="0"/>
      <w:autoSpaceDE w:val="0"/>
      <w:autoSpaceDN w:val="0"/>
      <w:adjustRightInd w:val="0"/>
      <w:snapToGrid w:val="0"/>
      <w:jc w:val="left"/>
      <w:textAlignment w:val="baseline"/>
    </w:pPr>
    <w:rPr>
      <w:rFonts w:ascii="宋体" w:cs="宋体" w:hAnsi="宋体"/>
      <w:color w:val="000000"/>
      <w:kern w:val="0"/>
      <w:sz w:val="20"/>
      <w:szCs w:val="20"/>
    </w:rPr>
  </w:style>
  <w:style w:type="character" w:customStyle="1" w:yozoId="4094" w:styleId="70">
    <w:name w:val="font51"/>
    <w:qFormat/>
    <w:basedOn w:val="10"/>
    <w:rPr>
      <w:rFonts w:ascii="楷体" w:eastAsia="楷体" w:cs="楷体" w:hAnsi="楷体"/>
      <w:color w:val="000000"/>
      <w:sz w:val="22"/>
      <w:szCs w:val="22"/>
      <w:u w:val="none"/>
    </w:rPr>
  </w:style>
  <w:style w:type="character" w:customStyle="1" w:yozoId="4094" w:styleId="71">
    <w:name w:val="font41"/>
    <w:qFormat/>
    <w:basedOn w:val="10"/>
    <w:rPr>
      <w:rFonts w:ascii="楷体" w:eastAsia="楷体" w:cs="楷体" w:hAnsi="楷体"/>
      <w:color w:val="000000"/>
      <w:sz w:val="22"/>
      <w:szCs w:val="22"/>
      <w:u w:val="none"/>
    </w:rPr>
  </w:style>
  <w:style w:type="character" w:customStyle="1" w:yozoId="4094" w:styleId="72">
    <w:name w:val="font11"/>
    <w:qFormat/>
    <w:basedOn w:val="10"/>
    <w:rPr>
      <w:rFonts w:ascii="Times New Roman" w:cs="Times New Roman" w:hAnsi="Times New Roman"/>
      <w:color w:val="000000"/>
      <w:sz w:val="22"/>
      <w:szCs w:val="22"/>
      <w:u w:val="none"/>
    </w:rPr>
  </w:style>
  <w:style w:type="character" w:customStyle="1" w:yozoId="4094" w:styleId="73">
    <w:name w:val="font101"/>
    <w:qFormat/>
    <w:basedOn w:val="10"/>
    <w:rPr>
      <w:rFonts w:ascii="楷体" w:eastAsia="楷体" w:cs="楷体" w:hAnsi="楷体"/>
      <w:color w:val="000000"/>
      <w:sz w:val="22"/>
      <w:szCs w:val="22"/>
      <w:u w:val="none"/>
    </w:rPr>
  </w:style>
  <w:style w:type="character" w:customStyle="1" w:yozoId="4094" w:styleId="74">
    <w:name w:val="font61"/>
    <w:qFormat/>
    <w:basedOn w:val="10"/>
    <w:rPr>
      <w:rFonts w:ascii="楷体" w:eastAsia="楷体" w:cs="楷体" w:hAnsi="楷体"/>
      <w:color w:val="000000"/>
      <w:sz w:val="22"/>
      <w:szCs w:val="22"/>
      <w:u w:val="none"/>
    </w:rPr>
  </w:style>
  <w:style w:type="character" w:customStyle="1" w:yozoId="4094" w:styleId="75">
    <w:name w:val="font71"/>
    <w:qFormat/>
    <w:basedOn w:val="10"/>
    <w:rPr>
      <w:rFonts w:ascii="楷体" w:eastAsia="楷体" w:cs="楷体" w:hAnsi="楷体"/>
      <w:color w:val="000000"/>
      <w:sz w:val="21"/>
      <w:szCs w:val="21"/>
      <w:u w:val="none"/>
    </w:rPr>
  </w:style>
  <w:style w:type="character" w:customStyle="1" w:yozoId="4094" w:styleId="76">
    <w:name w:val="font31"/>
    <w:qFormat/>
    <w:basedOn w:val="10"/>
    <w:rPr>
      <w:rFonts w:ascii="楷体" w:eastAsia="楷体" w:cs="楷体" w:hAnsi="楷体"/>
      <w:color w:val="000000"/>
      <w:sz w:val="21"/>
      <w:szCs w:val="21"/>
      <w:u w:val="none"/>
    </w:rPr>
  </w:style>
  <w:style w:type="character" w:customStyle="1" w:yozoId="4094" w:styleId="77">
    <w:name w:val="font21"/>
    <w:qFormat/>
    <w:basedOn w:val="10"/>
    <w:rPr>
      <w:rFonts w:ascii="Times New Roman" w:cs="Times New Roman" w:hAnsi="Times New Roman"/>
      <w:color w:val="000000"/>
      <w:sz w:val="21"/>
      <w:szCs w:val="21"/>
      <w:u w:val="none"/>
    </w:rPr>
  </w:style>
  <w:style w:type="paragraph" w:customStyle="1" w:yozoId="4094" w:styleId="78">
    <w:name w:val="样式 正文文本 + 首行缩进:  2 字符"/>
    <w:qFormat/>
    <w:basedOn w:val="21"/>
    <w:pPr>
      <w:spacing w:line="480" w:lineRule="exact"/>
      <w:ind w:firstLineChars="200" w:firstLine="200"/>
    </w:pPr>
    <w:rPr>
      <w:rFonts w:ascii="宋体" w:eastAsia="宋体" w:cs="宋体" w:hAnsi="宋体"/>
      <w:sz w:val="24"/>
      <w:szCs w:val="20"/>
    </w:rPr>
  </w:style>
  <w:style w:type="paragraph" w:customStyle="1" w:yozoId="4094" w:styleId="79">
    <w:name w:val="【正文】"/>
    <w:qFormat/>
    <w:basedOn w:val="0"/>
    <w:pPr>
      <w:ind w:firstLineChars="200" w:firstLine="200"/>
    </w:pPr>
    <w:rPr>
      <w:sz w:val="24"/>
    </w:rPr>
  </w:style>
  <w:style w:type="paragraph" w:customStyle="1" w:yozoId="4094" w:styleId="80">
    <w:name w:val="...正文"/>
    <w:qFormat/>
    <w:basedOn w:val="0"/>
    <w:pPr>
      <w:widowControl/>
      <w:spacing w:line="480" w:lineRule="exact"/>
      <w:ind w:firstLineChars="200" w:firstLine="200"/>
    </w:pPr>
    <w:rPr>
      <w:sz w:val="24"/>
    </w:rPr>
  </w:style>
  <w:style w:type="paragraph" w:customStyle="1" w:yozoId="4094" w:styleId="81">
    <w:name w:val="WPSOffice手动目录 1"/>
    <w:qFormat/>
    <w:rPr>
      <w:rFonts w:ascii="Times New Roman" w:eastAsia="宋体" w:cs="Times New Roman" w:hAnsi="Times New Roman"/>
      <w:sz w:val="20"/>
      <w:szCs w:val="20"/>
      <w:lang w:val="en-US" w:eastAsia="zh-CN" w:bidi="ar-SA"/>
    </w:rPr>
  </w:style>
  <w:style w:type="character" w:customStyle="1" w:yozoId="4094" w:styleId="82">
    <w:name w:val="fontstyle01"/>
    <w:qFormat/>
    <w:rPr>
      <w:rFonts w:ascii="宋体" w:eastAsia="宋体" w:hAnsi="宋体"/>
      <w:color w:val="000000"/>
      <w:sz w:val="24"/>
      <w:szCs w:val="24"/>
    </w:rPr>
  </w:style>
  <w:style w:type="paragraph" w:customStyle="1" w:yozoId="4094" w:styleId="83">
    <w:name w:val="正文_0"/>
    <w:qFormat/>
    <w:next w:val="84"/>
    <w:pPr>
      <w:widowControl w:val="0"/>
      <w:jc w:val="both"/>
    </w:pPr>
    <w:rPr>
      <w:rFonts w:ascii="Calibri" w:eastAsia="仿宋_GB2312" w:cs="Times New Roman" w:hAnsi="Calibri"/>
      <w:kern w:val="2"/>
      <w:sz w:val="32"/>
      <w:szCs w:val="24"/>
      <w:lang w:val="en-US" w:eastAsia="zh-CN" w:bidi="ar-SA"/>
    </w:rPr>
  </w:style>
  <w:style w:type="paragraph" w:customStyle="1" w:yozoId="4094" w:styleId="84">
    <w:name w:val="纯文本1"/>
    <w:qFormat/>
    <w:basedOn w:val="83"/>
    <w:pPr>
      <w:adjustRightInd w:val="0"/>
      <w:snapToGrid w:val="0"/>
      <w:spacing w:line="312" w:lineRule="atLeast"/>
      <w:textAlignment w:val="baseline"/>
    </w:pPr>
    <w:rPr>
      <w:rFonts w:hAnsi="Courier New"/>
      <w:kern w:val="0"/>
    </w:rPr>
  </w:style>
  <w:style w:type="paragraph" w:customStyle="1" w:yozoId="4094" w:styleId="85">
    <w:name w:val="Default"/>
    <w:qFormat/>
    <w:basedOn w:val="84"/>
    <w:next w:val="0"/>
    <w:pPr>
      <w:widowControl w:val="0"/>
      <w:autoSpaceDE w:val="0"/>
      <w:autoSpaceDN w:val="0"/>
      <w:adjustRightInd w:val="0"/>
      <w:snapToGrid w:val="0"/>
    </w:pPr>
    <w:rPr>
      <w:rFonts w:ascii="宋体" w:cs="宋体" w:hAnsi="宋体"/>
      <w:color w:val="000000"/>
      <w:sz w:val="24"/>
      <w:szCs w:val="24"/>
      <w:lang w:val="en-US" w:eastAsia="zh-CN" w:bidi="ar-SA"/>
    </w:rPr>
  </w:style>
  <w:style w:type="paragraph" w:customStyle="1" w:yozoId="4094" w:styleId="86">
    <w:name w:val="1正文"/>
    <w:qFormat/>
    <w:basedOn w:val="0"/>
    <w:next w:val="21"/>
    <w:pPr>
      <w:spacing w:line="440" w:lineRule="exact"/>
      <w:ind w:firstLineChars="200" w:firstLine="200"/>
    </w:pPr>
    <w:rPr>
      <w:snapToGrid w:val="0"/>
      <w:sz w:val="24"/>
      <w:szCs w:val="24"/>
    </w:rPr>
  </w:style>
  <w:style w:type="paragraph" w:customStyle="1" w:yozoId="4094" w:styleId="87">
    <w:name w:val="【表头】"/>
    <w:qFormat/>
    <w:basedOn w:val="0"/>
    <w:pPr>
      <w:widowControl/>
      <w:jc w:val="center"/>
    </w:pPr>
    <w:rPr>
      <w:b/>
      <w:kern w:val="0"/>
      <w:sz w:val="24"/>
      <w:szCs w:val="24"/>
    </w:rPr>
  </w:style>
  <w:style w:type="paragraph" w:customStyle="1" w:yozoId="4094" w:styleId="88">
    <w:name w:val="【表中文字】"/>
    <w:qFormat/>
    <w:basedOn w:val="0"/>
    <w:pPr>
      <w:jc w:val="center"/>
    </w:pPr>
    <w:rPr>
      <w:kern w:val="0"/>
    </w:rPr>
  </w:style>
  <w:style w:type="paragraph" w:customStyle="1" w:yozoId="4094" w:styleId="89">
    <w:name w:val="默认段落字体 Para Char Char Char Char Char Char Char Char Char"/>
    <w:qFormat/>
    <w:basedOn w:val="0"/>
    <w:pPr>
      <w:numPr>
        <w:ilvl w:val="0"/>
        <w:numId w:val="5"/>
      </w:numPr>
    </w:pPr>
    <w:rPr>
      <w:rFonts w:ascii="Calibri" w:hAnsi="Calibri"/>
      <w:sz w:val="24"/>
      <w:szCs w:val="24"/>
    </w:rPr>
  </w:style>
  <w:style w:type="paragraph" w:customStyle="1" w:yozoId="4094" w:styleId="90">
    <w:name w:val="04 正文"/>
    <w:qFormat/>
    <w:basedOn w:val="0"/>
    <w:pPr>
      <w:spacing w:line="400" w:lineRule="exact"/>
      <w:ind w:firstLineChars="200" w:firstLine="200"/>
    </w:pPr>
    <w:rPr>
      <w:bCs/>
      <w:color w:val="000000"/>
      <w:sz w:val="24"/>
      <w:szCs w:val="21"/>
    </w:rPr>
  </w:style>
  <w:style w:type="paragraph" w:customStyle="1" w:yozoId="4094" w:styleId="91">
    <w:name w:val="0正文"/>
    <w:qFormat/>
    <w:basedOn w:val="0"/>
    <w:next w:val="16"/>
    <w:pPr>
      <w:adjustRightInd w:val="0"/>
      <w:snapToGrid w:val="0"/>
      <w:spacing w:line="440" w:lineRule="exact"/>
      <w:ind w:firstLineChars="200" w:firstLine="200"/>
    </w:pPr>
    <w:rPr>
      <w:color w:val="000000"/>
      <w:kern w:val="0"/>
      <w:sz w:val="24"/>
      <w:szCs w:val="20"/>
    </w:rPr>
  </w:style>
  <w:style w:type="paragraph" w:customStyle="1" w:yozoId="4094" w:styleId="92">
    <w:name w:val="Table Paragraph"/>
    <w:qFormat/>
    <w:basedOn w:val="0"/>
    <w:pPr>
      <w:widowControl w:val="0"/>
      <w:spacing w:line="240" w:lineRule="auto"/>
      <w:jc w:val="both"/>
    </w:pPr>
    <w:rPr>
      <w:sz w:val="24"/>
      <w:szCs w:val="24"/>
    </w:rPr>
  </w:style>
  <w:style w:type="paragraph" w:customStyle="1" w:yozoId="4094" w:styleId="93">
    <w:name w:val="A表头"/>
    <w:qFormat/>
    <w:basedOn w:val="0"/>
    <w:pPr>
      <w:spacing w:beforeLines="30" w:before="30" w:line="240" w:lineRule="atLeast"/>
      <w:jc w:val="left"/>
    </w:pPr>
    <w:rPr>
      <w:rFonts w:eastAsia="黑体" w:cs="宋体"/>
      <w:szCs w:val="20"/>
    </w:rPr>
  </w:style>
  <w:style w:type="paragraph" w:customStyle="1" w:yozoId="4094" w:styleId="94">
    <w:name w:val="A表内"/>
    <w:qFormat/>
    <w:basedOn w:val="0"/>
    <w:pPr>
      <w:spacing w:line="0" w:lineRule="atLeast"/>
      <w:jc w:val="center"/>
    </w:pPr>
    <w:rPr>
      <w:rFonts w:cs="宋体"/>
      <w:szCs w:val="20"/>
    </w:rPr>
  </w:style>
  <w:style w:type="paragraph" w:customStyle="1" w:yozoId="4094" w:styleId="95">
    <w:name w:val="A图名"/>
    <w:qFormat/>
    <w:basedOn w:val="93"/>
    <w:pPr>
      <w:spacing w:beforeLines="0" w:before="0" w:afterLines="50" w:after="50"/>
      <w:jc w:val="center"/>
    </w:pPr>
    <w:rPr>
      <w:sz w:val="22"/>
    </w:rPr>
  </w:style>
  <w:style w:type="paragraph" w:customStyle="1" w:yozoId="4094" w:styleId="96">
    <w:name w:val="正文(罗)"/>
    <w:qFormat/>
    <w:basedOn w:val="0"/>
    <w:pPr>
      <w:snapToGrid w:val="0"/>
      <w:spacing w:line="360" w:lineRule="auto"/>
      <w:ind w:firstLine="480"/>
    </w:pPr>
    <w:rPr>
      <w:rFonts w:ascii="Times New Roman" w:hAnsi="Times New Roman"/>
      <w:sz w:val="24"/>
      <w:szCs w:val="24"/>
      <w:lang w:bidi="en-US"/>
    </w:rPr>
  </w:style>
  <w:style w:type="paragraph" w:customStyle="1" w:yozoId="4094" w:styleId="97">
    <w:name w:val="BT"/>
    <w:qFormat/>
    <w:basedOn w:val="96"/>
    <w:pPr>
      <w:adjustRightInd w:val="0"/>
      <w:snapToGrid w:val="0"/>
      <w:spacing w:line="240" w:lineRule="auto"/>
      <w:jc w:val="center"/>
    </w:pPr>
    <w:rPr>
      <w:rFonts w:ascii="Times New Roman" w:hAnsi="Times New Roman"/>
      <w:b/>
      <w:szCs w:val="20"/>
    </w:rPr>
  </w:style>
  <w:style w:type="paragraph" w:customStyle="1" w:yozoId="4094" w:styleId="98">
    <w:name w:val="D图表"/>
    <w:qFormat/>
    <w:basedOn w:val="0"/>
    <w:pPr>
      <w:jc w:val="center"/>
    </w:pPr>
    <w:rPr>
      <w:b/>
      <w:szCs w:val="21"/>
    </w:rPr>
  </w:style>
  <w:style w:type="paragraph" w:customStyle="1" w:yozoId="4094" w:styleId="99">
    <w:name w:val="A0正文"/>
    <w:qFormat/>
    <w:basedOn w:val="0"/>
    <w:pPr>
      <w:spacing w:line="500" w:lineRule="exact"/>
      <w:ind w:firstLineChars="200" w:firstLine="200"/>
    </w:pPr>
    <w:rPr>
      <w:rFonts w:cs="宋体"/>
      <w:sz w:val="24"/>
      <w:szCs w:val="20"/>
    </w:rPr>
  </w:style>
  <w:style w:type="paragraph" w:customStyle="1" w:yozoId="4094" w:styleId="100">
    <w:name w:val="文"/>
    <w:qFormat/>
    <w:basedOn w:val="0"/>
    <w:pPr>
      <w:spacing w:line="360" w:lineRule="auto"/>
      <w:ind w:firstLineChars="200" w:firstLine="200"/>
    </w:pPr>
    <w:rPr>
      <w:sz w:val="24"/>
    </w:rPr>
  </w:style>
  <w:style w:type="paragraph" w:customStyle="1" w:yozoId="4094" w:styleId="101">
    <w:name w:val="Default1"/>
    <w:qFormat/>
    <w:pPr>
      <w:widowControl w:val="0"/>
      <w:autoSpaceDE w:val="0"/>
      <w:autoSpaceDN w:val="0"/>
      <w:adjustRightInd w:val="0"/>
    </w:pPr>
    <w:rPr>
      <w:rFonts w:ascii="宋体" w:eastAsia="宋体" w:cs="宋体" w:hAnsi="Times New Roman"/>
      <w:color w:val="000000"/>
      <w:sz w:val="24"/>
      <w:szCs w:val="24"/>
      <w:lang w:val="en-US" w:eastAsia="zh-CN" w:bidi="ar-SA"/>
    </w:rPr>
  </w:style>
  <w:style w:type="paragraph" w:customStyle="1" w:yozoId="4094" w:styleId="102">
    <w:name w:val="样式2"/>
    <w:qFormat/>
    <w:basedOn w:val="0"/>
    <w:pPr>
      <w:spacing w:line="360" w:lineRule="auto"/>
      <w:ind w:firstLineChars="200" w:firstLine="200"/>
    </w:pPr>
    <w:rPr>
      <w:sz w:val="24"/>
    </w:rPr>
  </w:style>
  <w:style w:type="paragraph" w:customStyle="1" w:yozoId="4094" w:styleId="103">
    <w:name w:val="样式 四号 左侧:  1.53 厘米"/>
    <w:qFormat/>
    <w:basedOn w:val="0"/>
    <w:pPr>
      <w:adjustRightInd w:val="0"/>
    </w:pPr>
    <w:rPr>
      <w:w w:val="90"/>
      <w:sz w:val="28"/>
      <w:szCs w:val="28"/>
    </w:rPr>
  </w:style>
  <w:style w:type="paragraph" w:customStyle="1" w:yozoId="4094" w:styleId="104">
    <w:name w:val="样式 样式 四号 左侧:  1.53 厘米 + 首行缩进:  2 字符"/>
    <w:qFormat/>
    <w:basedOn w:val="103"/>
    <w:pPr>
      <w:ind w:leftChars="200" w:left="200"/>
    </w:pPr>
    <w:rPr>
      <w:szCs w:val="20"/>
    </w:rPr>
  </w:style>
  <w:style w:type="paragraph" w:customStyle="1" w:yozoId="4094" w:styleId="105">
    <w:name w:val="样式 样式 样式 四号 左侧:  1.53 厘米 + 首行缩进:  2 字符 + 居中 左侧:  2 字符 首行缩进:  2..."/>
    <w:qFormat/>
    <w:basedOn w:val="104"/>
    <w:pPr>
      <w:jc w:val="center"/>
    </w:pPr>
  </w:style>
  <w:style w:type="paragraph" w:customStyle="1" w:yozoId="4094" w:styleId="106">
    <w:name w:val="书正文"/>
    <w:qFormat/>
    <w:basedOn w:val="0"/>
    <w:pPr>
      <w:spacing w:line="500" w:lineRule="exact"/>
      <w:ind w:firstLineChars="200" w:firstLine="200"/>
    </w:pPr>
  </w:style>
  <w:style w:type="paragraph" w:customStyle="1" w:yozoId="4094" w:styleId="107">
    <w:name w:val="1"/>
    <w:qFormat/>
    <w:basedOn w:val="0"/>
    <w:next w:val="22"/>
    <w:pPr>
      <w:adjustRightInd w:val="0"/>
      <w:snapToGrid w:val="0"/>
      <w:spacing w:line="360" w:lineRule="auto"/>
      <w:ind w:firstLineChars="200" w:firstLine="200"/>
      <w:jc w:val="left"/>
    </w:pPr>
    <w:rPr>
      <w:rFonts w:ascii="Times New Roman" w:eastAsia="宋体" w:hAnsi="Times New Roman"/>
      <w:kern w:val="0"/>
      <w:sz w:val="24"/>
      <w:szCs w:val="24"/>
    </w:rPr>
  </w:style>
  <w:style w:type="paragraph" w:customStyle="1" w:yozoId="4094" w:styleId="108">
    <w:name w:val="表格表头"/>
    <w:qFormat/>
    <w:next w:val="0"/>
    <w:pPr>
      <w:widowControl w:val="0"/>
      <w:numPr>
        <w:ilvl w:val="5"/>
        <w:numId w:val="6"/>
      </w:numPr>
      <w:tabs>
        <w:tab w:val="left" w:pos="420"/>
        <w:tab w:val="left" w:pos="460"/>
        <w:tab w:val="left" w:pos="583"/>
        <w:tab w:val="left" w:pos="2003"/>
      </w:tabs>
      <w:adjustRightInd w:val="0"/>
      <w:snapToGrid w:val="0"/>
      <w:spacing w:line="240" w:lineRule="auto"/>
      <w:ind w:left="0" w:firstLine="0"/>
      <w:jc w:val="center"/>
      <w:outlineLvl w:val="4"/>
    </w:pPr>
    <w:rPr>
      <w:rFonts w:ascii="Times New Roman" w:eastAsia="宋体" w:cs="Times New Roman" w:hAnsi="Times New Roman"/>
      <w:b/>
      <w:color w:val="000000"/>
      <w:sz w:val="24"/>
      <w:szCs w:val="24"/>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footer" Target="footer4.xml"/><Relationship Id="rId6" Type="http://schemas.openxmlformats.org/officeDocument/2006/relationships/image" Target="media/125.jpeg"/><Relationship Id="rId7" Type="http://schemas.openxmlformats.org/officeDocument/2006/relationships/image" Target="media/127.jpeg"/><Relationship Id="rId8" Type="http://schemas.openxmlformats.org/officeDocument/2006/relationships/image" Target="media/129.jpeg"/><Relationship Id="rId9" Type="http://schemas.openxmlformats.org/officeDocument/2006/relationships/image" Target="media/131.jpeg"/><Relationship Id="rId10" Type="http://schemas.openxmlformats.org/officeDocument/2006/relationships/image" Target="media/133.jpeg"/><Relationship Id="rId11" Type="http://schemas.openxmlformats.org/officeDocument/2006/relationships/image" Target="media/135.jpeg"/><Relationship Id="rId12" Type="http://schemas.openxmlformats.org/officeDocument/2006/relationships/image" Target="media/137.jpeg"/><Relationship Id="rId13" Type="http://schemas.openxmlformats.org/officeDocument/2006/relationships/image" Target="media/139.jpeg"/><Relationship Id="rId14" Type="http://schemas.openxmlformats.org/officeDocument/2006/relationships/image" Target="media/141.jpeg"/><Relationship Id="rId15" Type="http://schemas.openxmlformats.org/officeDocument/2006/relationships/image" Target="media/143.jpeg"/><Relationship Id="rId16" Type="http://schemas.openxmlformats.org/officeDocument/2006/relationships/image" Target="media/145.jpeg"/><Relationship Id="rId17" Type="http://schemas.openxmlformats.org/officeDocument/2006/relationships/image" Target="media/147.jpeg"/><Relationship Id="rId18" Type="http://schemas.openxmlformats.org/officeDocument/2006/relationships/image" Target="media/149.jpeg"/><Relationship Id="rId19" Type="http://schemas.openxmlformats.org/officeDocument/2006/relationships/image" Target="media/151.jpeg"/><Relationship Id="rId20" Type="http://schemas.openxmlformats.org/officeDocument/2006/relationships/image" Target="media/133.jpeg"/><Relationship Id="rId21" Type="http://schemas.openxmlformats.org/officeDocument/2006/relationships/image" Target="media/154.jpeg"/><Relationship Id="rId22" Type="http://schemas.openxmlformats.org/officeDocument/2006/relationships/image" Target="media/156.jpeg"/><Relationship Id="rId23" Type="http://schemas.openxmlformats.org/officeDocument/2006/relationships/image" Target="media/158.jpeg"/><Relationship Id="rId24" Type="http://schemas.openxmlformats.org/officeDocument/2006/relationships/image" Target="media/160.jpeg"/><Relationship Id="rId25" Type="http://schemas.openxmlformats.org/officeDocument/2006/relationships/image" Target="media/162.jpeg"/><Relationship Id="rId26" Type="http://schemas.openxmlformats.org/officeDocument/2006/relationships/image" Target="media/164.jpeg"/><Relationship Id="rId27" Type="http://schemas.openxmlformats.org/officeDocument/2006/relationships/image" Target="media/166.jpeg"/><Relationship Id="rId28" Type="http://schemas.openxmlformats.org/officeDocument/2006/relationships/image" Target="media/168.jpeg"/><Relationship Id="rId29" Type="http://schemas.openxmlformats.org/officeDocument/2006/relationships/image" Target="media/170.jpeg"/><Relationship Id="rId30" Type="http://schemas.openxmlformats.org/officeDocument/2006/relationships/image" Target="media/166.jpeg"/><Relationship Id="rId31" Type="http://schemas.openxmlformats.org/officeDocument/2006/relationships/image" Target="media/173.jpeg"/><Relationship Id="rId32" Type="http://schemas.openxmlformats.org/officeDocument/2006/relationships/image" Target="media/175.jpeg"/><Relationship Id="rId33" Type="http://schemas.openxmlformats.org/officeDocument/2006/relationships/image" Target="media/166.jpeg"/><Relationship Id="rId34" Type="http://schemas.openxmlformats.org/officeDocument/2006/relationships/image" Target="media/178.jpeg"/><Relationship Id="rId35" Type="http://schemas.openxmlformats.org/officeDocument/2006/relationships/image" Target="media/180.jpeg"/><Relationship Id="rId36" Type="http://schemas.openxmlformats.org/officeDocument/2006/relationships/image" Target="media/182.jpeg"/><Relationship Id="rId37" Type="http://schemas.openxmlformats.org/officeDocument/2006/relationships/image" Target="media/166.jpeg"/><Relationship Id="rId38" Type="http://schemas.openxmlformats.org/officeDocument/2006/relationships/image" Target="media/185.jpeg"/><Relationship Id="rId39" Type="http://schemas.openxmlformats.org/officeDocument/2006/relationships/image" Target="media/166.jpeg"/><Relationship Id="rId40" Type="http://schemas.openxmlformats.org/officeDocument/2006/relationships/image" Target="media/188.jpeg"/><Relationship Id="rId41" Type="http://schemas.openxmlformats.org/officeDocument/2006/relationships/image" Target="media/190.jpeg"/><Relationship Id="rId42" Type="http://schemas.openxmlformats.org/officeDocument/2006/relationships/image" Target="media/154.jpeg"/><Relationship Id="rId43" Type="http://schemas.openxmlformats.org/officeDocument/2006/relationships/image" Target="media/193.jpeg"/><Relationship Id="rId44" Type="http://schemas.openxmlformats.org/officeDocument/2006/relationships/image" Target="media/195.jpeg"/><Relationship Id="rId45" Type="http://schemas.openxmlformats.org/officeDocument/2006/relationships/image" Target="media/197.jpeg"/><Relationship Id="rId46" Type="http://schemas.openxmlformats.org/officeDocument/2006/relationships/image" Target="media/199.jpeg"/><Relationship Id="rId47" Type="http://schemas.openxmlformats.org/officeDocument/2006/relationships/image" Target="media/201.jpeg"/><Relationship Id="rId48" Type="http://schemas.openxmlformats.org/officeDocument/2006/relationships/image" Target="media/203.jpeg"/><Relationship Id="rId49" Type="http://schemas.openxmlformats.org/officeDocument/2006/relationships/image" Target="media/166.jpeg"/><Relationship Id="rId50" Type="http://schemas.openxmlformats.org/officeDocument/2006/relationships/image" Target="media/206.jpeg"/><Relationship Id="rId51" Type="http://schemas.openxmlformats.org/officeDocument/2006/relationships/image" Target="media/208.jpeg"/><Relationship Id="rId52" Type="http://schemas.openxmlformats.org/officeDocument/2006/relationships/image" Target="media/175.jpeg"/><Relationship Id="rId53" Type="http://schemas.openxmlformats.org/officeDocument/2006/relationships/image" Target="media/211.jpeg"/><Relationship Id="rId54" Type="http://schemas.openxmlformats.org/officeDocument/2006/relationships/image" Target="media/213.jpeg"/><Relationship Id="rId55" Type="http://schemas.openxmlformats.org/officeDocument/2006/relationships/image" Target="media/215.jpeg"/><Relationship Id="rId56" Type="http://schemas.openxmlformats.org/officeDocument/2006/relationships/image" Target="media/217.jpeg"/><Relationship Id="rId57" Type="http://schemas.openxmlformats.org/officeDocument/2006/relationships/image" Target="media/219.jpeg"/><Relationship Id="rId58" Type="http://schemas.openxmlformats.org/officeDocument/2006/relationships/image" Target="media/221.jpeg"/><Relationship Id="rId59" Type="http://schemas.openxmlformats.org/officeDocument/2006/relationships/image" Target="media/223.jpeg"/><Relationship Id="rId60" Type="http://schemas.openxmlformats.org/officeDocument/2006/relationships/image" Target="media/225.png"/><Relationship Id="rId61" Type="http://schemas.openxmlformats.org/officeDocument/2006/relationships/image" Target="media/227.png"/><Relationship Id="rId62" Type="http://schemas.openxmlformats.org/officeDocument/2006/relationships/image" Target="media/229.png"/><Relationship Id="rId63" Type="http://schemas.openxmlformats.org/officeDocument/2006/relationships/image" Target="media/231.png"/><Relationship Id="rId64" Type="http://schemas.openxmlformats.org/officeDocument/2006/relationships/image" Target="media/233.png"/><Relationship Id="rId65" Type="http://schemas.openxmlformats.org/officeDocument/2006/relationships/image" Target="media/235.png"/><Relationship Id="rId66" Type="http://schemas.openxmlformats.org/officeDocument/2006/relationships/image" Target="media/237.png"/><Relationship Id="rId67" Type="http://schemas.openxmlformats.org/officeDocument/2006/relationships/styles" Target="styles.xml"/><Relationship Id="rId68" Type="http://schemas.openxmlformats.org/officeDocument/2006/relationships/numbering" Target="numbering.xml"/><Relationship Id="rId69" Type="http://schemas.openxmlformats.org/officeDocument/2006/relationships/fontTable" Target="fontTable.xml"/><Relationship Id="rId70" Type="http://schemas.openxmlformats.org/officeDocument/2006/relationships/customXml" Target="../customXml/item1.xml"/><Relationship Id="rId71" Type="http://schemas.openxmlformats.org/officeDocument/2006/relationships/theme" Target="theme/theme1.xml"/></Relationships>
</file>

<file path=word/theme/theme1.xml><?xml version="1.0" encoding="utf-8"?>
<a:theme xmlns:a="http://schemas.openxmlformats.org/drawingml/2006/main" name="Office 主题​​">
  <a:themeElements>
    <a:clrScheme name="Office 主题​​">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主题​​">
      <a:majorFont>
        <a:latin typeface=""/>
        <a:ea typeface=""/>
        <a:cs typeface=""/>
      </a:majorFont>
      <a:minorFont>
        <a:latin typeface=""/>
        <a:ea typeface=""/>
        <a:cs typeface=""/>
      </a:minorFont>
    </a:fontScheme>
    <a:fmtScheme name="Office 主题​​">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1"/>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1"/>
        </a:gradFill>
      </a:fillStyleLst>
      <a:lnStyleLst>
        <a:ln w="6350" cmpd="sng" cap="flat">
          <a:solidFill>
            <a:schemeClr val="phClr"/>
          </a:solidFill>
          <a:prstDash val="solid"/>
          <a:miter/>
        </a:ln>
        <a:ln w="12700" cmpd="sng" cap="flat">
          <a:solidFill>
            <a:schemeClr val="phClr"/>
          </a:solidFill>
          <a:prstDash val="solid"/>
          <a:miter/>
        </a:ln>
        <a:ln w="19050" cmpd="sng" cap="flat">
          <a:solidFill>
            <a:schemeClr val="phClr"/>
          </a:solidFill>
          <a:prstDash val="solid"/>
          <a:miter/>
        </a:ln>
      </a:lnStyleLst>
      <a:effectStyleLst>
        <a:effectStyle>
          <a:effectLst/>
        </a:effectStyle>
        <a:effectStyle>
          <a:effectLst/>
        </a:effectStyle>
        <a:effectStyle>
          <a:effectLst>
            <a:outerShdw sx="100000" sy="100000" algn="ctr" rotWithShape="0" blurRad="57150" dist="19050" dir="5400000">
              <a:srgbClr val="000000">
                <a:alpha val="62745"/>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1"/>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ustomData xmlns="http://www.yozosoft.com.cn/officeDocument/2016/customData">
  <customProps>
    <docPr revisions="3 0 5 0 0 0 1 0 0 0 3678 0 1 1 1 1"/>
    <sectPr/>
    <sectPr/>
    <sectPr/>
    <sectPr/>
    <sectPr/>
    <sectPr/>
  </customProps>
</customData>
</file>

<file path=customXml/itemProps1.xml><?xml version="1.0" encoding="utf-8"?>
<ds:datastoreItem xmlns:ds="http://schemas.openxmlformats.org/officeDocument/2006/customXml" ds:itemID="{096634DB-F16B-4BA9-B9FE-8887A512608E}">
  <ds:schemaRefs>
    <ds:schemaRef ds:uri="http://www.yozosoft.com.cn/officeDocument/2016/customData"/>
  </ds:schemaRefs>
</ds:datastoreItem>
</file>

<file path=docProps/app.xml><?xml version="1.0" encoding="utf-8"?>
<Properties xmlns="http://schemas.openxmlformats.org/officeDocument/2006/extended-properties">
  <Template>Normal.eit</Template>
  <TotalTime>18</TotalTime>
  <Application>WPS_Yozo_Office9.0.5847.101ZH.S1</Application>
  <Pages>92</Pages>
  <Words>0</Words>
  <Characters>58196</Characters>
  <Lines>0</Lines>
  <Paragraphs>41</Paragraphs>
  <CharactersWithSpaces>77595</CharactersWithSpaces>
  <Company>微软中国</Company>
</Properties>
</file>

<file path=docProps/core.xml><?xml version="1.0" encoding="utf-8"?>
<cp:coreProperties xmlns:cp="http://schemas.openxmlformats.org/package/2006/metadata/core-properties" xmlns:dc="http://purl.org/dc/elements/1.1/" xmlns:dcterms="http://purl.org/dc/terms/" xmlns:xsi="http://www.w3.org/2001/XMLSchema-instance">
  <dc:title>附件2</dc:title>
  <dc:creator>lhj</dc:creator>
  <cp:lastModifiedBy>Administrator</cp:lastModifiedBy>
  <cp:revision>18</cp:revision>
  <cp:lastPrinted>2025-12-20T03:14:00Z</cp:lastPrinted>
  <dcterms:created xsi:type="dcterms:W3CDTF">2024-11-06T01:06:00Z</dcterms:created>
  <dcterms:modified xsi:type="dcterms:W3CDTF">2026-09-07T00:38:19Z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2052-12.1.0.28043</vt:lpwstr>
  </property>
  <property fmtid="{D5CDD505-2E9C-101B-9397-08002B2CF9AE}" pid="3" name="ICV">
    <vt:lpwstr>0D9BF5CB24824B29BFD839AD885BD167_13</vt:lpwstr>
  </property>
  <property fmtid="{D5CDD505-2E9C-101B-9397-08002B2CF9AE}" pid="4" name="commondata">
    <vt:lpwstr>eyJoZGlkIjoiNTBiM2JjMGY3YTk1NzY0ZmE1YTRkNzBkYTZhMTViZjAifQ==</vt:lpwstr>
  </property>
  <property fmtid="{D5CDD505-2E9C-101B-9397-08002B2CF9AE}" pid="5" name="KSOTemplateDocerSaveRecord">
    <vt:lpwstr>eyJoZGlkIjoiMjNmMjQ0YzVkMTZlNmZkYTA2YWRhODU5NTMxOGRlMzkiLCJ1c2VySWQiOiIxMzEzMjY5Mzc0In0=</vt:lpwstr>
  </property>
</Properties>
</file>